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F29D0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</w:t>
      </w:r>
    </w:p>
    <w:p w14:paraId="35B04338">
      <w:pPr>
        <w:spacing w:line="60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2022</w:t>
      </w:r>
      <w:r>
        <w:rPr>
          <w:rFonts w:hint="eastAsia" w:ascii="宋体" w:hAnsi="宋体" w:cs="宋体"/>
          <w:b/>
          <w:bCs/>
          <w:sz w:val="36"/>
          <w:szCs w:val="36"/>
        </w:rPr>
        <w:t>南岳区住建局</w:t>
      </w:r>
    </w:p>
    <w:p w14:paraId="287D8E0B">
      <w:pPr>
        <w:spacing w:line="60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部门整体支出绩效评价报告</w:t>
      </w:r>
    </w:p>
    <w:p w14:paraId="0F7D6CB3">
      <w:pPr>
        <w:spacing w:line="600" w:lineRule="exact"/>
        <w:ind w:firstLine="480" w:firstLineChars="200"/>
        <w:rPr>
          <w:rFonts w:ascii="宋体" w:cs="宋体"/>
          <w:sz w:val="24"/>
        </w:rPr>
      </w:pPr>
    </w:p>
    <w:p w14:paraId="456641AA">
      <w:pPr>
        <w:spacing w:line="6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根据《中共中央国务院关于全面实施预算绩效管理的意见》的文件精神，我局对部门整体支出进行了绩效评价，现报告如下：</w:t>
      </w:r>
    </w:p>
    <w:p w14:paraId="125A6A13">
      <w:pPr>
        <w:spacing w:line="600" w:lineRule="exact"/>
        <w:ind w:firstLine="482" w:firstLineChars="200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一、部门基本情况</w:t>
      </w:r>
    </w:p>
    <w:p w14:paraId="4B1FC264">
      <w:pPr>
        <w:spacing w:line="600" w:lineRule="exact"/>
        <w:ind w:firstLine="482" w:firstLineChars="200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（一）部门主要职责：</w:t>
      </w:r>
      <w:r>
        <w:rPr>
          <w:rFonts w:hint="eastAsia" w:ascii="宋体" w:hAnsi="宋体" w:cs="宋体"/>
          <w:sz w:val="24"/>
        </w:rPr>
        <w:t>负责牵头推进新型城镇化战略工作；负责推进住房制度改革和保障城镇中低收入家庭住房工作；负责贯彻落实有关工程建设标准、定额和相关管理制度工作；负责规范房地产市场秩序、监督管理房地产市场工作。负责全区建设市场监督管理工作，管理和指导全区建筑活动；负责全区勘察设计市场监管工作；负责全区房屋建筑、市政工程质量、安全生产监督管理工作；负责全区市政工程建设管理和市政公用事业服务管理工作；负责指导、监督全区村镇建设工作；负责管理和指导全区国有土地上房屋征收和补偿工作；负责全区物业管理行业和物业服务企业的监督管理工作；负责推进全区建筑节能与建设科技进步工作；负责参与全区城建资金计划编制和管理工作；负责住房和城乡建设领域人才发展、对外交流与合作工作；负责散装水泥、预拌混凝土管理工作；负责墙体改革工作；负责人民防空建设管理工作；负责人民防空工程建设工作；负责人民防空指导工作；负责人民防空信息管理工作；负责人民防空应急救援服务工作；负责本行业、领域的应急管理工作，对本行业、领域的安全生产工作实施监督管理；完成区委、区政府交办的其他任务。</w:t>
      </w:r>
    </w:p>
    <w:p w14:paraId="6A756762">
      <w:pPr>
        <w:spacing w:line="600" w:lineRule="exact"/>
        <w:ind w:firstLine="482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（二）机构设置情况：</w:t>
      </w:r>
      <w:r>
        <w:rPr>
          <w:rFonts w:hint="eastAsia" w:ascii="宋体" w:hAnsi="宋体" w:cs="宋体"/>
          <w:sz w:val="24"/>
        </w:rPr>
        <w:t>我局是全额拨款的行政单位，根据编办核定，我局内设股室</w:t>
      </w:r>
      <w:r>
        <w:rPr>
          <w:rFonts w:ascii="宋体" w:hAnsi="宋体" w:cs="宋体"/>
          <w:sz w:val="24"/>
        </w:rPr>
        <w:t xml:space="preserve"> 8</w:t>
      </w:r>
      <w:r>
        <w:rPr>
          <w:rFonts w:hint="eastAsia" w:ascii="宋体" w:hAnsi="宋体" w:cs="宋体"/>
          <w:sz w:val="24"/>
        </w:rPr>
        <w:t>个，分别是办公室、政策法规股（加挂建设工程招标办公室牌子）、行政审批服务股、安全管理和行政监管股、城乡建设股（加挂墙体材料改革办公室牌子）、人防工程管理和指挥通信股、住房保障股（加挂区国有土地房屋征收管理办公室牌子）、市政管理股。</w:t>
      </w:r>
    </w:p>
    <w:p w14:paraId="73B464F1">
      <w:pPr>
        <w:spacing w:line="600" w:lineRule="exact"/>
        <w:ind w:firstLine="482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（三）人员编制情况：</w:t>
      </w:r>
      <w:r>
        <w:rPr>
          <w:rFonts w:ascii="宋体" w:hAnsi="宋体" w:cs="宋体"/>
          <w:sz w:val="24"/>
        </w:rPr>
        <w:t>2022</w:t>
      </w:r>
      <w:r>
        <w:rPr>
          <w:rFonts w:hint="eastAsia" w:ascii="宋体" w:hAnsi="宋体" w:cs="宋体"/>
          <w:sz w:val="24"/>
        </w:rPr>
        <w:t>年核定编制人数</w:t>
      </w:r>
      <w:r>
        <w:rPr>
          <w:rFonts w:ascii="宋体" w:hAnsi="宋体" w:cs="宋体"/>
          <w:sz w:val="24"/>
        </w:rPr>
        <w:t xml:space="preserve"> 15</w:t>
      </w:r>
      <w:r>
        <w:rPr>
          <w:rFonts w:hint="eastAsia" w:ascii="宋体" w:hAnsi="宋体" w:cs="宋体"/>
          <w:sz w:val="24"/>
        </w:rPr>
        <w:t>人，其中：行政编制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人，全额事业编制</w:t>
      </w:r>
      <w:r>
        <w:rPr>
          <w:rFonts w:ascii="宋体" w:hAnsi="宋体" w:cs="宋体"/>
          <w:sz w:val="24"/>
        </w:rPr>
        <w:t>10</w:t>
      </w:r>
      <w:r>
        <w:rPr>
          <w:rFonts w:hint="eastAsia" w:ascii="宋体" w:hAnsi="宋体" w:cs="宋体"/>
          <w:sz w:val="24"/>
        </w:rPr>
        <w:t>人，</w:t>
      </w:r>
      <w:r>
        <w:rPr>
          <w:rFonts w:ascii="宋体" w:hAnsi="宋体" w:cs="宋体"/>
          <w:sz w:val="24"/>
        </w:rPr>
        <w:t>2021</w:t>
      </w:r>
      <w:r>
        <w:rPr>
          <w:rFonts w:hint="eastAsia" w:ascii="宋体" w:hAnsi="宋体" w:cs="宋体"/>
          <w:sz w:val="24"/>
        </w:rPr>
        <w:t>年末实际在岗在编人数</w:t>
      </w:r>
      <w:r>
        <w:rPr>
          <w:rFonts w:ascii="宋体" w:hAnsi="宋体" w:cs="宋体"/>
          <w:sz w:val="24"/>
        </w:rPr>
        <w:t>15</w:t>
      </w:r>
      <w:r>
        <w:rPr>
          <w:rFonts w:hint="eastAsia" w:ascii="宋体" w:hAnsi="宋体" w:cs="宋体"/>
          <w:sz w:val="24"/>
        </w:rPr>
        <w:t>人，退休人员</w:t>
      </w:r>
      <w:r>
        <w:rPr>
          <w:rFonts w:ascii="宋体" w:hAnsi="宋体" w:cs="宋体"/>
          <w:sz w:val="24"/>
        </w:rPr>
        <w:t>16</w:t>
      </w:r>
      <w:r>
        <w:rPr>
          <w:rFonts w:hint="eastAsia" w:ascii="宋体" w:hAnsi="宋体" w:cs="宋体"/>
          <w:sz w:val="24"/>
        </w:rPr>
        <w:t>人，临聘人员</w:t>
      </w:r>
      <w:r>
        <w:rPr>
          <w:rFonts w:ascii="宋体" w:hAnsi="宋体" w:cs="宋体"/>
          <w:sz w:val="24"/>
        </w:rPr>
        <w:t xml:space="preserve"> 4</w:t>
      </w:r>
      <w:r>
        <w:rPr>
          <w:rFonts w:hint="eastAsia" w:ascii="宋体" w:hAnsi="宋体" w:cs="宋体"/>
          <w:sz w:val="24"/>
        </w:rPr>
        <w:t>人。</w:t>
      </w:r>
      <w:r>
        <w:rPr>
          <w:rFonts w:ascii="宋体" w:hAnsi="宋体" w:cs="宋体"/>
          <w:sz w:val="24"/>
        </w:rPr>
        <w:t xml:space="preserve"> </w:t>
      </w:r>
    </w:p>
    <w:p w14:paraId="3B6ABC3D">
      <w:pPr>
        <w:spacing w:line="600" w:lineRule="exact"/>
        <w:ind w:firstLine="482" w:firstLineChars="200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二、一般公共预算支出情况</w:t>
      </w:r>
    </w:p>
    <w:p w14:paraId="4FB20B7E">
      <w:pPr>
        <w:spacing w:line="600" w:lineRule="exact"/>
        <w:ind w:firstLine="482" w:firstLineChars="200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（一）基本支出情况</w:t>
      </w:r>
    </w:p>
    <w:p w14:paraId="44DD4F63">
      <w:pPr>
        <w:spacing w:line="6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基本支出系保障我局机构正常运转、完成日常工作任务而发生的各项支出，包括用于在职和离退休人员基本工资、津贴补贴等人员经费以及办公费、印刷费、水电费、办公设备购置等日常公用经费。</w:t>
      </w:r>
      <w:r>
        <w:rPr>
          <w:rFonts w:ascii="宋体" w:hAnsi="宋体" w:cs="宋体"/>
          <w:sz w:val="24"/>
        </w:rPr>
        <w:t>2022</w:t>
      </w:r>
      <w:r>
        <w:rPr>
          <w:rFonts w:hint="eastAsia" w:ascii="宋体" w:hAnsi="宋体" w:cs="宋体"/>
          <w:sz w:val="24"/>
        </w:rPr>
        <w:t>年基本支出</w:t>
      </w:r>
      <w:r>
        <w:rPr>
          <w:rFonts w:ascii="宋体" w:hAnsi="宋体" w:cs="宋体"/>
          <w:sz w:val="24"/>
        </w:rPr>
        <w:t>416.37</w:t>
      </w:r>
      <w:r>
        <w:rPr>
          <w:rFonts w:hint="eastAsia" w:ascii="宋体" w:hAnsi="宋体" w:cs="宋体"/>
          <w:sz w:val="24"/>
        </w:rPr>
        <w:t>万元，较上年增加</w:t>
      </w:r>
      <w:r>
        <w:rPr>
          <w:rFonts w:ascii="宋体" w:hAnsi="宋体" w:cs="宋体"/>
          <w:sz w:val="24"/>
        </w:rPr>
        <w:t>19.76</w:t>
      </w:r>
      <w:r>
        <w:rPr>
          <w:rFonts w:hint="eastAsia" w:ascii="宋体" w:hAnsi="宋体" w:cs="宋体"/>
          <w:sz w:val="24"/>
        </w:rPr>
        <w:t>万元，主要是人员异动，增加的人员经费及医保铺底等。基本支出中人员经费</w:t>
      </w:r>
      <w:r>
        <w:rPr>
          <w:rFonts w:ascii="宋体" w:hAnsi="宋体" w:cs="宋体"/>
          <w:sz w:val="24"/>
        </w:rPr>
        <w:t>296.29</w:t>
      </w:r>
      <w:r>
        <w:rPr>
          <w:rFonts w:hint="eastAsia" w:ascii="宋体" w:hAnsi="宋体" w:cs="宋体"/>
          <w:sz w:val="24"/>
        </w:rPr>
        <w:t>元，占基本支出的</w:t>
      </w:r>
      <w:r>
        <w:rPr>
          <w:rFonts w:ascii="宋体" w:hAnsi="宋体" w:cs="宋体"/>
          <w:sz w:val="24"/>
        </w:rPr>
        <w:t>71.16%</w:t>
      </w:r>
      <w:r>
        <w:rPr>
          <w:rFonts w:hint="eastAsia" w:ascii="宋体" w:hAnsi="宋体" w:cs="宋体"/>
          <w:sz w:val="24"/>
        </w:rPr>
        <w:t>，较上年增加</w:t>
      </w:r>
      <w:r>
        <w:rPr>
          <w:rFonts w:ascii="宋体" w:hAnsi="宋体" w:cs="宋体"/>
          <w:sz w:val="24"/>
        </w:rPr>
        <w:t>31.6</w:t>
      </w:r>
      <w:r>
        <w:rPr>
          <w:rFonts w:hint="eastAsia" w:ascii="宋体" w:hAnsi="宋体" w:cs="宋体"/>
          <w:sz w:val="24"/>
        </w:rPr>
        <w:t>万元；主要是招考了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名工作人员，及医保铺底等经费。日常公用经费</w:t>
      </w:r>
      <w:r>
        <w:rPr>
          <w:rFonts w:ascii="宋体" w:hAnsi="宋体" w:cs="宋体"/>
          <w:sz w:val="24"/>
        </w:rPr>
        <w:t>120.08</w:t>
      </w:r>
      <w:r>
        <w:rPr>
          <w:rFonts w:hint="eastAsia" w:ascii="宋体" w:hAnsi="宋体" w:cs="宋体"/>
          <w:sz w:val="24"/>
        </w:rPr>
        <w:t>元，占基本支出的</w:t>
      </w:r>
      <w:r>
        <w:rPr>
          <w:rFonts w:ascii="宋体" w:hAnsi="宋体" w:cs="宋体"/>
          <w:sz w:val="24"/>
        </w:rPr>
        <w:t>28.84%</w:t>
      </w:r>
      <w:r>
        <w:rPr>
          <w:rFonts w:hint="eastAsia" w:ascii="宋体" w:hAnsi="宋体" w:cs="宋体"/>
          <w:sz w:val="24"/>
        </w:rPr>
        <w:t>，较上年减少</w:t>
      </w:r>
      <w:r>
        <w:rPr>
          <w:rFonts w:ascii="宋体" w:hAnsi="宋体" w:cs="宋体"/>
          <w:sz w:val="24"/>
        </w:rPr>
        <w:t>11.86</w:t>
      </w:r>
      <w:r>
        <w:rPr>
          <w:rFonts w:hint="eastAsia" w:ascii="宋体" w:hAnsi="宋体" w:cs="宋体"/>
          <w:sz w:val="24"/>
        </w:rPr>
        <w:t>万元，下降</w:t>
      </w:r>
      <w:r>
        <w:rPr>
          <w:rFonts w:ascii="宋体" w:hAnsi="宋体" w:cs="宋体"/>
          <w:sz w:val="24"/>
        </w:rPr>
        <w:t>9%</w:t>
      </w:r>
      <w:r>
        <w:rPr>
          <w:rFonts w:hint="eastAsia" w:ascii="宋体" w:hAnsi="宋体" w:cs="宋体"/>
          <w:sz w:val="24"/>
        </w:rPr>
        <w:t>，主要原因是受疫情影响和压减非重点、刚性支出要求，我单位厉行节约、严格把关，严控三公经费支出，大力压减公用经费支出。</w:t>
      </w:r>
    </w:p>
    <w:p w14:paraId="0C8E1DE6">
      <w:pPr>
        <w:spacing w:line="600" w:lineRule="exact"/>
        <w:ind w:firstLine="482" w:firstLineChars="200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（二）项目支出情况</w:t>
      </w:r>
    </w:p>
    <w:p w14:paraId="21901599">
      <w:pPr>
        <w:spacing w:line="6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项目支出系我局为完成全区住房和建设工程管理工作而发生的支出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包括污水处理运营费、全区房屋建筑和市政设施风险普查、老旧小区改造、古镇提质项目等。</w:t>
      </w:r>
      <w:r>
        <w:rPr>
          <w:rFonts w:ascii="宋体" w:hAnsi="宋体" w:cs="宋体"/>
          <w:sz w:val="24"/>
        </w:rPr>
        <w:t>2022</w:t>
      </w:r>
      <w:r>
        <w:rPr>
          <w:rFonts w:hint="eastAsia" w:ascii="宋体" w:hAnsi="宋体" w:cs="宋体"/>
          <w:sz w:val="24"/>
        </w:rPr>
        <w:t>年项目支出</w:t>
      </w:r>
      <w:r>
        <w:rPr>
          <w:rFonts w:ascii="宋体" w:hAnsi="宋体" w:cs="宋体"/>
          <w:sz w:val="24"/>
        </w:rPr>
        <w:t>2929.63</w:t>
      </w:r>
      <w:r>
        <w:rPr>
          <w:rFonts w:hint="eastAsia" w:ascii="宋体" w:hAnsi="宋体" w:cs="宋体"/>
          <w:sz w:val="24"/>
        </w:rPr>
        <w:t>万元。主要原因是污水处理运营费、全区房屋建筑和市政设施风险普查、老旧小区改造、古镇提质项目等重点项目系政府融资投入，未纳入部门预算。</w:t>
      </w:r>
    </w:p>
    <w:p w14:paraId="347FFC51">
      <w:pPr>
        <w:spacing w:line="600" w:lineRule="exact"/>
        <w:ind w:firstLine="482" w:firstLineChars="200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三、部门整体支出绩效情况</w:t>
      </w:r>
    </w:p>
    <w:p w14:paraId="219B8221">
      <w:pPr>
        <w:spacing w:line="600" w:lineRule="exact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2022</w:t>
      </w:r>
      <w:r>
        <w:rPr>
          <w:rFonts w:hint="eastAsia" w:ascii="宋体" w:hAnsi="宋体" w:cs="宋体"/>
          <w:sz w:val="24"/>
        </w:rPr>
        <w:t>年是极不平凡、极其不易的一年。受新冠肺炎疫情的严重冲击，全局人员在区委、区政府的坚强领导下，迎难而上、砥砺奋进，全年预算执行总体良好，各项工作任务圆满完成。</w:t>
      </w:r>
    </w:p>
    <w:p w14:paraId="709C50BE">
      <w:pPr>
        <w:spacing w:line="600" w:lineRule="exact"/>
        <w:ind w:firstLine="482" w:firstLineChars="200"/>
      </w:pPr>
      <w:r>
        <w:rPr>
          <w:rFonts w:ascii="宋体" w:hAnsi="宋体" w:cs="宋体"/>
          <w:b/>
          <w:bCs/>
          <w:sz w:val="24"/>
        </w:rPr>
        <w:t>1</w:t>
      </w:r>
      <w:r>
        <w:rPr>
          <w:rFonts w:hint="eastAsia" w:ascii="宋体" w:hAnsi="宋体" w:cs="宋体"/>
          <w:b/>
          <w:bCs/>
          <w:sz w:val="24"/>
        </w:rPr>
        <w:t>、进一步规范财务管理</w:t>
      </w:r>
      <w:r>
        <w:rPr>
          <w:rFonts w:hint="eastAsia" w:ascii="宋体" w:hAnsi="宋体" w:cs="宋体"/>
          <w:sz w:val="24"/>
        </w:rPr>
        <w:t>。今年，根据</w:t>
      </w:r>
      <w:bookmarkStart w:id="0" w:name="_GoBack"/>
      <w:bookmarkEnd w:id="0"/>
      <w:r>
        <w:rPr>
          <w:rFonts w:hint="eastAsia" w:ascii="宋体" w:hAnsi="宋体" w:cs="宋体"/>
          <w:sz w:val="24"/>
          <w:lang w:eastAsia="zh-CN"/>
        </w:rPr>
        <w:t>中央八项规定精神</w:t>
      </w:r>
      <w:r>
        <w:rPr>
          <w:rFonts w:hint="eastAsia" w:ascii="宋体" w:hAnsi="宋体" w:cs="宋体"/>
          <w:sz w:val="24"/>
        </w:rPr>
        <w:t>以及财务管理方面的法律、法规和审计等部门的意见，我局对机关财务管理制度进一步进行了完善。同时，在财务开支把关方面认真执行相关文件并严格财务开支审批程序，加强对差旅费、会议费、接待费、公务用车运行经费等各项开支的管理。重点保障机关运转及重点工作的需要，大力压缩一般性支出，提高财政资金使用效益。</w:t>
      </w:r>
    </w:p>
    <w:p w14:paraId="64412330">
      <w:pPr>
        <w:pStyle w:val="14"/>
        <w:shd w:val="clear" w:color="auto" w:fill="FFFFFF"/>
        <w:spacing w:before="0" w:beforeAutospacing="0" w:after="0" w:afterAutospacing="0" w:line="520" w:lineRule="exact"/>
        <w:ind w:firstLine="640"/>
        <w:rPr>
          <w:kern w:val="2"/>
        </w:rPr>
      </w:pPr>
      <w:r>
        <w:rPr>
          <w:b/>
        </w:rPr>
        <w:t>2</w:t>
      </w:r>
      <w:r>
        <w:rPr>
          <w:rFonts w:hint="eastAsia"/>
          <w:b/>
        </w:rPr>
        <w:t>、紧盯任务指标，工作有序开展。</w:t>
      </w:r>
      <w:r>
        <w:rPr>
          <w:rFonts w:hint="eastAsia"/>
          <w:b/>
          <w:bCs/>
          <w:kern w:val="2"/>
        </w:rPr>
        <w:t>“聚力中心化攻坚年”工作加快落实。</w:t>
      </w:r>
      <w:r>
        <w:rPr>
          <w:rFonts w:hint="eastAsia"/>
          <w:kern w:val="2"/>
        </w:rPr>
        <w:t>净增“四上”下达任务指标数为</w:t>
      </w:r>
      <w:r>
        <w:rPr>
          <w:kern w:val="2"/>
        </w:rPr>
        <w:t>4</w:t>
      </w:r>
      <w:r>
        <w:rPr>
          <w:rFonts w:hint="eastAsia"/>
          <w:kern w:val="2"/>
        </w:rPr>
        <w:t>家（其中建筑业企业</w:t>
      </w:r>
      <w:r>
        <w:rPr>
          <w:kern w:val="2"/>
        </w:rPr>
        <w:t>3</w:t>
      </w:r>
      <w:r>
        <w:rPr>
          <w:rFonts w:hint="eastAsia"/>
          <w:kern w:val="2"/>
        </w:rPr>
        <w:t>家、房地产业企业</w:t>
      </w:r>
      <w:r>
        <w:rPr>
          <w:kern w:val="2"/>
        </w:rPr>
        <w:t>1</w:t>
      </w:r>
      <w:r>
        <w:rPr>
          <w:rFonts w:hint="eastAsia"/>
          <w:kern w:val="2"/>
        </w:rPr>
        <w:t>家）。今年建筑业税收</w:t>
      </w:r>
      <w:r>
        <w:rPr>
          <w:kern w:val="2"/>
        </w:rPr>
        <w:t>632</w:t>
      </w:r>
      <w:r>
        <w:rPr>
          <w:rFonts w:hint="eastAsia"/>
          <w:kern w:val="2"/>
        </w:rPr>
        <w:t>万元，实现税收正增长，确保了住建领域税收应收尽收。</w:t>
      </w:r>
      <w:r>
        <w:rPr>
          <w:rFonts w:hint="eastAsia"/>
          <w:b/>
          <w:bCs/>
          <w:kern w:val="2"/>
        </w:rPr>
        <w:t>老旧小区改造稳步推进，</w:t>
      </w:r>
      <w:r>
        <w:rPr>
          <w:kern w:val="2"/>
        </w:rPr>
        <w:t>2022</w:t>
      </w:r>
      <w:r>
        <w:rPr>
          <w:rFonts w:hint="eastAsia"/>
          <w:kern w:val="2"/>
        </w:rPr>
        <w:t>年老旧小区改造任务为</w:t>
      </w:r>
      <w:r>
        <w:rPr>
          <w:kern w:val="2"/>
        </w:rPr>
        <w:t>9</w:t>
      </w:r>
      <w:r>
        <w:rPr>
          <w:rFonts w:hint="eastAsia"/>
          <w:kern w:val="2"/>
        </w:rPr>
        <w:t>个，积极向上级争取资金</w:t>
      </w:r>
      <w:r>
        <w:rPr>
          <w:kern w:val="2"/>
        </w:rPr>
        <w:t>900</w:t>
      </w:r>
      <w:r>
        <w:rPr>
          <w:rFonts w:hint="eastAsia"/>
          <w:kern w:val="2"/>
        </w:rPr>
        <w:t>余万元，为顺利实施项目提供了资金保障。目前，该项目已开工建设，并完成了总工程量的</w:t>
      </w:r>
      <w:r>
        <w:rPr>
          <w:kern w:val="2"/>
        </w:rPr>
        <w:t>60%</w:t>
      </w:r>
      <w:r>
        <w:rPr>
          <w:rFonts w:hint="eastAsia"/>
          <w:kern w:val="2"/>
        </w:rPr>
        <w:t>，计划</w:t>
      </w:r>
      <w:r>
        <w:rPr>
          <w:kern w:val="2"/>
        </w:rPr>
        <w:t>12</w:t>
      </w:r>
      <w:r>
        <w:rPr>
          <w:rFonts w:hint="eastAsia"/>
          <w:kern w:val="2"/>
        </w:rPr>
        <w:t>月底完工。</w:t>
      </w:r>
      <w:r>
        <w:rPr>
          <w:rFonts w:hint="eastAsia"/>
          <w:b/>
          <w:bCs/>
          <w:kern w:val="2"/>
        </w:rPr>
        <w:t>电梯加装比超赶先，</w:t>
      </w:r>
      <w:r>
        <w:rPr>
          <w:rFonts w:hint="eastAsia"/>
          <w:kern w:val="2"/>
        </w:rPr>
        <w:t>今年我局完成既有住宅加装电梯任务为</w:t>
      </w:r>
      <w:r>
        <w:rPr>
          <w:kern w:val="2"/>
        </w:rPr>
        <w:t>20</w:t>
      </w:r>
      <w:r>
        <w:rPr>
          <w:rFonts w:hint="eastAsia"/>
          <w:kern w:val="2"/>
        </w:rPr>
        <w:t>台。目前，已完成加装电梯审批建设</w:t>
      </w:r>
      <w:r>
        <w:rPr>
          <w:kern w:val="2"/>
        </w:rPr>
        <w:t>25</w:t>
      </w:r>
      <w:r>
        <w:rPr>
          <w:rFonts w:hint="eastAsia"/>
          <w:kern w:val="2"/>
        </w:rPr>
        <w:t>台，完成率</w:t>
      </w:r>
      <w:r>
        <w:rPr>
          <w:kern w:val="2"/>
        </w:rPr>
        <w:t>125%</w:t>
      </w:r>
      <w:r>
        <w:rPr>
          <w:rFonts w:hint="eastAsia"/>
          <w:kern w:val="2"/>
        </w:rPr>
        <w:t>。</w:t>
      </w:r>
      <w:r>
        <w:rPr>
          <w:rFonts w:hint="eastAsia"/>
          <w:b/>
          <w:bCs/>
          <w:kern w:val="2"/>
        </w:rPr>
        <w:t>“见南山”项目建设持续推进。</w:t>
      </w:r>
      <w:r>
        <w:rPr>
          <w:rFonts w:hint="eastAsia"/>
          <w:kern w:val="2"/>
        </w:rPr>
        <w:t>投资约</w:t>
      </w:r>
      <w:r>
        <w:rPr>
          <w:kern w:val="2"/>
        </w:rPr>
        <w:t>21</w:t>
      </w:r>
      <w:r>
        <w:rPr>
          <w:rFonts w:hint="eastAsia"/>
          <w:kern w:val="2"/>
        </w:rPr>
        <w:t>亿元“见南山”项目目前完成总图及营销中心单体图审批、《建设用地规划许可证》办理、二期发改立项备案、南山路施工口及施工区洗车槽、禹王路大门口及北侧施工道路硬化，门楼实名制通道、生活区管网及化粪池修建、一期综合楼主体建设，并启动酒店主体工程建设。</w:t>
      </w:r>
      <w:r>
        <w:rPr>
          <w:rFonts w:hint="eastAsia"/>
          <w:b/>
          <w:bCs/>
          <w:kern w:val="2"/>
        </w:rPr>
        <w:t>房屋隐患全面排查。</w:t>
      </w:r>
      <w:r>
        <w:rPr>
          <w:rFonts w:hint="eastAsia"/>
          <w:kern w:val="2"/>
        </w:rPr>
        <w:t>我局牵头组织开展居民自建房安全专项整治及百日攻坚行动，完成</w:t>
      </w:r>
      <w:r>
        <w:rPr>
          <w:kern w:val="2"/>
        </w:rPr>
        <w:t>10248</w:t>
      </w:r>
      <w:r>
        <w:rPr>
          <w:rFonts w:hint="eastAsia"/>
          <w:kern w:val="2"/>
        </w:rPr>
        <w:t>户居民自建房隐患排查及</w:t>
      </w:r>
      <w:r>
        <w:rPr>
          <w:kern w:val="2"/>
        </w:rPr>
        <w:t>688</w:t>
      </w:r>
      <w:r>
        <w:rPr>
          <w:rFonts w:hint="eastAsia"/>
          <w:kern w:val="2"/>
        </w:rPr>
        <w:t>栋自建房安全鉴定工作；完成省检第一阶段</w:t>
      </w:r>
      <w:r>
        <w:rPr>
          <w:kern w:val="2"/>
        </w:rPr>
        <w:t>20</w:t>
      </w:r>
      <w:r>
        <w:rPr>
          <w:rFonts w:hint="eastAsia"/>
          <w:kern w:val="2"/>
        </w:rPr>
        <w:t>栋自建房安全隐患整治工作。</w:t>
      </w:r>
      <w:r>
        <w:rPr>
          <w:rFonts w:hint="eastAsia"/>
          <w:b/>
          <w:bCs/>
          <w:kern w:val="2"/>
        </w:rPr>
        <w:t>历史文化街区改造逐步推进。</w:t>
      </w:r>
      <w:r>
        <w:rPr>
          <w:rFonts w:hint="eastAsia"/>
          <w:kern w:val="2"/>
        </w:rPr>
        <w:t>根据《北支街历史文化名街整治规划》联合街道、社区对改造模式进行调研，初步形成改造方案。由于省市历史文化名城规划一直未定，该项工作现在暂停实施。</w:t>
      </w:r>
    </w:p>
    <w:p w14:paraId="474E43CE">
      <w:pPr>
        <w:spacing w:line="520" w:lineRule="exact"/>
        <w:rPr>
          <w:rFonts w:asci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城区管网及污水处理厂提质改造扎实推进。</w:t>
      </w:r>
      <w:r>
        <w:rPr>
          <w:rFonts w:hint="eastAsia" w:ascii="宋体" w:hAnsi="宋体" w:cs="宋体"/>
          <w:sz w:val="24"/>
        </w:rPr>
        <w:t>一是总投资约</w:t>
      </w:r>
      <w:r>
        <w:rPr>
          <w:rFonts w:ascii="宋体" w:hAnsi="宋体" w:cs="宋体"/>
          <w:sz w:val="24"/>
        </w:rPr>
        <w:t>1.5</w:t>
      </w:r>
      <w:r>
        <w:rPr>
          <w:rFonts w:hint="eastAsia" w:ascii="宋体" w:hAnsi="宋体" w:cs="宋体"/>
          <w:sz w:val="24"/>
        </w:rPr>
        <w:t>亿元的南岳区污水处理厂提质改造项目已完成预处理池、中间提升泵站、除臭设备池、配电间和鼓风设备房的基础建设、</w:t>
      </w:r>
      <w:r>
        <w:rPr>
          <w:rFonts w:ascii="宋体" w:hAnsi="宋体" w:cs="宋体"/>
          <w:sz w:val="24"/>
        </w:rPr>
        <w:t>AA/O</w:t>
      </w:r>
      <w:r>
        <w:rPr>
          <w:rFonts w:hint="eastAsia" w:ascii="宋体" w:hAnsi="宋体" w:cs="宋体"/>
          <w:sz w:val="24"/>
        </w:rPr>
        <w:t>生物池、二沉池基础锚杆，完成工程量的</w:t>
      </w:r>
      <w:r>
        <w:rPr>
          <w:rFonts w:ascii="宋体" w:hAnsi="宋体" w:cs="宋体"/>
          <w:sz w:val="24"/>
        </w:rPr>
        <w:t>40%</w:t>
      </w:r>
      <w:r>
        <w:rPr>
          <w:rFonts w:hint="eastAsia" w:ascii="宋体" w:hAnsi="宋体" w:cs="宋体"/>
          <w:sz w:val="24"/>
        </w:rPr>
        <w:t>；二是加强污水管网日常维护。全年组织专业施工队伍对河道污水收集管网进行了疏浚、清理和维修，更换污水支管</w:t>
      </w:r>
      <w:r>
        <w:rPr>
          <w:rFonts w:ascii="宋体" w:hAnsi="宋体" w:cs="宋体"/>
          <w:sz w:val="24"/>
        </w:rPr>
        <w:t>1200</w:t>
      </w:r>
      <w:r>
        <w:rPr>
          <w:rFonts w:hint="eastAsia" w:ascii="宋体" w:hAnsi="宋体" w:cs="宋体"/>
          <w:sz w:val="24"/>
        </w:rPr>
        <w:t>余米，井座井筒</w:t>
      </w:r>
      <w:r>
        <w:rPr>
          <w:rFonts w:ascii="宋体" w:hAnsi="宋体" w:cs="宋体"/>
          <w:sz w:val="24"/>
        </w:rPr>
        <w:t>30</w:t>
      </w:r>
      <w:r>
        <w:rPr>
          <w:rFonts w:hint="eastAsia" w:ascii="宋体" w:hAnsi="宋体" w:cs="宋体"/>
          <w:sz w:val="24"/>
        </w:rPr>
        <w:t>余套。将南岳区龙荫港流域水环境综合治理项目、南岳区鑫盛路片区排水管网建设项目、南岳区背街小巷及天子山南路排水管道改造等项目纳入发改</w:t>
      </w:r>
      <w:r>
        <w:rPr>
          <w:rFonts w:ascii="宋体" w:hAnsi="宋体" w:cs="宋体"/>
          <w:sz w:val="24"/>
        </w:rPr>
        <w:t>2023</w:t>
      </w:r>
      <w:r>
        <w:rPr>
          <w:rFonts w:hint="eastAsia" w:ascii="宋体" w:hAnsi="宋体" w:cs="宋体"/>
          <w:sz w:val="24"/>
        </w:rPr>
        <w:t>年争资争项目库。</w:t>
      </w:r>
    </w:p>
    <w:p w14:paraId="372B8A01">
      <w:pPr>
        <w:spacing w:line="600" w:lineRule="exact"/>
        <w:ind w:firstLine="482" w:firstLineChars="200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四、存在的问题及原因分析</w:t>
      </w:r>
    </w:p>
    <w:p w14:paraId="726A33D4">
      <w:pPr>
        <w:spacing w:line="600" w:lineRule="exact"/>
        <w:ind w:firstLine="480" w:firstLineChars="20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、机关预算收支情况：预算制不够完整、预算数和执行数有差额。我局</w:t>
      </w:r>
      <w:r>
        <w:rPr>
          <w:rFonts w:ascii="宋体" w:hAnsi="宋体" w:cs="宋体"/>
          <w:kern w:val="0"/>
          <w:sz w:val="24"/>
        </w:rPr>
        <w:t>2022</w:t>
      </w:r>
      <w:r>
        <w:rPr>
          <w:rFonts w:hint="eastAsia" w:ascii="宋体" w:hAnsi="宋体" w:cs="宋体"/>
          <w:kern w:val="0"/>
          <w:sz w:val="24"/>
        </w:rPr>
        <w:t>年部门收入预算数</w:t>
      </w:r>
      <w:r>
        <w:rPr>
          <w:rFonts w:ascii="宋体" w:hAnsi="宋体" w:cs="宋体"/>
          <w:kern w:val="0"/>
          <w:sz w:val="24"/>
        </w:rPr>
        <w:t>263.97</w:t>
      </w:r>
      <w:r>
        <w:rPr>
          <w:rFonts w:hint="eastAsia" w:ascii="宋体" w:hAnsi="宋体" w:cs="宋体"/>
          <w:kern w:val="0"/>
          <w:sz w:val="24"/>
        </w:rPr>
        <w:t>万元，剔除预留经费和区性项目安排的支出后预算执行数</w:t>
      </w:r>
      <w:r>
        <w:rPr>
          <w:rFonts w:ascii="宋体" w:hAnsi="宋体" w:cs="宋体"/>
          <w:kern w:val="0"/>
          <w:sz w:val="24"/>
        </w:rPr>
        <w:t>416.37</w:t>
      </w:r>
      <w:r>
        <w:rPr>
          <w:rFonts w:hint="eastAsia" w:ascii="宋体" w:hAnsi="宋体" w:cs="宋体"/>
          <w:kern w:val="0"/>
          <w:sz w:val="24"/>
        </w:rPr>
        <w:t>万元，预算执行数是预算数的</w:t>
      </w:r>
      <w:r>
        <w:rPr>
          <w:rFonts w:ascii="宋体" w:hAnsi="宋体" w:cs="宋体"/>
          <w:kern w:val="0"/>
          <w:sz w:val="24"/>
        </w:rPr>
        <w:t>1.57</w:t>
      </w:r>
      <w:r>
        <w:rPr>
          <w:rFonts w:hint="eastAsia" w:ascii="宋体" w:hAnsi="宋体" w:cs="宋体"/>
          <w:kern w:val="0"/>
          <w:sz w:val="24"/>
        </w:rPr>
        <w:t>倍，超出</w:t>
      </w:r>
      <w:r>
        <w:rPr>
          <w:rFonts w:ascii="宋体" w:hAnsi="宋体" w:cs="宋体"/>
          <w:kern w:val="0"/>
          <w:sz w:val="24"/>
        </w:rPr>
        <w:t>152.4</w:t>
      </w:r>
      <w:r>
        <w:rPr>
          <w:rFonts w:hint="eastAsia" w:ascii="宋体" w:hAnsi="宋体" w:cs="宋体"/>
          <w:kern w:val="0"/>
          <w:sz w:val="24"/>
        </w:rPr>
        <w:t>万元。主要原因是：医保铺底、人员绩效奖等未纳入年初预算。鉴于以上实际情况，我局以后将科学合理编制本单位预算，进一步做细、做实、做准预算，提高预算编制的准确性和科学性。</w:t>
      </w:r>
    </w:p>
    <w:p w14:paraId="2916159E">
      <w:pPr>
        <w:spacing w:line="600" w:lineRule="exact"/>
        <w:ind w:firstLine="480" w:firstLineChars="20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、部分项目实施与预算执行存在脱节。</w:t>
      </w:r>
    </w:p>
    <w:p w14:paraId="02A67DC4">
      <w:pPr>
        <w:spacing w:line="600" w:lineRule="exact"/>
        <w:ind w:firstLine="480" w:firstLineChars="200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受疫情影响，部分项目启动较晚，实施周期相对较长，导致项目验收晚，预算执行进度偏慢，相对比较集中。我们将在下年予以重视，督促项目实施单位早启动、早实施、早验收，对符合条件的项目按照项目进度支付相关款项。</w:t>
      </w:r>
    </w:p>
    <w:p w14:paraId="49D30E89">
      <w:pPr>
        <w:spacing w:line="600" w:lineRule="exact"/>
        <w:ind w:firstLine="482" w:firstLineChars="200"/>
        <w:rPr>
          <w:rFonts w:ascii="宋体" w:cs="宋体"/>
          <w:b/>
          <w:color w:val="333333"/>
          <w:kern w:val="0"/>
          <w:sz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</w:rPr>
        <w:t>五、改进的措施和建议</w:t>
      </w:r>
    </w:p>
    <w:p w14:paraId="49F090C9">
      <w:pPr>
        <w:spacing w:line="600" w:lineRule="exact"/>
        <w:ind w:firstLine="480" w:firstLineChars="200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针对上述存在的问题及我局整体支出管理工作的需要，拟实施的改进措施如下：</w:t>
      </w:r>
    </w:p>
    <w:p w14:paraId="48270C13">
      <w:pPr>
        <w:spacing w:line="600" w:lineRule="exact"/>
        <w:ind w:firstLine="480" w:firstLineChars="200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细化预算编制工作。进一步强化预算管理意识，严格按照预算编制的相关制度和要求，公用经费根据单位的年度工作重点和项目专项工作规划，本着“勤俭节约、保障运转”的原则进行预算的编制。编制范围尽可能的全面、完整，进一步提高预算编制的科学性、合理性、严谨性和可控性，尽最大可能减少预决算执行差异。</w:t>
      </w:r>
    </w:p>
    <w:p w14:paraId="11C6AD14">
      <w:pPr>
        <w:spacing w:line="600" w:lineRule="exact"/>
        <w:ind w:firstLine="480" w:firstLineChars="200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强化绩效管理意识。进一步强化绩效理念，将绩效管理理念贯穿于资金分配到资金使用全过程，加大资金整合力度，强化专项资金管理，把有限的资金用在刀刃上，提高财政资金使用效益。同时，抓好内控制度建设，进一步降低行政成本，确保资金安全，进一步推进廉洁高效政府建设。</w:t>
      </w:r>
    </w:p>
    <w:p w14:paraId="09220DFC">
      <w:pPr>
        <w:spacing w:line="600" w:lineRule="exact"/>
        <w:ind w:firstLine="480" w:firstLineChars="200"/>
        <w:rPr>
          <w:rFonts w:ascii="宋体" w:cs="宋体"/>
          <w:kern w:val="0"/>
          <w:sz w:val="24"/>
        </w:rPr>
      </w:pPr>
    </w:p>
    <w:p w14:paraId="3FC4CE91">
      <w:pPr>
        <w:spacing w:line="600" w:lineRule="exact"/>
        <w:ind w:firstLine="480" w:firstLineChars="200"/>
        <w:rPr>
          <w:rFonts w:ascii="宋体" w:cs="宋体"/>
          <w:kern w:val="0"/>
          <w:sz w:val="24"/>
        </w:rPr>
      </w:pPr>
    </w:p>
    <w:p w14:paraId="05F334F2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9CB204A">
      <w:pPr>
        <w:spacing w:line="520" w:lineRule="exact"/>
        <w:rPr>
          <w:rFonts w:ascii="宋体" w:cs="宋体"/>
          <w:sz w:val="30"/>
          <w:szCs w:val="30"/>
        </w:rPr>
      </w:pPr>
    </w:p>
    <w:p w14:paraId="5735BAD7">
      <w:pPr>
        <w:pStyle w:val="2"/>
      </w:pPr>
    </w:p>
    <w:p w14:paraId="73B947F9">
      <w:pPr>
        <w:spacing w:line="600" w:lineRule="exact"/>
        <w:ind w:firstLine="482" w:firstLineChars="200"/>
        <w:rPr>
          <w:rFonts w:ascii="宋体" w:cs="宋体"/>
          <w:b/>
          <w:sz w:val="24"/>
        </w:rPr>
      </w:pPr>
    </w:p>
    <w:p w14:paraId="1D13A45C">
      <w:pPr>
        <w:spacing w:line="600" w:lineRule="exact"/>
        <w:ind w:firstLine="480" w:firstLineChars="200"/>
        <w:rPr>
          <w:rFonts w:ascii="宋体" w:cs="宋体"/>
          <w:kern w:val="0"/>
          <w:sz w:val="24"/>
        </w:rPr>
      </w:pPr>
    </w:p>
    <w:p w14:paraId="070532BB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B21B455">
      <w:pPr>
        <w:spacing w:line="520" w:lineRule="exact"/>
        <w:rPr>
          <w:rFonts w:ascii="宋体" w:cs="宋体"/>
          <w:sz w:val="30"/>
          <w:szCs w:val="30"/>
        </w:rPr>
      </w:pPr>
    </w:p>
    <w:p w14:paraId="6159764A"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800B6"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BDD2598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0CC7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1432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74654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D8AA5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6BD1E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Q0ZTE5NmI3NWJhZDI1NTdkYjdlNzIwYWIxYjI4MDQifQ=="/>
  </w:docVars>
  <w:rsids>
    <w:rsidRoot w:val="58E06247"/>
    <w:rsid w:val="0006194A"/>
    <w:rsid w:val="00166D19"/>
    <w:rsid w:val="00490998"/>
    <w:rsid w:val="00881676"/>
    <w:rsid w:val="00893113"/>
    <w:rsid w:val="00F54853"/>
    <w:rsid w:val="099A3028"/>
    <w:rsid w:val="09CE6D8F"/>
    <w:rsid w:val="149B2A0B"/>
    <w:rsid w:val="173D3BF6"/>
    <w:rsid w:val="20E67351"/>
    <w:rsid w:val="21A36532"/>
    <w:rsid w:val="27C437DE"/>
    <w:rsid w:val="28606852"/>
    <w:rsid w:val="29121970"/>
    <w:rsid w:val="29EF7861"/>
    <w:rsid w:val="2A5657A8"/>
    <w:rsid w:val="30BE2A8F"/>
    <w:rsid w:val="3D791D75"/>
    <w:rsid w:val="429F3322"/>
    <w:rsid w:val="43102595"/>
    <w:rsid w:val="4A1504A0"/>
    <w:rsid w:val="52C14B04"/>
    <w:rsid w:val="55A02E49"/>
    <w:rsid w:val="58E06247"/>
    <w:rsid w:val="59365623"/>
    <w:rsid w:val="5DA220D3"/>
    <w:rsid w:val="60213137"/>
    <w:rsid w:val="64A2122F"/>
    <w:rsid w:val="6713109A"/>
    <w:rsid w:val="67B42849"/>
    <w:rsid w:val="6E602716"/>
    <w:rsid w:val="71BD756A"/>
    <w:rsid w:val="751B6785"/>
    <w:rsid w:val="7612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pPr>
      <w:spacing w:after="12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Body Text Char"/>
    <w:basedOn w:val="7"/>
    <w:link w:val="2"/>
    <w:semiHidden/>
    <w:uiPriority w:val="99"/>
    <w:rPr>
      <w:rFonts w:ascii="Calibri" w:hAnsi="Calibri"/>
      <w:szCs w:val="24"/>
    </w:rPr>
  </w:style>
  <w:style w:type="character" w:customStyle="1" w:styleId="9">
    <w:name w:val="Footer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Header Char"/>
    <w:basedOn w:val="7"/>
    <w:link w:val="4"/>
    <w:semiHidden/>
    <w:qFormat/>
    <w:uiPriority w:val="99"/>
    <w:rPr>
      <w:rFonts w:ascii="Calibri" w:hAnsi="Calibri"/>
      <w:sz w:val="18"/>
      <w:szCs w:val="18"/>
    </w:rPr>
  </w:style>
  <w:style w:type="paragraph" w:customStyle="1" w:styleId="11">
    <w:name w:val="样式3"/>
    <w:basedOn w:val="1"/>
    <w:qFormat/>
    <w:uiPriority w:val="99"/>
    <w:rPr>
      <w:rFonts w:ascii="Times New Roman" w:hAnsi="Times New Roman" w:eastAsia="仿宋_GB2312"/>
      <w:spacing w:val="113"/>
      <w:sz w:val="32"/>
    </w:rPr>
  </w:style>
  <w:style w:type="paragraph" w:customStyle="1" w:styleId="12">
    <w:name w:val="样式4"/>
    <w:basedOn w:val="1"/>
    <w:qFormat/>
    <w:uiPriority w:val="99"/>
    <w:rPr>
      <w:rFonts w:ascii="Times New Roman" w:hAnsi="Times New Roman" w:eastAsia="仿宋_GB2312"/>
      <w:spacing w:val="79"/>
      <w:sz w:val="32"/>
    </w:rPr>
  </w:style>
  <w:style w:type="paragraph" w:customStyle="1" w:styleId="13">
    <w:name w:val="样式6"/>
    <w:basedOn w:val="1"/>
    <w:uiPriority w:val="99"/>
    <w:rPr>
      <w:rFonts w:ascii="Times New Roman" w:hAnsi="Times New Roman" w:eastAsia="仿宋_GB2312"/>
      <w:spacing w:val="57"/>
      <w:sz w:val="32"/>
    </w:rPr>
  </w:style>
  <w:style w:type="paragraph" w:customStyle="1" w:styleId="14">
    <w:name w:val="p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NormalCharacter"/>
    <w:qFormat/>
    <w:uiPriority w:val="99"/>
    <w:rPr>
      <w:rFonts w:ascii="Calibri" w:hAnsi="Calibri" w:eastAsia="宋体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2877</Words>
  <Characters>2999</Characters>
  <Lines>0</Lines>
  <Paragraphs>0</Paragraphs>
  <TotalTime>3</TotalTime>
  <ScaleCrop>false</ScaleCrop>
  <LinksUpToDate>false</LinksUpToDate>
  <CharactersWithSpaces>3008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2020-10-27T13:06:00Z</dcterms:created>
  <dc:creator>Administrator</dc:creator>
  <cp:lastModifiedBy>汤士钦</cp:lastModifiedBy>
  <cp:lastPrinted>2022-12-08T01:17:00Z</cp:lastPrinted>
  <dcterms:modified xsi:type="dcterms:W3CDTF">2025-08-12T08:06:49Z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7D7AB82321EA495FB7ECE63472F413C7</vt:lpwstr>
  </property>
  <property fmtid="{D5CDD505-2E9C-101B-9397-08002B2CF9AE}" pid="4" name="KSOTemplateDocerSaveRecord">
    <vt:lpwstr>eyJoZGlkIjoiMjY2Mjg4YmUzOGM5YzQ1ZDQ1MjJlMzYzZWE2ZTM1Y2QiLCJ1c2VySWQiOiI0MzcyNDQ3MDkifQ==</vt:lpwstr>
  </property>
</Properties>
</file>