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0CD29">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南岳区人民政府办公室</w:t>
      </w:r>
    </w:p>
    <w:p w14:paraId="46B7137D">
      <w:pPr>
        <w:widowControl/>
        <w:jc w:val="center"/>
        <w:rPr>
          <w:rFonts w:eastAsia="方正小标宋_GBK"/>
          <w:sz w:val="36"/>
          <w:szCs w:val="36"/>
        </w:rPr>
      </w:pPr>
      <w:r>
        <w:rPr>
          <w:rFonts w:hint="eastAsia" w:ascii="方正小标宋简体" w:hAnsi="方正小标宋简体" w:eastAsia="方正小标宋简体" w:cs="方正小标宋简体"/>
          <w:sz w:val="36"/>
          <w:szCs w:val="36"/>
          <w:lang w:eastAsia="zh-CN"/>
        </w:rPr>
        <w:t>2022</w:t>
      </w:r>
      <w:r>
        <w:rPr>
          <w:rFonts w:hint="eastAsia" w:ascii="方正小标宋简体" w:hAnsi="方正小标宋简体" w:eastAsia="方正小标宋简体" w:cs="方正小标宋简体"/>
          <w:sz w:val="36"/>
          <w:szCs w:val="36"/>
        </w:rPr>
        <w:t>年度部门整体支出绩效评价报告</w:t>
      </w:r>
    </w:p>
    <w:p w14:paraId="0A523B07">
      <w:pPr>
        <w:spacing w:line="600" w:lineRule="exact"/>
        <w:ind w:firstLine="645"/>
        <w:rPr>
          <w:rFonts w:eastAsia="仿宋_GB2312"/>
          <w:sz w:val="32"/>
          <w:szCs w:val="32"/>
        </w:rPr>
      </w:pPr>
      <w:r>
        <w:rPr>
          <w:rFonts w:eastAsia="仿宋_GB2312"/>
          <w:sz w:val="32"/>
          <w:szCs w:val="32"/>
        </w:rPr>
        <w:t>根据《中共中央国务院关于全面实施预算绩效管理的意见》的文件精神，我</w:t>
      </w:r>
      <w:r>
        <w:rPr>
          <w:rFonts w:hint="eastAsia" w:eastAsia="仿宋_GB2312"/>
          <w:sz w:val="32"/>
          <w:szCs w:val="32"/>
        </w:rPr>
        <w:t>单位</w:t>
      </w:r>
      <w:r>
        <w:rPr>
          <w:rFonts w:eastAsia="仿宋_GB2312"/>
          <w:sz w:val="32"/>
          <w:szCs w:val="32"/>
        </w:rPr>
        <w:t>对部门整体支出进行了绩效评价，现报告如下：</w:t>
      </w:r>
      <w:bookmarkStart w:id="0" w:name="_GoBack"/>
      <w:bookmarkEnd w:id="0"/>
    </w:p>
    <w:p w14:paraId="619FB6B3">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一、部门（单位）基本情况</w:t>
      </w:r>
    </w:p>
    <w:p w14:paraId="6C0542F6">
      <w:pPr>
        <w:widowControl/>
        <w:spacing w:line="600" w:lineRule="exact"/>
        <w:ind w:firstLine="630" w:firstLineChars="196"/>
        <w:jc w:val="left"/>
        <w:rPr>
          <w:rFonts w:eastAsia="楷体_GB2312"/>
          <w:b/>
          <w:snapToGrid w:val="0"/>
          <w:kern w:val="0"/>
          <w:sz w:val="32"/>
          <w:szCs w:val="32"/>
        </w:rPr>
      </w:pPr>
      <w:r>
        <w:rPr>
          <w:rFonts w:eastAsia="楷体_GB2312"/>
          <w:b/>
          <w:snapToGrid w:val="0"/>
          <w:kern w:val="0"/>
          <w:sz w:val="32"/>
          <w:szCs w:val="32"/>
        </w:rPr>
        <w:t>（一）部门职能职责</w:t>
      </w:r>
    </w:p>
    <w:p w14:paraId="2E62EA21">
      <w:pPr>
        <w:spacing w:line="600" w:lineRule="exact"/>
        <w:ind w:firstLine="645"/>
        <w:rPr>
          <w:rFonts w:eastAsia="仿宋_GB2312"/>
          <w:sz w:val="32"/>
          <w:szCs w:val="32"/>
        </w:rPr>
      </w:pPr>
      <w:r>
        <w:rPr>
          <w:rFonts w:hint="eastAsia" w:eastAsia="仿宋_GB2312"/>
          <w:sz w:val="32"/>
          <w:szCs w:val="32"/>
        </w:rPr>
        <w:t>协助区政府领导同志对以区政府、区政府办名义发布的公文进行格式审核、制发。研究区政府各部门和各乡镇人民政府、街道办事处请示区政府的事项，提出审核意见，或对区政府部门间的分歧事项提出处理意见，报区人民政府领导审批、决定。负责区政府会议的组织和服务工作，协助区政府领导组织实施会议决定事项。督促检查对区政府决定事项及区政府领导同志有关指示的贯彻落实情况，及时向区政府领导同志报告。负责区政府值班工作，及时报告重要情况，传达和督促落实区政府领导同志指示。组织办理涉及政府工作的人大代表议案、批评、建议和政协委员提案、建议案。负责区域内金融监督、协调工作，负责组织协调规范、整顿和维护本地区金融秩序，防范化解地方金融风险。负责组织、协调、指导开展区域内社会化禁毒工作。负责指导、协调、监督全区行政审批、政务公开、政务服务、电子政务、数字城市相关工作。负责指导区域内优化经济发展环境相关工作。负责加强与各风景名胜区管理机构的联系。负责完成区深化改革领导小组布置的改革任务。完成区人民政府和区政府领导同志交办的其他事项。</w:t>
      </w:r>
    </w:p>
    <w:p w14:paraId="067559AF">
      <w:pPr>
        <w:spacing w:line="600" w:lineRule="exact"/>
        <w:ind w:firstLine="645"/>
        <w:rPr>
          <w:rFonts w:eastAsia="仿宋_GB2312"/>
          <w:b/>
          <w:bCs/>
          <w:sz w:val="32"/>
          <w:szCs w:val="32"/>
        </w:rPr>
      </w:pPr>
      <w:r>
        <w:rPr>
          <w:rFonts w:hint="eastAsia" w:eastAsia="仿宋_GB2312"/>
          <w:b/>
          <w:bCs/>
          <w:sz w:val="32"/>
          <w:szCs w:val="32"/>
        </w:rPr>
        <w:t>（二）</w:t>
      </w:r>
      <w:r>
        <w:rPr>
          <w:rFonts w:eastAsia="仿宋_GB2312"/>
          <w:b/>
          <w:bCs/>
          <w:sz w:val="32"/>
          <w:szCs w:val="32"/>
        </w:rPr>
        <w:t>机构设置情况</w:t>
      </w:r>
    </w:p>
    <w:p w14:paraId="236AD195">
      <w:pPr>
        <w:spacing w:line="600" w:lineRule="exact"/>
        <w:ind w:firstLine="645"/>
        <w:rPr>
          <w:rFonts w:eastAsia="仿宋_GB2312"/>
          <w:sz w:val="32"/>
          <w:szCs w:val="32"/>
        </w:rPr>
      </w:pPr>
      <w:r>
        <w:rPr>
          <w:rFonts w:hint="eastAsia" w:eastAsia="仿宋_GB2312"/>
          <w:sz w:val="32"/>
          <w:szCs w:val="32"/>
        </w:rPr>
        <w:t>南岳区人民政府办公室内设机构包括：南岳区人民政府办公室是全额拨款的行政单位，根据岳办关于印发《南岳区人民政府办公室职能配置、内设机构和人员编制规定》核定，我办内设股室9个，分别是秘书室、值班室（区政府总值班室）、综合信息组、行政后勤组、督查室（区政府督查室）、财贸金融组、政务管理组、禁毒组、优化经济发展环境办公室。</w:t>
      </w:r>
    </w:p>
    <w:p w14:paraId="770A47F1">
      <w:pPr>
        <w:spacing w:line="600" w:lineRule="exact"/>
        <w:ind w:firstLine="645"/>
        <w:rPr>
          <w:rFonts w:eastAsia="仿宋_GB2312"/>
          <w:b/>
          <w:bCs/>
          <w:sz w:val="32"/>
          <w:szCs w:val="32"/>
        </w:rPr>
      </w:pPr>
      <w:r>
        <w:rPr>
          <w:rFonts w:eastAsia="仿宋_GB2312"/>
          <w:b/>
          <w:bCs/>
          <w:sz w:val="32"/>
          <w:szCs w:val="32"/>
        </w:rPr>
        <w:t>（三）人员编制情况</w:t>
      </w:r>
    </w:p>
    <w:p w14:paraId="27CDFF99">
      <w:pPr>
        <w:spacing w:line="600" w:lineRule="exact"/>
        <w:ind w:firstLine="645"/>
        <w:rPr>
          <w:rFonts w:eastAsia="仿宋_GB2312"/>
          <w:sz w:val="32"/>
          <w:szCs w:val="32"/>
        </w:rPr>
      </w:pPr>
      <w:r>
        <w:rPr>
          <w:rFonts w:hint="eastAsia" w:eastAsia="仿宋_GB2312"/>
          <w:sz w:val="32"/>
          <w:szCs w:val="32"/>
          <w:lang w:eastAsia="zh-CN"/>
        </w:rPr>
        <w:t>2022</w:t>
      </w:r>
      <w:r>
        <w:rPr>
          <w:rFonts w:hint="eastAsia" w:eastAsia="仿宋_GB2312"/>
          <w:sz w:val="32"/>
          <w:szCs w:val="32"/>
        </w:rPr>
        <w:t>年末，</w:t>
      </w:r>
      <w:r>
        <w:rPr>
          <w:rFonts w:hint="eastAsia" w:eastAsia="仿宋_GB2312"/>
          <w:sz w:val="32"/>
          <w:szCs w:val="32"/>
          <w:lang w:val="en-US" w:eastAsia="zh-CN"/>
        </w:rPr>
        <w:t>区政府办</w:t>
      </w:r>
      <w:r>
        <w:rPr>
          <w:rFonts w:hint="eastAsia" w:eastAsia="仿宋_GB2312"/>
          <w:sz w:val="32"/>
          <w:szCs w:val="32"/>
        </w:rPr>
        <w:t>核定编制人数</w:t>
      </w:r>
      <w:r>
        <w:rPr>
          <w:rFonts w:hint="eastAsia" w:eastAsia="仿宋_GB2312"/>
          <w:sz w:val="32"/>
          <w:szCs w:val="32"/>
          <w:lang w:val="en-US" w:eastAsia="zh-CN"/>
        </w:rPr>
        <w:t>33</w:t>
      </w:r>
      <w:r>
        <w:rPr>
          <w:rFonts w:hint="eastAsia" w:eastAsia="仿宋_GB2312"/>
          <w:sz w:val="32"/>
          <w:szCs w:val="32"/>
        </w:rPr>
        <w:t>人，其中：行政编制</w:t>
      </w:r>
      <w:r>
        <w:rPr>
          <w:rFonts w:hint="eastAsia" w:eastAsia="仿宋_GB2312"/>
          <w:sz w:val="32"/>
          <w:szCs w:val="32"/>
          <w:lang w:val="en-US" w:eastAsia="zh-CN"/>
        </w:rPr>
        <w:t>2</w:t>
      </w:r>
      <w:r>
        <w:rPr>
          <w:rFonts w:hint="eastAsia" w:eastAsia="仿宋_GB2312"/>
          <w:sz w:val="32"/>
          <w:szCs w:val="32"/>
        </w:rPr>
        <w:t>8人，机关后勤服务全额拨款事业编制5人；政府研究中心全额事业编制</w:t>
      </w:r>
      <w:r>
        <w:rPr>
          <w:rFonts w:hint="eastAsia" w:eastAsia="仿宋_GB2312"/>
          <w:sz w:val="32"/>
          <w:szCs w:val="32"/>
          <w:lang w:val="en-US" w:eastAsia="zh-CN"/>
        </w:rPr>
        <w:t>8</w:t>
      </w:r>
      <w:r>
        <w:rPr>
          <w:rFonts w:hint="eastAsia" w:eastAsia="仿宋_GB2312"/>
          <w:sz w:val="32"/>
          <w:szCs w:val="32"/>
        </w:rPr>
        <w:t>人。</w:t>
      </w:r>
      <w:r>
        <w:rPr>
          <w:rFonts w:hint="eastAsia" w:eastAsia="仿宋_GB2312"/>
          <w:sz w:val="32"/>
          <w:szCs w:val="32"/>
          <w:lang w:eastAsia="zh-CN"/>
        </w:rPr>
        <w:t>2022</w:t>
      </w:r>
      <w:r>
        <w:rPr>
          <w:rFonts w:hint="eastAsia" w:eastAsia="仿宋_GB2312"/>
          <w:sz w:val="32"/>
          <w:szCs w:val="32"/>
        </w:rPr>
        <w:t>年末实际在岗在编人数（含政府研究中心）</w:t>
      </w:r>
      <w:r>
        <w:rPr>
          <w:rFonts w:hint="eastAsia" w:eastAsia="仿宋_GB2312"/>
          <w:sz w:val="32"/>
          <w:szCs w:val="32"/>
          <w:lang w:val="en-US" w:eastAsia="zh-CN"/>
        </w:rPr>
        <w:t>41</w:t>
      </w:r>
      <w:r>
        <w:rPr>
          <w:rFonts w:hint="eastAsia" w:eastAsia="仿宋_GB2312"/>
          <w:sz w:val="32"/>
          <w:szCs w:val="32"/>
        </w:rPr>
        <w:t>人，退休人员</w:t>
      </w:r>
      <w:r>
        <w:rPr>
          <w:rFonts w:hint="eastAsia" w:eastAsia="仿宋_GB2312"/>
          <w:sz w:val="32"/>
          <w:szCs w:val="32"/>
          <w:lang w:val="en-US" w:eastAsia="zh-CN"/>
        </w:rPr>
        <w:t>32</w:t>
      </w:r>
      <w:r>
        <w:rPr>
          <w:rFonts w:hint="eastAsia" w:eastAsia="仿宋_GB2312"/>
          <w:sz w:val="32"/>
          <w:szCs w:val="32"/>
        </w:rPr>
        <w:t>人，临聘人员2人，现有公务用车1台，其中定向保障车辆1台。</w:t>
      </w:r>
    </w:p>
    <w:p w14:paraId="1151E96C">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二、一般公共预算支出情况</w:t>
      </w:r>
    </w:p>
    <w:p w14:paraId="2C83F895">
      <w:pPr>
        <w:spacing w:line="600" w:lineRule="exact"/>
        <w:ind w:firstLine="645"/>
        <w:rPr>
          <w:rFonts w:eastAsia="仿宋_GB2312"/>
          <w:b/>
          <w:bCs/>
          <w:sz w:val="32"/>
          <w:szCs w:val="32"/>
        </w:rPr>
      </w:pPr>
      <w:r>
        <w:rPr>
          <w:rFonts w:hint="eastAsia" w:eastAsia="仿宋_GB2312"/>
          <w:b/>
          <w:bCs/>
          <w:sz w:val="32"/>
          <w:szCs w:val="32"/>
        </w:rPr>
        <w:t>（一）基本支出情况</w:t>
      </w:r>
    </w:p>
    <w:p w14:paraId="3C03FC15">
      <w:pPr>
        <w:tabs>
          <w:tab w:val="left" w:pos="2296"/>
        </w:tabs>
        <w:spacing w:line="600" w:lineRule="exact"/>
        <w:ind w:firstLine="640" w:firstLineChars="200"/>
        <w:rPr>
          <w:rFonts w:eastAsia="仿宋_GB2312"/>
          <w:color w:val="000000"/>
          <w:sz w:val="32"/>
          <w:szCs w:val="32"/>
        </w:rPr>
      </w:pPr>
      <w:r>
        <w:rPr>
          <w:rFonts w:eastAsia="仿宋_GB2312"/>
          <w:sz w:val="32"/>
          <w:szCs w:val="32"/>
        </w:rPr>
        <w:t>基本支出系保障</w:t>
      </w:r>
      <w:r>
        <w:rPr>
          <w:rFonts w:hint="eastAsia" w:eastAsia="仿宋_GB2312"/>
          <w:sz w:val="32"/>
          <w:szCs w:val="32"/>
        </w:rPr>
        <w:t>我单位</w:t>
      </w:r>
      <w:r>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w:t>
      </w:r>
      <w:r>
        <w:rPr>
          <w:rFonts w:hint="eastAsia" w:eastAsia="仿宋_GB2312"/>
          <w:sz w:val="32"/>
          <w:szCs w:val="32"/>
          <w:lang w:eastAsia="zh-CN"/>
        </w:rPr>
        <w:t>2022</w:t>
      </w:r>
      <w:r>
        <w:rPr>
          <w:rFonts w:hint="eastAsia" w:eastAsia="仿宋_GB2312"/>
          <w:sz w:val="32"/>
          <w:szCs w:val="32"/>
        </w:rPr>
        <w:t>年</w:t>
      </w:r>
      <w:r>
        <w:rPr>
          <w:rFonts w:eastAsia="仿宋_GB2312"/>
          <w:sz w:val="32"/>
          <w:szCs w:val="32"/>
        </w:rPr>
        <w:t>基本支出</w:t>
      </w:r>
      <w:r>
        <w:rPr>
          <w:rFonts w:hint="eastAsia" w:eastAsia="仿宋_GB2312"/>
          <w:sz w:val="32"/>
          <w:szCs w:val="32"/>
        </w:rPr>
        <w:t>10</w:t>
      </w:r>
      <w:r>
        <w:rPr>
          <w:rFonts w:hint="eastAsia" w:eastAsia="仿宋_GB2312"/>
          <w:sz w:val="32"/>
          <w:szCs w:val="32"/>
          <w:lang w:val="en-US" w:eastAsia="zh-CN"/>
        </w:rPr>
        <w:t>11.08</w:t>
      </w:r>
      <w:r>
        <w:rPr>
          <w:rFonts w:eastAsia="仿宋_GB2312"/>
          <w:sz w:val="32"/>
          <w:szCs w:val="32"/>
        </w:rPr>
        <w:t>万元，较上年</w:t>
      </w:r>
      <w:r>
        <w:rPr>
          <w:rFonts w:hint="eastAsia" w:eastAsia="仿宋_GB2312"/>
          <w:sz w:val="32"/>
          <w:szCs w:val="32"/>
          <w:lang w:val="en-US" w:eastAsia="zh-CN"/>
        </w:rPr>
        <w:t>减少53.27</w:t>
      </w:r>
      <w:r>
        <w:rPr>
          <w:rFonts w:eastAsia="仿宋_GB2312"/>
          <w:sz w:val="32"/>
          <w:szCs w:val="32"/>
        </w:rPr>
        <w:t>万元</w:t>
      </w:r>
      <w:r>
        <w:rPr>
          <w:rFonts w:hint="eastAsia" w:eastAsia="仿宋_GB2312"/>
          <w:sz w:val="32"/>
          <w:szCs w:val="32"/>
        </w:rPr>
        <w:t>，</w:t>
      </w:r>
      <w:r>
        <w:rPr>
          <w:rFonts w:hint="eastAsia" w:eastAsia="仿宋_GB2312"/>
          <w:sz w:val="32"/>
          <w:szCs w:val="32"/>
          <w:lang w:val="en-US" w:eastAsia="zh-CN"/>
        </w:rPr>
        <w:t>减少5</w:t>
      </w:r>
      <w:r>
        <w:rPr>
          <w:rFonts w:hint="eastAsia" w:eastAsia="仿宋_GB2312"/>
          <w:sz w:val="32"/>
          <w:szCs w:val="32"/>
        </w:rPr>
        <w:t>%，主要原因是</w:t>
      </w:r>
      <w:r>
        <w:rPr>
          <w:rFonts w:hint="eastAsia" w:eastAsia="仿宋_GB2312"/>
          <w:sz w:val="32"/>
          <w:szCs w:val="32"/>
          <w:lang w:val="en-US" w:eastAsia="zh-CN"/>
        </w:rPr>
        <w:t>响应过紧日子的号召，压缩支出</w:t>
      </w:r>
      <w:r>
        <w:rPr>
          <w:rFonts w:eastAsia="仿宋_GB2312"/>
          <w:sz w:val="32"/>
          <w:szCs w:val="32"/>
        </w:rPr>
        <w:t>。</w:t>
      </w:r>
      <w:r>
        <w:rPr>
          <w:rFonts w:eastAsia="仿宋_GB2312"/>
          <w:color w:val="000000"/>
          <w:sz w:val="32"/>
          <w:szCs w:val="32"/>
        </w:rPr>
        <w:t>基本支出中人员经费</w:t>
      </w:r>
      <w:r>
        <w:rPr>
          <w:rFonts w:hint="eastAsia" w:eastAsia="仿宋_GB2312"/>
          <w:color w:val="000000"/>
          <w:sz w:val="32"/>
          <w:szCs w:val="32"/>
          <w:lang w:val="en-US" w:eastAsia="zh-CN"/>
        </w:rPr>
        <w:t>856.44</w:t>
      </w:r>
      <w:r>
        <w:rPr>
          <w:rFonts w:eastAsia="仿宋_GB2312"/>
          <w:color w:val="000000"/>
          <w:sz w:val="32"/>
          <w:szCs w:val="32"/>
        </w:rPr>
        <w:t>万元，占基本支出的</w:t>
      </w:r>
      <w:r>
        <w:rPr>
          <w:rFonts w:hint="eastAsia" w:eastAsia="仿宋_GB2312"/>
          <w:color w:val="000000"/>
          <w:sz w:val="32"/>
          <w:szCs w:val="32"/>
          <w:lang w:val="en-US" w:eastAsia="zh-CN"/>
        </w:rPr>
        <w:t>84.7</w:t>
      </w:r>
      <w:r>
        <w:rPr>
          <w:rFonts w:eastAsia="仿宋_GB2312"/>
          <w:color w:val="000000"/>
          <w:sz w:val="32"/>
          <w:szCs w:val="32"/>
        </w:rPr>
        <w:t>%，</w:t>
      </w:r>
      <w:r>
        <w:rPr>
          <w:rFonts w:hint="eastAsia" w:eastAsia="仿宋_GB2312"/>
          <w:color w:val="000000"/>
          <w:sz w:val="32"/>
          <w:szCs w:val="32"/>
        </w:rPr>
        <w:t>较上年</w:t>
      </w:r>
      <w:r>
        <w:rPr>
          <w:rFonts w:hint="eastAsia" w:eastAsia="仿宋_GB2312"/>
          <w:color w:val="000000"/>
          <w:sz w:val="32"/>
          <w:szCs w:val="32"/>
          <w:lang w:val="en-US" w:eastAsia="zh-CN"/>
        </w:rPr>
        <w:t>增加123.23</w:t>
      </w:r>
      <w:r>
        <w:rPr>
          <w:rFonts w:hint="eastAsia" w:eastAsia="仿宋_GB2312"/>
          <w:color w:val="000000"/>
          <w:sz w:val="32"/>
          <w:szCs w:val="32"/>
        </w:rPr>
        <w:t>万元，</w:t>
      </w:r>
      <w:r>
        <w:rPr>
          <w:rFonts w:hint="eastAsia" w:eastAsia="仿宋_GB2312"/>
          <w:color w:val="000000"/>
          <w:sz w:val="32"/>
          <w:szCs w:val="32"/>
          <w:lang w:val="en-US" w:eastAsia="zh-CN"/>
        </w:rPr>
        <w:t>增加16.81%，主要原因是本年公开招考录用4名工作人员、补发上年绩效奖以及缴纳职业年金等</w:t>
      </w:r>
      <w:r>
        <w:rPr>
          <w:rFonts w:hint="eastAsia" w:eastAsia="仿宋_GB2312"/>
          <w:color w:val="000000"/>
          <w:sz w:val="32"/>
          <w:szCs w:val="32"/>
        </w:rPr>
        <w:t>；</w:t>
      </w:r>
      <w:r>
        <w:rPr>
          <w:rFonts w:eastAsia="仿宋_GB2312"/>
          <w:color w:val="000000"/>
          <w:sz w:val="32"/>
          <w:szCs w:val="32"/>
        </w:rPr>
        <w:t>日常公用经费</w:t>
      </w:r>
      <w:r>
        <w:rPr>
          <w:rFonts w:hint="eastAsia" w:eastAsia="仿宋_GB2312"/>
          <w:color w:val="000000"/>
          <w:sz w:val="32"/>
          <w:szCs w:val="32"/>
          <w:lang w:val="en-US" w:eastAsia="zh-CN"/>
        </w:rPr>
        <w:t>154.64</w:t>
      </w:r>
      <w:r>
        <w:rPr>
          <w:rFonts w:eastAsia="仿宋_GB2312"/>
          <w:color w:val="000000"/>
          <w:sz w:val="32"/>
          <w:szCs w:val="32"/>
        </w:rPr>
        <w:t>万元，占基本支出的</w:t>
      </w:r>
      <w:r>
        <w:rPr>
          <w:rFonts w:hint="eastAsia" w:eastAsia="仿宋_GB2312"/>
          <w:color w:val="000000"/>
          <w:sz w:val="32"/>
          <w:szCs w:val="32"/>
          <w:lang w:val="en-US" w:eastAsia="zh-CN"/>
        </w:rPr>
        <w:t>15.3</w:t>
      </w:r>
      <w:r>
        <w:rPr>
          <w:rFonts w:eastAsia="仿宋_GB2312"/>
          <w:color w:val="000000"/>
          <w:sz w:val="32"/>
          <w:szCs w:val="32"/>
        </w:rPr>
        <w:t>%，较上年</w:t>
      </w:r>
      <w:r>
        <w:rPr>
          <w:rFonts w:hint="eastAsia" w:eastAsia="仿宋_GB2312"/>
          <w:color w:val="000000"/>
          <w:sz w:val="32"/>
          <w:szCs w:val="32"/>
          <w:lang w:val="en-US" w:eastAsia="zh-CN"/>
        </w:rPr>
        <w:t>减少176.5</w:t>
      </w:r>
      <w:r>
        <w:rPr>
          <w:rFonts w:hint="eastAsia" w:eastAsia="仿宋_GB2312"/>
          <w:color w:val="000000"/>
          <w:sz w:val="32"/>
          <w:szCs w:val="32"/>
        </w:rPr>
        <w:t>万元</w:t>
      </w:r>
      <w:r>
        <w:rPr>
          <w:rFonts w:hint="eastAsia" w:eastAsia="仿宋_GB2312"/>
          <w:color w:val="000000"/>
          <w:sz w:val="32"/>
          <w:szCs w:val="32"/>
          <w:lang w:eastAsia="zh-CN"/>
        </w:rPr>
        <w:t>，</w:t>
      </w:r>
      <w:r>
        <w:rPr>
          <w:rFonts w:hint="eastAsia" w:eastAsia="仿宋_GB2312"/>
          <w:color w:val="000000"/>
          <w:sz w:val="32"/>
          <w:szCs w:val="32"/>
          <w:lang w:val="en-US" w:eastAsia="zh-CN"/>
        </w:rPr>
        <w:t>减少53.29</w:t>
      </w:r>
      <w:r>
        <w:rPr>
          <w:rFonts w:hint="eastAsia" w:eastAsia="仿宋_GB2312"/>
          <w:color w:val="000000"/>
          <w:sz w:val="32"/>
          <w:szCs w:val="32"/>
        </w:rPr>
        <w:t>%，</w:t>
      </w:r>
      <w:r>
        <w:rPr>
          <w:rFonts w:hint="eastAsia" w:ascii="仿宋_GB2312" w:hAnsi="仿宋_GB2312" w:eastAsia="仿宋_GB2312"/>
          <w:sz w:val="32"/>
          <w:szCs w:val="32"/>
          <w:lang w:val="en-US" w:eastAsia="zh-CN"/>
        </w:rPr>
        <w:t>主要原因是受疫情影响和压减非重点、刚性支出要求，我单位厉行节约、严格把关，严控三公经费支出，大力压减公用经费支出。</w:t>
      </w:r>
    </w:p>
    <w:p w14:paraId="22CCAFE8">
      <w:pPr>
        <w:widowControl/>
        <w:numPr>
          <w:ilvl w:val="0"/>
          <w:numId w:val="1"/>
        </w:numPr>
        <w:spacing w:line="600" w:lineRule="exact"/>
        <w:ind w:firstLine="630" w:firstLineChars="196"/>
        <w:rPr>
          <w:rFonts w:ascii="楷体_GB2312" w:hAnsi="Times New Roman" w:eastAsia="楷体_GB2312" w:cs="Times New Roman"/>
          <w:b/>
          <w:sz w:val="32"/>
          <w:szCs w:val="32"/>
        </w:rPr>
      </w:pPr>
      <w:r>
        <w:rPr>
          <w:rFonts w:ascii="楷体_GB2312" w:hAnsi="Times New Roman" w:eastAsia="楷体_GB2312" w:cs="Times New Roman"/>
          <w:b/>
          <w:sz w:val="32"/>
          <w:szCs w:val="32"/>
        </w:rPr>
        <w:t>项目支出情况</w:t>
      </w:r>
    </w:p>
    <w:p w14:paraId="456B9761">
      <w:pPr>
        <w:tabs>
          <w:tab w:val="left" w:pos="2296"/>
        </w:tabs>
        <w:spacing w:line="600" w:lineRule="exact"/>
        <w:ind w:firstLine="640" w:firstLineChars="200"/>
        <w:rPr>
          <w:rFonts w:hint="default" w:eastAsia="仿宋_GB2312"/>
          <w:color w:val="000000"/>
          <w:sz w:val="32"/>
          <w:szCs w:val="32"/>
          <w:lang w:val="en-US"/>
        </w:rPr>
      </w:pPr>
      <w:r>
        <w:rPr>
          <w:rFonts w:eastAsia="仿宋_GB2312"/>
          <w:sz w:val="32"/>
          <w:szCs w:val="32"/>
        </w:rPr>
        <w:t>项目支出</w:t>
      </w:r>
      <w:r>
        <w:rPr>
          <w:rFonts w:hint="eastAsia" w:ascii="仿宋" w:hAnsi="仿宋" w:eastAsia="仿宋" w:cs="仿宋"/>
          <w:sz w:val="32"/>
          <w:szCs w:val="32"/>
        </w:rPr>
        <w:t>是指为完成特定行政工作任务或事业发展目标而发生的支出，包括有关业务工作经费和运行维护经费。</w:t>
      </w:r>
      <w:r>
        <w:rPr>
          <w:rFonts w:hint="eastAsia" w:eastAsia="仿宋_GB2312"/>
          <w:sz w:val="32"/>
          <w:szCs w:val="32"/>
          <w:lang w:eastAsia="zh-CN"/>
        </w:rPr>
        <w:t>2022</w:t>
      </w:r>
      <w:r>
        <w:rPr>
          <w:rFonts w:hint="eastAsia" w:eastAsia="仿宋_GB2312"/>
          <w:sz w:val="32"/>
          <w:szCs w:val="32"/>
        </w:rPr>
        <w:t>年</w:t>
      </w:r>
      <w:r>
        <w:rPr>
          <w:rFonts w:eastAsia="仿宋_GB2312"/>
          <w:sz w:val="32"/>
          <w:szCs w:val="32"/>
        </w:rPr>
        <w:t>项目支出</w:t>
      </w:r>
      <w:r>
        <w:rPr>
          <w:rFonts w:hint="eastAsia" w:eastAsia="仿宋_GB2312"/>
          <w:sz w:val="32"/>
          <w:szCs w:val="32"/>
          <w:lang w:val="en-US" w:eastAsia="zh-CN"/>
        </w:rPr>
        <w:t>46.27</w:t>
      </w:r>
      <w:r>
        <w:rPr>
          <w:rFonts w:eastAsia="仿宋_GB2312"/>
          <w:sz w:val="32"/>
          <w:szCs w:val="32"/>
        </w:rPr>
        <w:t>万元，比上年</w:t>
      </w:r>
      <w:r>
        <w:rPr>
          <w:rFonts w:hint="eastAsia" w:eastAsia="仿宋_GB2312"/>
          <w:sz w:val="32"/>
          <w:szCs w:val="32"/>
        </w:rPr>
        <w:t>减少</w:t>
      </w:r>
      <w:r>
        <w:rPr>
          <w:rFonts w:hint="eastAsia" w:eastAsia="仿宋_GB2312"/>
          <w:sz w:val="32"/>
          <w:szCs w:val="32"/>
          <w:lang w:val="en-US" w:eastAsia="zh-CN"/>
        </w:rPr>
        <w:t>96.31</w:t>
      </w:r>
      <w:r>
        <w:rPr>
          <w:rFonts w:eastAsia="仿宋_GB2312"/>
          <w:sz w:val="32"/>
          <w:szCs w:val="32"/>
        </w:rPr>
        <w:t>万元</w:t>
      </w:r>
      <w:r>
        <w:rPr>
          <w:rFonts w:hint="eastAsia" w:eastAsia="仿宋_GB2312"/>
          <w:sz w:val="32"/>
          <w:szCs w:val="32"/>
        </w:rPr>
        <w:t>，</w:t>
      </w:r>
      <w:r>
        <w:rPr>
          <w:rFonts w:hint="eastAsia" w:eastAsia="仿宋_GB2312"/>
          <w:sz w:val="32"/>
          <w:szCs w:val="32"/>
          <w:lang w:val="en-US" w:eastAsia="zh-CN"/>
        </w:rPr>
        <w:t>减少67.55%，</w:t>
      </w:r>
      <w:r>
        <w:rPr>
          <w:rFonts w:hint="eastAsia" w:ascii="仿宋_GB2312" w:hAnsi="仿宋_GB2312" w:eastAsia="仿宋_GB2312"/>
          <w:sz w:val="32"/>
          <w:szCs w:val="32"/>
          <w:lang w:val="en-US" w:eastAsia="zh-CN"/>
        </w:rPr>
        <w:t>主要原因是受疫情影响和压减非重点、刚性支出要求，我单位厉行节约、严格把关，压减支出。</w:t>
      </w:r>
    </w:p>
    <w:p w14:paraId="03D9E643">
      <w:pPr>
        <w:widowControl/>
        <w:spacing w:line="600" w:lineRule="exact"/>
        <w:ind w:left="420" w:leftChars="200" w:firstLine="320" w:firstLineChars="1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部门整体支出绩效情况</w:t>
      </w:r>
    </w:p>
    <w:p w14:paraId="7975673A">
      <w:pPr>
        <w:tabs>
          <w:tab w:val="left" w:pos="2296"/>
        </w:tabs>
        <w:spacing w:line="600" w:lineRule="exact"/>
        <w:ind w:firstLine="640" w:firstLineChars="200"/>
        <w:rPr>
          <w:rFonts w:eastAsia="仿宋_GB2312"/>
          <w:sz w:val="32"/>
          <w:szCs w:val="32"/>
        </w:rPr>
      </w:pPr>
      <w:r>
        <w:rPr>
          <w:rFonts w:hint="eastAsia" w:eastAsia="仿宋_GB2312"/>
          <w:sz w:val="32"/>
          <w:szCs w:val="32"/>
        </w:rPr>
        <w:t>对照区财政局有关文件规定，我单位从预算编制、预算配置、预算执行和管理等方面对</w:t>
      </w:r>
      <w:r>
        <w:rPr>
          <w:rFonts w:hint="eastAsia" w:eastAsia="仿宋_GB2312"/>
          <w:sz w:val="32"/>
          <w:szCs w:val="32"/>
          <w:lang w:eastAsia="zh-CN"/>
        </w:rPr>
        <w:t>2022</w:t>
      </w:r>
      <w:r>
        <w:rPr>
          <w:rFonts w:hint="eastAsia" w:eastAsia="仿宋_GB2312"/>
          <w:sz w:val="32"/>
          <w:szCs w:val="32"/>
        </w:rPr>
        <w:t>年部门整体支出绩效开展了评价，具体情况如下：</w:t>
      </w:r>
    </w:p>
    <w:p w14:paraId="6DC0CA0A">
      <w:pPr>
        <w:widowControl/>
        <w:spacing w:line="600" w:lineRule="exact"/>
        <w:ind w:left="412" w:left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（一）预算配置指标</w:t>
      </w:r>
    </w:p>
    <w:p w14:paraId="4F8D6083">
      <w:pPr>
        <w:tabs>
          <w:tab w:val="left" w:pos="2296"/>
        </w:tabs>
        <w:spacing w:line="600" w:lineRule="exact"/>
        <w:ind w:firstLine="640" w:firstLineChars="200"/>
        <w:rPr>
          <w:rFonts w:eastAsia="仿宋_GB2312"/>
          <w:sz w:val="32"/>
          <w:szCs w:val="32"/>
        </w:rPr>
      </w:pPr>
      <w:r>
        <w:rPr>
          <w:rFonts w:hint="eastAsia" w:eastAsia="仿宋_GB2312"/>
          <w:sz w:val="32"/>
          <w:szCs w:val="32"/>
        </w:rPr>
        <w:t>编制数（含政府研究中心）4</w:t>
      </w:r>
      <w:r>
        <w:rPr>
          <w:rFonts w:hint="eastAsia" w:eastAsia="仿宋_GB2312"/>
          <w:sz w:val="32"/>
          <w:szCs w:val="32"/>
          <w:lang w:val="en-US" w:eastAsia="zh-CN"/>
        </w:rPr>
        <w:t>1</w:t>
      </w:r>
      <w:r>
        <w:rPr>
          <w:rFonts w:hint="eastAsia" w:eastAsia="仿宋_GB2312"/>
          <w:sz w:val="32"/>
          <w:szCs w:val="32"/>
        </w:rPr>
        <w:t>人，在职人员</w:t>
      </w:r>
      <w:r>
        <w:rPr>
          <w:rFonts w:hint="eastAsia" w:eastAsia="仿宋_GB2312"/>
          <w:sz w:val="32"/>
          <w:szCs w:val="32"/>
          <w:lang w:val="en-US" w:eastAsia="zh-CN"/>
        </w:rPr>
        <w:t>41</w:t>
      </w:r>
      <w:r>
        <w:rPr>
          <w:rFonts w:hint="eastAsia" w:eastAsia="仿宋_GB2312"/>
          <w:sz w:val="32"/>
          <w:szCs w:val="32"/>
        </w:rPr>
        <w:t>人，在编制控制范围内，在职人员控制率为</w:t>
      </w:r>
      <w:r>
        <w:rPr>
          <w:rFonts w:hint="eastAsia" w:eastAsia="仿宋_GB2312"/>
          <w:sz w:val="32"/>
          <w:szCs w:val="32"/>
          <w:lang w:val="en-US" w:eastAsia="zh-CN"/>
        </w:rPr>
        <w:t>100</w:t>
      </w:r>
      <w:r>
        <w:rPr>
          <w:rFonts w:hint="eastAsia" w:eastAsia="仿宋_GB2312"/>
          <w:sz w:val="32"/>
          <w:szCs w:val="32"/>
        </w:rPr>
        <w:t>%。</w:t>
      </w:r>
    </w:p>
    <w:p w14:paraId="669B078D">
      <w:pPr>
        <w:widowControl/>
        <w:spacing w:line="600" w:lineRule="exact"/>
        <w:ind w:left="412" w:left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（二）预算执行指标</w:t>
      </w:r>
    </w:p>
    <w:p w14:paraId="4382D79B">
      <w:pPr>
        <w:tabs>
          <w:tab w:val="left" w:pos="2296"/>
        </w:tabs>
        <w:spacing w:line="600" w:lineRule="exact"/>
        <w:ind w:firstLine="640" w:firstLineChars="200"/>
        <w:rPr>
          <w:rFonts w:eastAsia="仿宋_GB2312"/>
          <w:sz w:val="32"/>
          <w:szCs w:val="32"/>
        </w:rPr>
      </w:pPr>
      <w:r>
        <w:rPr>
          <w:rFonts w:hint="eastAsia" w:eastAsia="仿宋_GB2312"/>
          <w:sz w:val="32"/>
          <w:szCs w:val="32"/>
          <w:lang w:eastAsia="zh-CN"/>
        </w:rPr>
        <w:t>2022</w:t>
      </w:r>
      <w:r>
        <w:rPr>
          <w:rFonts w:hint="eastAsia" w:eastAsia="仿宋_GB2312"/>
          <w:sz w:val="32"/>
          <w:szCs w:val="32"/>
        </w:rPr>
        <w:t>年支出决算为</w:t>
      </w:r>
      <w:r>
        <w:rPr>
          <w:rFonts w:hint="eastAsia" w:eastAsia="仿宋_GB2312"/>
          <w:sz w:val="32"/>
          <w:szCs w:val="32"/>
          <w:lang w:val="en-US" w:eastAsia="zh-CN"/>
        </w:rPr>
        <w:t>1060</w:t>
      </w:r>
      <w:r>
        <w:rPr>
          <w:rFonts w:hint="eastAsia" w:eastAsia="仿宋_GB2312"/>
          <w:sz w:val="32"/>
          <w:szCs w:val="32"/>
        </w:rPr>
        <w:t>万元，为全年预算的1</w:t>
      </w:r>
      <w:r>
        <w:rPr>
          <w:rFonts w:hint="eastAsia" w:eastAsia="仿宋_GB2312"/>
          <w:sz w:val="32"/>
          <w:szCs w:val="32"/>
          <w:lang w:val="en-US" w:eastAsia="zh-CN"/>
        </w:rPr>
        <w:t>78.79</w:t>
      </w:r>
      <w:r>
        <w:rPr>
          <w:rFonts w:hint="eastAsia" w:eastAsia="仿宋_GB2312"/>
          <w:sz w:val="32"/>
          <w:szCs w:val="32"/>
        </w:rPr>
        <w:t>%，增加4</w:t>
      </w:r>
      <w:r>
        <w:rPr>
          <w:rFonts w:hint="eastAsia" w:eastAsia="仿宋_GB2312"/>
          <w:sz w:val="32"/>
          <w:szCs w:val="32"/>
          <w:lang w:val="en-US" w:eastAsia="zh-CN"/>
        </w:rPr>
        <w:t>67.14</w:t>
      </w:r>
      <w:r>
        <w:rPr>
          <w:rFonts w:hint="eastAsia" w:eastAsia="仿宋_GB2312"/>
          <w:sz w:val="32"/>
          <w:szCs w:val="32"/>
        </w:rPr>
        <w:t>万元，主要是因为</w:t>
      </w:r>
      <w:r>
        <w:rPr>
          <w:rFonts w:hint="eastAsia" w:ascii="Times New Roman" w:hAnsi="Times New Roman" w:eastAsia="仿宋_GB2312" w:cs="Times New Roman"/>
          <w:sz w:val="32"/>
          <w:szCs w:val="32"/>
        </w:rPr>
        <w:t>在职及退休人员绩效奖；缴纳单位职工职业年金</w:t>
      </w:r>
      <w:r>
        <w:rPr>
          <w:rFonts w:hint="eastAsia" w:eastAsia="仿宋_GB2312"/>
          <w:sz w:val="32"/>
          <w:szCs w:val="32"/>
        </w:rPr>
        <w:t>，车改补贴；</w:t>
      </w:r>
      <w:r>
        <w:rPr>
          <w:rFonts w:hint="eastAsia" w:ascii="Times New Roman" w:hAnsi="Times New Roman" w:eastAsia="仿宋_GB2312" w:cs="Times New Roman"/>
          <w:sz w:val="32"/>
          <w:szCs w:val="32"/>
        </w:rPr>
        <w:t>职工医保铺底资金等</w:t>
      </w:r>
      <w:r>
        <w:rPr>
          <w:rFonts w:hint="eastAsia" w:eastAsia="仿宋_GB2312"/>
          <w:sz w:val="32"/>
          <w:szCs w:val="32"/>
        </w:rPr>
        <w:t>未纳入部门预算。</w:t>
      </w:r>
    </w:p>
    <w:p w14:paraId="1D89B7D7">
      <w:pPr>
        <w:widowControl/>
        <w:spacing w:line="600" w:lineRule="exact"/>
        <w:ind w:left="412" w:left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（三）预算管理指标</w:t>
      </w:r>
    </w:p>
    <w:p w14:paraId="59C2C8F3">
      <w:pPr>
        <w:tabs>
          <w:tab w:val="left" w:pos="2296"/>
        </w:tabs>
        <w:spacing w:line="600" w:lineRule="exact"/>
        <w:ind w:firstLine="640" w:firstLineChars="200"/>
        <w:rPr>
          <w:rFonts w:eastAsia="仿宋_GB2312"/>
          <w:sz w:val="32"/>
          <w:szCs w:val="32"/>
        </w:rPr>
      </w:pPr>
      <w:r>
        <w:rPr>
          <w:rFonts w:hint="eastAsia" w:eastAsia="仿宋_GB2312"/>
          <w:sz w:val="32"/>
          <w:szCs w:val="32"/>
          <w:lang w:eastAsia="zh-CN"/>
        </w:rPr>
        <w:t>2022</w:t>
      </w:r>
      <w:r>
        <w:rPr>
          <w:rFonts w:hint="eastAsia" w:eastAsia="仿宋_GB2312"/>
          <w:sz w:val="32"/>
          <w:szCs w:val="32"/>
        </w:rPr>
        <w:t>年我单位预算管理各项指标控制较好，主要从以下几个方面加强预算管理。</w:t>
      </w:r>
    </w:p>
    <w:p w14:paraId="3E1F7417">
      <w:pPr>
        <w:tabs>
          <w:tab w:val="left" w:pos="2296"/>
        </w:tabs>
        <w:spacing w:line="600" w:lineRule="exact"/>
        <w:ind w:firstLine="640" w:firstLineChars="200"/>
        <w:rPr>
          <w:rFonts w:eastAsia="仿宋_GB2312"/>
          <w:sz w:val="32"/>
          <w:szCs w:val="32"/>
        </w:rPr>
      </w:pPr>
      <w:r>
        <w:rPr>
          <w:rFonts w:hint="eastAsia" w:eastAsia="仿宋_GB2312"/>
          <w:sz w:val="32"/>
          <w:szCs w:val="32"/>
        </w:rPr>
        <w:t>一是进一步规范财务管理。今年，根据</w:t>
      </w:r>
      <w:r>
        <w:rPr>
          <w:rFonts w:hint="eastAsia" w:eastAsia="仿宋_GB2312"/>
          <w:sz w:val="32"/>
          <w:szCs w:val="32"/>
          <w:lang w:eastAsia="zh-CN"/>
        </w:rPr>
        <w:t>中央八项规定精神</w:t>
      </w:r>
      <w:r>
        <w:rPr>
          <w:rFonts w:hint="eastAsia" w:eastAsia="仿宋_GB2312"/>
          <w:sz w:val="32"/>
          <w:szCs w:val="32"/>
        </w:rPr>
        <w:t>以及财务管理方面的法律、法规和审计等部门的意见，我单位对机关财务管理制度进一步进行了完善。同时，在财务开支把关方面认真执行相关文件并严格财务开支审批程序，加强对差旅费、会议费、接待费、公务用车运行经费等各项开支的管理。大力压缩一般性支出，提高财政资金使用效益。</w:t>
      </w:r>
    </w:p>
    <w:p w14:paraId="56505629">
      <w:pPr>
        <w:tabs>
          <w:tab w:val="left" w:pos="2296"/>
        </w:tabs>
        <w:spacing w:line="600" w:lineRule="exact"/>
        <w:ind w:firstLine="640" w:firstLineChars="200"/>
        <w:rPr>
          <w:rFonts w:eastAsia="仿宋_GB2312"/>
          <w:sz w:val="32"/>
          <w:szCs w:val="32"/>
        </w:rPr>
      </w:pPr>
      <w:r>
        <w:rPr>
          <w:rFonts w:hint="eastAsia" w:eastAsia="仿宋_GB2312"/>
          <w:sz w:val="32"/>
          <w:szCs w:val="32"/>
        </w:rPr>
        <w:t>二是依法依规公开部门预决算。根据全市部门预决算公开工作统一安排部署，我单位分别于</w:t>
      </w:r>
      <w:r>
        <w:rPr>
          <w:rFonts w:hint="eastAsia" w:eastAsia="仿宋_GB2312"/>
          <w:sz w:val="32"/>
          <w:szCs w:val="32"/>
          <w:lang w:eastAsia="zh-CN"/>
        </w:rPr>
        <w:t>2022</w:t>
      </w:r>
      <w:r>
        <w:rPr>
          <w:rFonts w:hint="eastAsia" w:eastAsia="仿宋_GB2312"/>
          <w:sz w:val="32"/>
          <w:szCs w:val="32"/>
        </w:rPr>
        <w:t xml:space="preserve">年 </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31</w:t>
      </w:r>
      <w:r>
        <w:rPr>
          <w:rFonts w:hint="eastAsia" w:eastAsia="仿宋_GB2312"/>
          <w:sz w:val="32"/>
          <w:szCs w:val="32"/>
        </w:rPr>
        <w:t>日在门户网站公开了</w:t>
      </w:r>
      <w:r>
        <w:rPr>
          <w:rFonts w:hint="eastAsia" w:eastAsia="仿宋_GB2312"/>
          <w:sz w:val="32"/>
          <w:szCs w:val="32"/>
          <w:lang w:eastAsia="zh-CN"/>
        </w:rPr>
        <w:t>2022</w:t>
      </w:r>
      <w:r>
        <w:rPr>
          <w:rFonts w:hint="eastAsia" w:eastAsia="仿宋_GB2312"/>
          <w:sz w:val="32"/>
          <w:szCs w:val="32"/>
        </w:rPr>
        <w:t>年部门预算和“三公”经费预算，于</w:t>
      </w:r>
      <w:r>
        <w:rPr>
          <w:rFonts w:hint="eastAsia" w:eastAsia="仿宋_GB2312"/>
          <w:sz w:val="32"/>
          <w:szCs w:val="32"/>
          <w:lang w:eastAsia="zh-CN"/>
        </w:rPr>
        <w:t>2022</w:t>
      </w:r>
      <w:r>
        <w:rPr>
          <w:rFonts w:hint="eastAsia" w:eastAsia="仿宋_GB2312"/>
          <w:sz w:val="32"/>
          <w:szCs w:val="32"/>
        </w:rPr>
        <w:t>年</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11</w:t>
      </w:r>
      <w:r>
        <w:rPr>
          <w:rFonts w:hint="eastAsia" w:eastAsia="仿宋_GB2312"/>
          <w:sz w:val="32"/>
          <w:szCs w:val="32"/>
        </w:rPr>
        <w:t>日公开了202</w:t>
      </w:r>
      <w:r>
        <w:rPr>
          <w:rFonts w:hint="eastAsia" w:eastAsia="仿宋_GB2312"/>
          <w:sz w:val="32"/>
          <w:szCs w:val="32"/>
          <w:lang w:val="en-US" w:eastAsia="zh-CN"/>
        </w:rPr>
        <w:t>1</w:t>
      </w:r>
      <w:r>
        <w:rPr>
          <w:rFonts w:hint="eastAsia" w:eastAsia="仿宋_GB2312"/>
          <w:sz w:val="32"/>
          <w:szCs w:val="32"/>
        </w:rPr>
        <w:t>年部门决算和“三公”经费决算，社会反响良好，圆满完成了“三公”经费预决算公开工作。</w:t>
      </w:r>
    </w:p>
    <w:p w14:paraId="473D02B8">
      <w:pPr>
        <w:pStyle w:val="11"/>
        <w:spacing w:line="600" w:lineRule="exact"/>
        <w:ind w:firstLine="640" w:firstLineChars="200"/>
        <w:rPr>
          <w:rFonts w:ascii="Times New Roman" w:hAnsi="Times New Roman" w:eastAsia="仿宋_GB2312" w:cs="Times New Roman"/>
          <w:color w:val="auto"/>
          <w:sz w:val="32"/>
          <w:szCs w:val="32"/>
        </w:rPr>
      </w:pPr>
      <w:r>
        <w:rPr>
          <w:rFonts w:hint="eastAsia" w:eastAsia="仿宋_GB2312"/>
          <w:sz w:val="32"/>
          <w:szCs w:val="32"/>
        </w:rPr>
        <w:t>三是进一步加强固定资产管理。</w:t>
      </w:r>
      <w:r>
        <w:rPr>
          <w:rFonts w:hint="eastAsia" w:ascii="Times New Roman" w:hAnsi="Times New Roman" w:eastAsia="仿宋_GB2312" w:cs="Times New Roman"/>
          <w:color w:val="auto"/>
          <w:sz w:val="32"/>
          <w:szCs w:val="32"/>
        </w:rPr>
        <w:t>截至</w:t>
      </w:r>
      <w:r>
        <w:rPr>
          <w:rFonts w:hint="eastAsia" w:ascii="Times New Roman" w:hAnsi="Times New Roman" w:eastAsia="仿宋_GB2312" w:cs="Times New Roman"/>
          <w:color w:val="auto"/>
          <w:sz w:val="32"/>
          <w:szCs w:val="32"/>
          <w:lang w:eastAsia="zh-CN"/>
        </w:rPr>
        <w:t>2022</w:t>
      </w:r>
      <w:r>
        <w:rPr>
          <w:rFonts w:hint="eastAsia" w:ascii="Times New Roman" w:hAnsi="Times New Roman" w:eastAsia="仿宋_GB2312" w:cs="Times New Roman"/>
          <w:color w:val="auto"/>
          <w:sz w:val="32"/>
          <w:szCs w:val="32"/>
        </w:rPr>
        <w:t>年12月31日，部门（单位）共有车辆 1 辆，其中，主要领导干部用车 0  辆，机要通信用车 0  辆、应急保障用车 0  辆、执法执勤用车 0 辆、特种专业技术用车 0 辆、其他用车 1 辆，其他用车主要是单位公务用车；单位价值50万元以上通用设备 0 台（套）；单位价值100万元以上专用设备 0  台（套）。</w:t>
      </w:r>
    </w:p>
    <w:p w14:paraId="78DBF57F">
      <w:pPr>
        <w:widowControl/>
        <w:spacing w:line="600" w:lineRule="exact"/>
        <w:ind w:left="412" w:leftChars="196" w:firstLine="321" w:firstLineChars="100"/>
        <w:rPr>
          <w:rFonts w:eastAsia="仿宋_GB2312"/>
          <w:b/>
          <w:bCs/>
          <w:sz w:val="32"/>
          <w:szCs w:val="32"/>
        </w:rPr>
      </w:pPr>
      <w:r>
        <w:rPr>
          <w:rFonts w:hint="eastAsia" w:eastAsia="仿宋_GB2312"/>
          <w:b/>
          <w:bCs/>
          <w:sz w:val="32"/>
          <w:szCs w:val="32"/>
        </w:rPr>
        <w:t>四、存在的主要问题 </w:t>
      </w:r>
    </w:p>
    <w:p w14:paraId="22AD08ED">
      <w:pPr>
        <w:pStyle w:val="2"/>
        <w:ind w:firstLine="640" w:firstLineChars="200"/>
        <w:rPr>
          <w:rFonts w:eastAsia="仿宋_GB2312"/>
          <w:sz w:val="32"/>
          <w:szCs w:val="32"/>
        </w:rPr>
      </w:pPr>
      <w:r>
        <w:rPr>
          <w:rFonts w:hint="eastAsia" w:eastAsia="仿宋_GB2312"/>
          <w:sz w:val="32"/>
          <w:szCs w:val="32"/>
        </w:rPr>
        <w:t>年初预算与部门决算仍存在偏差，在预算执行过程中，由于各种客观原因存在指标之间调剂使用的现象，预算编制、下达需要更加科学、及时。同时，内部控制制度还待于进一步完善，行政运行成本控制方面还有一定压缩空间，提高机关运行效率方面也尚有上升空间。</w:t>
      </w:r>
    </w:p>
    <w:p w14:paraId="4D3A1F72">
      <w:pPr>
        <w:pStyle w:val="2"/>
        <w:ind w:firstLine="964" w:firstLineChars="300"/>
        <w:rPr>
          <w:rFonts w:eastAsia="仿宋_GB2312"/>
          <w:b/>
          <w:bCs/>
          <w:sz w:val="32"/>
          <w:szCs w:val="32"/>
        </w:rPr>
      </w:pPr>
      <w:r>
        <w:rPr>
          <w:rFonts w:hint="eastAsia" w:eastAsia="仿宋_GB2312"/>
          <w:b/>
          <w:bCs/>
          <w:sz w:val="32"/>
          <w:szCs w:val="32"/>
        </w:rPr>
        <w:t>五、改进的措施和建议</w:t>
      </w:r>
    </w:p>
    <w:p w14:paraId="575F87A0">
      <w:pPr>
        <w:pStyle w:val="2"/>
        <w:ind w:firstLine="960" w:firstLineChars="300"/>
        <w:rPr>
          <w:rFonts w:eastAsia="仿宋_GB2312"/>
          <w:sz w:val="32"/>
          <w:szCs w:val="32"/>
        </w:rPr>
      </w:pPr>
      <w:r>
        <w:rPr>
          <w:rFonts w:hint="eastAsia" w:eastAsia="仿宋_GB2312"/>
          <w:sz w:val="32"/>
          <w:szCs w:val="32"/>
        </w:rPr>
        <w:t>针对上述存在的问题及我单位整体支出管理工作的需要，拟实施的改进措施如下：</w:t>
      </w:r>
    </w:p>
    <w:p w14:paraId="7022CED8">
      <w:pPr>
        <w:pStyle w:val="2"/>
        <w:ind w:firstLine="964" w:firstLineChars="300"/>
        <w:rPr>
          <w:rFonts w:eastAsia="仿宋_GB2312"/>
          <w:sz w:val="32"/>
          <w:szCs w:val="32"/>
        </w:rPr>
      </w:pPr>
      <w:r>
        <w:rPr>
          <w:rFonts w:hint="eastAsia" w:ascii="楷体_GB2312" w:hAnsi="Times New Roman" w:eastAsia="楷体_GB2312" w:cs="Times New Roman"/>
          <w:b/>
          <w:sz w:val="32"/>
          <w:szCs w:val="32"/>
        </w:rPr>
        <w:t>（一）细化预算编制工作。</w:t>
      </w:r>
      <w:r>
        <w:rPr>
          <w:rFonts w:hint="eastAsia" w:eastAsia="仿宋_GB2312"/>
          <w:sz w:val="32"/>
          <w:szCs w:val="32"/>
        </w:rPr>
        <w:t>进一步强化预算管理意识，严格按照预算编制的相关制度和要求，公用经费根据单位的年度工作重点和项目专项工作规划，本着“勤俭节约、保障运转”的原则进行预算的编制。编制范围尽可能的全面、完整，进一步提高预算编制的科学性、合理性、严谨性和可控性，尽最大可能减少预决算执行差异。</w:t>
      </w:r>
    </w:p>
    <w:p w14:paraId="190823C6">
      <w:pPr>
        <w:pStyle w:val="2"/>
        <w:ind w:firstLine="964" w:firstLineChars="300"/>
        <w:rPr>
          <w:rFonts w:eastAsia="仿宋_GB2312"/>
          <w:sz w:val="32"/>
          <w:szCs w:val="32"/>
        </w:rPr>
      </w:pPr>
      <w:r>
        <w:rPr>
          <w:rFonts w:hint="eastAsia" w:ascii="楷体_GB2312" w:hAnsi="Times New Roman" w:eastAsia="楷体_GB2312" w:cs="Times New Roman"/>
          <w:b/>
          <w:sz w:val="32"/>
          <w:szCs w:val="32"/>
        </w:rPr>
        <w:t>（二）强化绩效管理意识。</w:t>
      </w:r>
      <w:r>
        <w:rPr>
          <w:rFonts w:hint="eastAsia" w:eastAsia="仿宋_GB2312"/>
          <w:sz w:val="32"/>
          <w:szCs w:val="32"/>
        </w:rPr>
        <w:t>进一步强化绩效理念，将绩效管理理念贯穿于资金分配到资金使用全过程，加大资金整合力度，强化专项资金管理，把有限的资金用在刀刃上，提高财政资金使用效益。同时，抓好内控制度建设，进一步降低行政成本，确保资金安全，进一步推进廉洁高效政府建设。</w:t>
      </w:r>
    </w:p>
    <w:p w14:paraId="31C45013">
      <w:pPr>
        <w:pStyle w:val="2"/>
        <w:rPr>
          <w:rFonts w:eastAsia="仿宋_GB2312"/>
          <w:sz w:val="32"/>
          <w:szCs w:val="32"/>
        </w:rPr>
      </w:pPr>
    </w:p>
    <w:p w14:paraId="040366F5">
      <w:pPr>
        <w:pStyle w:val="2"/>
        <w:rPr>
          <w:rFonts w:eastAsia="仿宋_GB2312"/>
          <w:sz w:val="32"/>
          <w:szCs w:val="32"/>
        </w:rPr>
      </w:pPr>
    </w:p>
    <w:p w14:paraId="5350843D">
      <w:pPr>
        <w:pStyle w:val="2"/>
      </w:pPr>
    </w:p>
    <w:sectPr>
      <w:footerReference r:id="rId3" w:type="default"/>
      <w:pgSz w:w="11906" w:h="16838"/>
      <w:pgMar w:top="873"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C03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41EBB">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141EBB">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478B"/>
    <w:multiLevelType w:val="singleLevel"/>
    <w:tmpl w:val="D8BD47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TFkYTlkMmZiNzY3Yjc3MjA3Yjk1YjUxYTVhOWQifQ=="/>
  </w:docVars>
  <w:rsids>
    <w:rsidRoot w:val="58E06247"/>
    <w:rsid w:val="002805E3"/>
    <w:rsid w:val="00522CF8"/>
    <w:rsid w:val="00881676"/>
    <w:rsid w:val="00BC7531"/>
    <w:rsid w:val="00E05AA5"/>
    <w:rsid w:val="03736933"/>
    <w:rsid w:val="085F34AC"/>
    <w:rsid w:val="0C183B2E"/>
    <w:rsid w:val="112910AA"/>
    <w:rsid w:val="14716624"/>
    <w:rsid w:val="149B2A0B"/>
    <w:rsid w:val="178D59B0"/>
    <w:rsid w:val="1C1264BC"/>
    <w:rsid w:val="1C3A2BF8"/>
    <w:rsid w:val="1CD643F1"/>
    <w:rsid w:val="1E8D7EF7"/>
    <w:rsid w:val="20E67351"/>
    <w:rsid w:val="21206552"/>
    <w:rsid w:val="28606852"/>
    <w:rsid w:val="29EF7861"/>
    <w:rsid w:val="2A1C125F"/>
    <w:rsid w:val="2B341764"/>
    <w:rsid w:val="2D740F20"/>
    <w:rsid w:val="30BE2A8F"/>
    <w:rsid w:val="3A062C33"/>
    <w:rsid w:val="42510A59"/>
    <w:rsid w:val="429F3322"/>
    <w:rsid w:val="43102595"/>
    <w:rsid w:val="45864463"/>
    <w:rsid w:val="46283732"/>
    <w:rsid w:val="4A1504A0"/>
    <w:rsid w:val="4C314F1F"/>
    <w:rsid w:val="523747F9"/>
    <w:rsid w:val="52C14B04"/>
    <w:rsid w:val="52C166EE"/>
    <w:rsid w:val="55A02E49"/>
    <w:rsid w:val="58E06247"/>
    <w:rsid w:val="5A1E1882"/>
    <w:rsid w:val="5B895243"/>
    <w:rsid w:val="5BBD391F"/>
    <w:rsid w:val="5EED017B"/>
    <w:rsid w:val="645764A5"/>
    <w:rsid w:val="64A2122F"/>
    <w:rsid w:val="6713109A"/>
    <w:rsid w:val="67B42849"/>
    <w:rsid w:val="6FB97321"/>
    <w:rsid w:val="71690210"/>
    <w:rsid w:val="71BD756A"/>
    <w:rsid w:val="751B6785"/>
    <w:rsid w:val="7FD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样式3"/>
    <w:basedOn w:val="1"/>
    <w:qFormat/>
    <w:uiPriority w:val="0"/>
    <w:rPr>
      <w:rFonts w:ascii="Times New Roman" w:hAnsi="Times New Roman" w:eastAsia="仿宋_GB2312" w:cs="Times New Roman"/>
      <w:spacing w:val="113"/>
      <w:sz w:val="32"/>
    </w:rPr>
  </w:style>
  <w:style w:type="paragraph" w:customStyle="1" w:styleId="9">
    <w:name w:val="样式4"/>
    <w:basedOn w:val="1"/>
    <w:qFormat/>
    <w:uiPriority w:val="0"/>
    <w:rPr>
      <w:rFonts w:ascii="Times New Roman" w:hAnsi="Times New Roman" w:eastAsia="仿宋_GB2312" w:cs="Times New Roman"/>
      <w:snapToGrid w:val="0"/>
      <w:spacing w:val="79"/>
      <w:sz w:val="32"/>
    </w:rPr>
  </w:style>
  <w:style w:type="paragraph" w:customStyle="1" w:styleId="10">
    <w:name w:val="样式6"/>
    <w:basedOn w:val="1"/>
    <w:qFormat/>
    <w:uiPriority w:val="0"/>
    <w:rPr>
      <w:rFonts w:ascii="Times New Roman" w:hAnsi="Times New Roman" w:eastAsia="仿宋_GB2312" w:cs="Times New Roman"/>
      <w:spacing w:val="57"/>
      <w:sz w:val="32"/>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2400</Words>
  <Characters>2530</Characters>
  <Lines>1</Lines>
  <Paragraphs>5</Paragraphs>
  <TotalTime>10</TotalTime>
  <ScaleCrop>false</ScaleCrop>
  <LinksUpToDate>false</LinksUpToDate>
  <CharactersWithSpaces>2554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2020-10-27T13:06:00Z</dcterms:created>
  <dc:creator>Administrator</dc:creator>
  <cp:lastModifiedBy>汤士钦</cp:lastModifiedBy>
  <cp:lastPrinted>2021-12-03T03:27:00Z</cp:lastPrinted>
  <dcterms:modified xsi:type="dcterms:W3CDTF">2025-08-13T08:20:44Z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30286464C24D4A8D9C0D1DA7F98D1E08</vt:lpwstr>
  </property>
  <property fmtid="{D5CDD505-2E9C-101B-9397-08002B2CF9AE}" pid="4" name="KSOTemplateDocerSaveRecord">
    <vt:lpwstr>eyJoZGlkIjoiMjY2Mjg4YmUzOGM5YzQ1ZDQ1MjJlMzYzZWE2ZTM1Y2QiLCJ1c2VySWQiOiI0MzcyNDQ3MDkifQ==</vt:lpwstr>
  </property>
</Properties>
</file>