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A278BA">
      <w:pPr>
        <w:widowControl/>
        <w:spacing w:after="75" w:line="500" w:lineRule="exact"/>
        <w:jc w:val="center"/>
        <w:rPr>
          <w:rFonts w:hint="eastAsia" w:ascii="方正小标宋简体" w:hAnsi="宋体" w:eastAsia="方正小标宋简体" w:cs="宋体"/>
          <w:spacing w:val="30"/>
          <w:kern w:val="0"/>
          <w:sz w:val="44"/>
          <w:szCs w:val="44"/>
        </w:rPr>
      </w:pPr>
      <w:bookmarkStart w:id="0" w:name="_GoBack"/>
      <w:bookmarkEnd w:id="0"/>
      <w:r>
        <w:rPr>
          <w:rFonts w:hint="eastAsia" w:ascii="方正小标宋简体" w:hAnsi="宋体" w:eastAsia="方正小标宋简体" w:cs="宋体"/>
          <w:spacing w:val="30"/>
          <w:kern w:val="0"/>
          <w:sz w:val="44"/>
          <w:szCs w:val="44"/>
        </w:rPr>
        <w:t>南岳区教育局20</w:t>
      </w:r>
      <w:r>
        <w:rPr>
          <w:rFonts w:hint="eastAsia" w:ascii="方正小标宋简体" w:hAnsi="宋体" w:eastAsia="方正小标宋简体" w:cs="宋体"/>
          <w:spacing w:val="30"/>
          <w:kern w:val="0"/>
          <w:sz w:val="44"/>
          <w:szCs w:val="44"/>
          <w:lang w:val="en-US" w:eastAsia="zh-CN"/>
        </w:rPr>
        <w:t>22</w:t>
      </w:r>
      <w:r>
        <w:rPr>
          <w:rFonts w:hint="eastAsia" w:ascii="方正小标宋简体" w:hAnsi="宋体" w:eastAsia="方正小标宋简体" w:cs="宋体"/>
          <w:spacing w:val="30"/>
          <w:kern w:val="0"/>
          <w:sz w:val="44"/>
          <w:szCs w:val="44"/>
        </w:rPr>
        <w:t>年部门整体支出</w:t>
      </w:r>
    </w:p>
    <w:p w14:paraId="569A998E">
      <w:pPr>
        <w:widowControl/>
        <w:spacing w:after="75" w:line="500" w:lineRule="exact"/>
        <w:jc w:val="center"/>
        <w:rPr>
          <w:rFonts w:ascii="宋体" w:hAnsi="宋体" w:cs="宋体"/>
          <w:spacing w:val="30"/>
          <w:kern w:val="0"/>
          <w:sz w:val="24"/>
        </w:rPr>
      </w:pPr>
      <w:r>
        <w:rPr>
          <w:rFonts w:hint="eastAsia" w:ascii="方正小标宋简体" w:hAnsi="宋体" w:eastAsia="方正小标宋简体" w:cs="宋体"/>
          <w:spacing w:val="30"/>
          <w:kern w:val="0"/>
          <w:sz w:val="44"/>
          <w:szCs w:val="44"/>
        </w:rPr>
        <w:t>绩效评价报告</w:t>
      </w:r>
    </w:p>
    <w:p w14:paraId="43D9FCA5">
      <w:pPr>
        <w:numPr>
          <w:ilvl w:val="0"/>
          <w:numId w:val="0"/>
        </w:numPr>
        <w:ind w:firstLine="640" w:firstLineChars="200"/>
        <w:rPr>
          <w:rFonts w:hint="eastAsia" w:ascii="黑体" w:hAnsi="Times New Roman" w:eastAsia="黑体" w:cs="Times New Roman"/>
          <w:sz w:val="32"/>
          <w:szCs w:val="32"/>
          <w:lang w:eastAsia="zh-CN"/>
        </w:rPr>
      </w:pPr>
    </w:p>
    <w:p w14:paraId="15023287">
      <w:pPr>
        <w:numPr>
          <w:ilvl w:val="0"/>
          <w:numId w:val="0"/>
        </w:numPr>
        <w:ind w:firstLine="640" w:firstLineChars="200"/>
        <w:rPr>
          <w:rFonts w:hint="eastAsia" w:ascii="黑体" w:hAnsi="Times New Roman" w:eastAsia="黑体" w:cs="Times New Roman"/>
          <w:sz w:val="32"/>
          <w:szCs w:val="32"/>
        </w:rPr>
      </w:pPr>
      <w:r>
        <w:rPr>
          <w:rFonts w:hint="eastAsia" w:ascii="黑体" w:hAnsi="Times New Roman" w:eastAsia="黑体" w:cs="Times New Roman"/>
          <w:sz w:val="32"/>
          <w:szCs w:val="32"/>
          <w:lang w:eastAsia="zh-CN"/>
        </w:rPr>
        <w:t>一、</w:t>
      </w:r>
      <w:r>
        <w:rPr>
          <w:rFonts w:hint="eastAsia" w:ascii="黑体" w:hAnsi="Times New Roman" w:eastAsia="黑体" w:cs="Times New Roman"/>
          <w:sz w:val="32"/>
          <w:szCs w:val="32"/>
        </w:rPr>
        <w:t>部门（单位）基本情况</w:t>
      </w:r>
    </w:p>
    <w:p w14:paraId="1E8A1EB6">
      <w:pPr>
        <w:spacing w:line="600" w:lineRule="exact"/>
        <w:ind w:firstLine="643" w:firstLineChars="200"/>
        <w:rPr>
          <w:rFonts w:hint="eastAsia" w:ascii="Times New Roman" w:hAnsi="仿宋" w:eastAsia="仿宋"/>
          <w:sz w:val="32"/>
          <w:szCs w:val="32"/>
        </w:rPr>
      </w:pPr>
      <w:r>
        <w:rPr>
          <w:rFonts w:ascii="Times New Roman" w:hAnsi="仿宋" w:eastAsia="仿宋"/>
          <w:b/>
          <w:bCs/>
          <w:sz w:val="32"/>
          <w:szCs w:val="32"/>
        </w:rPr>
        <w:t>（一）职能职责。</w:t>
      </w:r>
      <w:r>
        <w:rPr>
          <w:rFonts w:hint="eastAsia" w:ascii="Times New Roman" w:hAnsi="仿宋" w:eastAsia="仿宋"/>
          <w:sz w:val="32"/>
          <w:szCs w:val="32"/>
        </w:rPr>
        <w:t>区教育局贯彻落实党中央关于教育工作的方针政策和决策部署，全面贯彻落实省委、市委、区委关于教育工作的部署要求，在履行职责过程中坚持和加强党对教育工作的集中统一领导。主要职责是：</w:t>
      </w:r>
    </w:p>
    <w:p w14:paraId="1624D159">
      <w:pPr>
        <w:spacing w:line="580" w:lineRule="exact"/>
        <w:ind w:firstLine="640" w:firstLineChars="200"/>
        <w:rPr>
          <w:rFonts w:hint="eastAsia" w:ascii="Times New Roman" w:hAnsi="仿宋" w:eastAsia="仿宋"/>
          <w:sz w:val="32"/>
          <w:szCs w:val="32"/>
        </w:rPr>
      </w:pPr>
      <w:r>
        <w:rPr>
          <w:rFonts w:hint="eastAsia" w:ascii="Times New Roman" w:hAnsi="仿宋" w:eastAsia="仿宋"/>
          <w:sz w:val="32"/>
          <w:szCs w:val="32"/>
          <w:lang w:val="en-US" w:eastAsia="zh-CN"/>
        </w:rPr>
        <w:t>1.</w:t>
      </w:r>
      <w:r>
        <w:rPr>
          <w:rFonts w:hint="eastAsia" w:ascii="Times New Roman" w:hAnsi="仿宋" w:eastAsia="仿宋"/>
          <w:sz w:val="32"/>
          <w:szCs w:val="32"/>
        </w:rPr>
        <w:t>贯彻落实国家教育工作的方针、政策和法律、法规、规章，结合本区拟订具体实施办法和管理制度，并监督实施。</w:t>
      </w:r>
    </w:p>
    <w:p w14:paraId="36A9749E">
      <w:pPr>
        <w:spacing w:line="580" w:lineRule="exact"/>
        <w:ind w:firstLine="640" w:firstLineChars="200"/>
        <w:rPr>
          <w:rFonts w:hint="eastAsia" w:ascii="Times New Roman" w:hAnsi="仿宋" w:eastAsia="仿宋"/>
          <w:sz w:val="32"/>
          <w:szCs w:val="32"/>
        </w:rPr>
      </w:pPr>
      <w:r>
        <w:rPr>
          <w:rFonts w:hint="eastAsia" w:ascii="Times New Roman" w:hAnsi="仿宋" w:eastAsia="仿宋"/>
          <w:sz w:val="32"/>
          <w:szCs w:val="32"/>
          <w:lang w:val="en-US" w:eastAsia="zh-CN"/>
        </w:rPr>
        <w:t>2.</w:t>
      </w:r>
      <w:r>
        <w:rPr>
          <w:rFonts w:hint="eastAsia" w:ascii="Times New Roman" w:hAnsi="仿宋" w:eastAsia="仿宋"/>
          <w:sz w:val="32"/>
          <w:szCs w:val="32"/>
        </w:rPr>
        <w:t>研究提出全区教育改革与发展战略和教育事业发展规划、年度计划及发展的重点、结构、速度和步骤，指导并协调实施。</w:t>
      </w:r>
    </w:p>
    <w:p w14:paraId="3F95FB94">
      <w:pPr>
        <w:spacing w:line="580" w:lineRule="exact"/>
        <w:ind w:firstLine="640" w:firstLineChars="200"/>
        <w:rPr>
          <w:rFonts w:hint="eastAsia" w:ascii="Times New Roman" w:hAnsi="仿宋" w:eastAsia="仿宋"/>
          <w:sz w:val="32"/>
          <w:szCs w:val="32"/>
        </w:rPr>
      </w:pPr>
      <w:r>
        <w:rPr>
          <w:rFonts w:hint="eastAsia" w:ascii="Times New Roman" w:hAnsi="仿宋" w:eastAsia="仿宋"/>
          <w:sz w:val="32"/>
          <w:szCs w:val="32"/>
          <w:lang w:val="en-US" w:eastAsia="zh-CN"/>
        </w:rPr>
        <w:t>3.</w:t>
      </w:r>
      <w:r>
        <w:rPr>
          <w:rFonts w:hint="eastAsia" w:ascii="Times New Roman" w:hAnsi="仿宋" w:eastAsia="仿宋"/>
          <w:sz w:val="32"/>
          <w:szCs w:val="32"/>
        </w:rPr>
        <w:t>负责全区的基础教育、职业技术教育、成人教育、幼儿教育、特殊教育、民办教育的管理工作。</w:t>
      </w:r>
    </w:p>
    <w:p w14:paraId="4CD99413">
      <w:pPr>
        <w:spacing w:line="580" w:lineRule="exact"/>
        <w:ind w:firstLine="640" w:firstLineChars="200"/>
        <w:rPr>
          <w:rFonts w:hint="eastAsia" w:ascii="Times New Roman" w:hAnsi="仿宋" w:eastAsia="仿宋"/>
          <w:sz w:val="32"/>
          <w:szCs w:val="32"/>
        </w:rPr>
      </w:pPr>
      <w:r>
        <w:rPr>
          <w:rFonts w:hint="eastAsia" w:ascii="Times New Roman" w:hAnsi="仿宋" w:eastAsia="仿宋"/>
          <w:sz w:val="32"/>
          <w:szCs w:val="32"/>
          <w:lang w:val="en-US" w:eastAsia="zh-CN"/>
        </w:rPr>
        <w:t>4.</w:t>
      </w:r>
      <w:r>
        <w:rPr>
          <w:rFonts w:hint="eastAsia" w:ascii="Times New Roman" w:hAnsi="仿宋" w:eastAsia="仿宋"/>
          <w:sz w:val="32"/>
          <w:szCs w:val="32"/>
        </w:rPr>
        <w:t>负责推进义务教育均衡发展和促进教育公平，负责义务教育的宏观指导与协调，指导幼儿教育和特殊教育工作，全面实施素质教育。</w:t>
      </w:r>
    </w:p>
    <w:p w14:paraId="66169170">
      <w:pPr>
        <w:spacing w:line="580" w:lineRule="exact"/>
        <w:ind w:firstLine="640" w:firstLineChars="200"/>
        <w:rPr>
          <w:rFonts w:hint="eastAsia" w:ascii="Times New Roman" w:hAnsi="仿宋" w:eastAsia="仿宋"/>
          <w:sz w:val="32"/>
          <w:szCs w:val="32"/>
        </w:rPr>
      </w:pPr>
      <w:r>
        <w:rPr>
          <w:rFonts w:hint="eastAsia" w:ascii="Times New Roman" w:hAnsi="仿宋" w:eastAsia="仿宋"/>
          <w:sz w:val="32"/>
          <w:szCs w:val="32"/>
          <w:lang w:val="en-US" w:eastAsia="zh-CN"/>
        </w:rPr>
        <w:t>5.</w:t>
      </w:r>
      <w:r>
        <w:rPr>
          <w:rFonts w:hint="eastAsia" w:ascii="Times New Roman" w:hAnsi="仿宋" w:eastAsia="仿宋"/>
          <w:b w:val="0"/>
          <w:bCs w:val="0"/>
          <w:sz w:val="32"/>
          <w:szCs w:val="32"/>
        </w:rPr>
        <w:t>统筹管理本部门教育经费。会同有关部门拟订教育经费</w:t>
      </w:r>
      <w:r>
        <w:rPr>
          <w:rFonts w:hint="eastAsia" w:ascii="Times New Roman" w:hAnsi="仿宋" w:eastAsia="仿宋"/>
          <w:sz w:val="32"/>
          <w:szCs w:val="32"/>
        </w:rPr>
        <w:t>预算、经费筹措、教育拨款、教育基建投资的政策并组织实施，完善教育经费管理制度。检查监督全区教育经费的投入和使用情况。负责管理区本级的教育经费。监管教育系统国有资产。指导、管理全区资助经济困难学生工作。</w:t>
      </w:r>
    </w:p>
    <w:p w14:paraId="7FA1C456">
      <w:pPr>
        <w:spacing w:line="580" w:lineRule="exact"/>
        <w:ind w:firstLine="640" w:firstLineChars="200"/>
        <w:rPr>
          <w:rFonts w:hint="eastAsia" w:ascii="Times New Roman" w:hAnsi="仿宋" w:eastAsia="仿宋"/>
          <w:sz w:val="32"/>
          <w:szCs w:val="32"/>
        </w:rPr>
      </w:pPr>
      <w:r>
        <w:rPr>
          <w:rFonts w:hint="eastAsia" w:ascii="Times New Roman" w:hAnsi="仿宋" w:eastAsia="仿宋"/>
          <w:sz w:val="32"/>
          <w:szCs w:val="32"/>
          <w:lang w:val="en-US" w:eastAsia="zh-CN"/>
        </w:rPr>
        <w:t>6.</w:t>
      </w:r>
      <w:r>
        <w:rPr>
          <w:rFonts w:hint="eastAsia" w:ascii="Times New Roman" w:hAnsi="仿宋" w:eastAsia="仿宋"/>
          <w:sz w:val="32"/>
          <w:szCs w:val="32"/>
        </w:rPr>
        <w:t>主管全区教师工作。组织指导中小学教师的资格认定、注册、招聘录用、职务评聘、培养培训、调配交流、档案管理和考核奖惩等工作。制定全区师资建设发展规划、教职工管理制度和培训计划并组织实施。</w:t>
      </w:r>
    </w:p>
    <w:p w14:paraId="419758A8">
      <w:pPr>
        <w:spacing w:line="580" w:lineRule="exact"/>
        <w:ind w:firstLine="640" w:firstLineChars="200"/>
        <w:rPr>
          <w:rFonts w:hint="eastAsia" w:ascii="Times New Roman" w:hAnsi="仿宋" w:eastAsia="仿宋"/>
          <w:sz w:val="32"/>
          <w:szCs w:val="32"/>
        </w:rPr>
      </w:pPr>
      <w:r>
        <w:rPr>
          <w:rFonts w:hint="eastAsia" w:ascii="Times New Roman" w:hAnsi="仿宋" w:eastAsia="仿宋"/>
          <w:sz w:val="32"/>
          <w:szCs w:val="32"/>
          <w:lang w:val="en-US" w:eastAsia="zh-CN"/>
        </w:rPr>
        <w:t>7.</w:t>
      </w:r>
      <w:r>
        <w:rPr>
          <w:rFonts w:hint="eastAsia" w:ascii="Times New Roman" w:hAnsi="仿宋" w:eastAsia="仿宋"/>
          <w:sz w:val="32"/>
          <w:szCs w:val="32"/>
        </w:rPr>
        <w:t>负责指导教育系统人才队伍建设工作；负责中小学校、幼儿园教职工资源的配置，优化乡（镇）教师队伍结构，加强教师队伍建设；按照干部管理权限和规定，负责权限内中小学校的领导干部考察、选拔、任用。负责师范类院校毕业生就业指导工作。</w:t>
      </w:r>
    </w:p>
    <w:p w14:paraId="1E3E525A">
      <w:pPr>
        <w:spacing w:line="580" w:lineRule="exact"/>
        <w:ind w:firstLine="640" w:firstLineChars="200"/>
        <w:rPr>
          <w:rFonts w:hint="eastAsia" w:ascii="Times New Roman" w:hAnsi="仿宋" w:eastAsia="仿宋"/>
          <w:sz w:val="32"/>
          <w:szCs w:val="32"/>
        </w:rPr>
      </w:pPr>
      <w:r>
        <w:rPr>
          <w:rFonts w:hint="eastAsia" w:ascii="Times New Roman" w:hAnsi="仿宋" w:eastAsia="仿宋"/>
          <w:sz w:val="32"/>
          <w:szCs w:val="32"/>
          <w:lang w:val="en-US" w:eastAsia="zh-CN"/>
        </w:rPr>
        <w:t>8.</w:t>
      </w:r>
      <w:r>
        <w:rPr>
          <w:rFonts w:hint="eastAsia" w:ascii="Times New Roman" w:hAnsi="仿宋" w:eastAsia="仿宋"/>
          <w:sz w:val="32"/>
          <w:szCs w:val="32"/>
        </w:rPr>
        <w:t>规划并指导全区学校的思想政治工作、德育工作、体育卫生与艺术教育及国防教育等工作。</w:t>
      </w:r>
    </w:p>
    <w:p w14:paraId="6C0555EC">
      <w:pPr>
        <w:spacing w:line="580" w:lineRule="exact"/>
        <w:ind w:firstLine="640" w:firstLineChars="200"/>
        <w:rPr>
          <w:rFonts w:hint="eastAsia" w:ascii="Times New Roman" w:hAnsi="仿宋" w:eastAsia="仿宋"/>
          <w:sz w:val="32"/>
          <w:szCs w:val="32"/>
        </w:rPr>
      </w:pPr>
      <w:r>
        <w:rPr>
          <w:rFonts w:hint="eastAsia" w:ascii="Times New Roman" w:hAnsi="仿宋" w:eastAsia="仿宋"/>
          <w:sz w:val="32"/>
          <w:szCs w:val="32"/>
          <w:lang w:val="en-US" w:eastAsia="zh-CN"/>
        </w:rPr>
        <w:t>9.</w:t>
      </w:r>
      <w:r>
        <w:rPr>
          <w:rFonts w:hint="eastAsia" w:ascii="Times New Roman" w:hAnsi="仿宋" w:eastAsia="仿宋"/>
          <w:sz w:val="32"/>
          <w:szCs w:val="32"/>
        </w:rPr>
        <w:t>会同有关部门制定区属中小学的招生指导计划并组织实施；指导中等专业学校毕业生就业制度改革，拟订中等专业学校毕业生就业政策并组织实施；负责普通高校招生考试工作；负责基础教育各类考试的考务工作。</w:t>
      </w:r>
    </w:p>
    <w:p w14:paraId="474F58C2">
      <w:pPr>
        <w:spacing w:line="580" w:lineRule="exact"/>
        <w:ind w:firstLine="640" w:firstLineChars="200"/>
        <w:rPr>
          <w:rFonts w:hint="eastAsia" w:ascii="Times New Roman" w:hAnsi="仿宋" w:eastAsia="仿宋"/>
          <w:sz w:val="32"/>
          <w:szCs w:val="32"/>
        </w:rPr>
      </w:pPr>
      <w:r>
        <w:rPr>
          <w:rFonts w:hint="eastAsia" w:ascii="Times New Roman" w:hAnsi="仿宋" w:eastAsia="仿宋"/>
          <w:sz w:val="32"/>
          <w:szCs w:val="32"/>
          <w:lang w:val="en-US" w:eastAsia="zh-CN"/>
        </w:rPr>
        <w:t>10.</w:t>
      </w:r>
      <w:r>
        <w:rPr>
          <w:rFonts w:hint="eastAsia" w:ascii="Times New Roman" w:hAnsi="仿宋" w:eastAsia="仿宋"/>
          <w:sz w:val="32"/>
          <w:szCs w:val="32"/>
        </w:rPr>
        <w:t>负责全区勤工俭学、教育技术装备、体育设施器材装备和图书建设工作。</w:t>
      </w:r>
    </w:p>
    <w:p w14:paraId="0B9868DA">
      <w:pPr>
        <w:spacing w:line="580" w:lineRule="exact"/>
        <w:ind w:firstLine="640" w:firstLineChars="200"/>
        <w:rPr>
          <w:rFonts w:hint="eastAsia" w:ascii="Times New Roman" w:hAnsi="仿宋" w:eastAsia="仿宋"/>
          <w:sz w:val="32"/>
          <w:szCs w:val="32"/>
        </w:rPr>
      </w:pPr>
      <w:r>
        <w:rPr>
          <w:rFonts w:hint="eastAsia" w:ascii="Times New Roman" w:hAnsi="仿宋" w:eastAsia="仿宋"/>
          <w:sz w:val="32"/>
          <w:szCs w:val="32"/>
          <w:lang w:val="en-US" w:eastAsia="zh-CN"/>
        </w:rPr>
        <w:t>11.</w:t>
      </w:r>
      <w:r>
        <w:rPr>
          <w:rFonts w:hint="eastAsia" w:ascii="Times New Roman" w:hAnsi="仿宋" w:eastAsia="仿宋"/>
          <w:sz w:val="32"/>
          <w:szCs w:val="32"/>
        </w:rPr>
        <w:t>组织、指导全区教育行政执法工作和内部审计等工作。</w:t>
      </w:r>
    </w:p>
    <w:p w14:paraId="438BC381">
      <w:pPr>
        <w:spacing w:line="580" w:lineRule="exact"/>
        <w:ind w:firstLine="640" w:firstLineChars="200"/>
        <w:rPr>
          <w:rFonts w:hint="eastAsia" w:ascii="Times New Roman" w:hAnsi="仿宋" w:eastAsia="仿宋"/>
          <w:sz w:val="32"/>
          <w:szCs w:val="32"/>
        </w:rPr>
      </w:pPr>
      <w:r>
        <w:rPr>
          <w:rFonts w:hint="eastAsia" w:ascii="Times New Roman" w:hAnsi="仿宋" w:eastAsia="仿宋"/>
          <w:sz w:val="32"/>
          <w:szCs w:val="32"/>
          <w:lang w:val="en-US" w:eastAsia="zh-CN"/>
        </w:rPr>
        <w:t>12.</w:t>
      </w:r>
      <w:r>
        <w:rPr>
          <w:rFonts w:hint="eastAsia" w:ascii="Times New Roman" w:hAnsi="仿宋" w:eastAsia="仿宋"/>
          <w:sz w:val="32"/>
          <w:szCs w:val="32"/>
        </w:rPr>
        <w:t>统筹管理全区语言文字工作。拟订全区语言文字规划并组织实施，指导并推广普通话和规范汉字工作。</w:t>
      </w:r>
    </w:p>
    <w:p w14:paraId="60E5B84F">
      <w:pPr>
        <w:spacing w:line="580" w:lineRule="exact"/>
        <w:ind w:firstLine="640" w:firstLineChars="200"/>
        <w:rPr>
          <w:rFonts w:hint="eastAsia" w:ascii="Times New Roman" w:hAnsi="仿宋" w:eastAsia="仿宋"/>
          <w:sz w:val="32"/>
          <w:szCs w:val="32"/>
        </w:rPr>
      </w:pPr>
      <w:r>
        <w:rPr>
          <w:rFonts w:hint="eastAsia" w:ascii="Times New Roman" w:hAnsi="仿宋" w:eastAsia="仿宋"/>
          <w:sz w:val="32"/>
          <w:szCs w:val="32"/>
          <w:lang w:val="en-US" w:eastAsia="zh-CN"/>
        </w:rPr>
        <w:t>13.</w:t>
      </w:r>
      <w:r>
        <w:rPr>
          <w:rFonts w:hint="eastAsia" w:ascii="Times New Roman" w:hAnsi="仿宋" w:eastAsia="仿宋"/>
          <w:sz w:val="32"/>
          <w:szCs w:val="32"/>
        </w:rPr>
        <w:t>负责全区教育基本信息的统计、分析和发布。</w:t>
      </w:r>
    </w:p>
    <w:p w14:paraId="66D4F81E">
      <w:pPr>
        <w:spacing w:line="580" w:lineRule="exact"/>
        <w:ind w:firstLine="640" w:firstLineChars="200"/>
        <w:rPr>
          <w:rFonts w:hint="eastAsia" w:ascii="Times New Roman" w:hAnsi="仿宋" w:eastAsia="仿宋"/>
          <w:sz w:val="32"/>
          <w:szCs w:val="32"/>
        </w:rPr>
      </w:pPr>
      <w:r>
        <w:rPr>
          <w:rFonts w:hint="eastAsia" w:ascii="Times New Roman" w:hAnsi="仿宋" w:eastAsia="仿宋"/>
          <w:sz w:val="32"/>
          <w:szCs w:val="32"/>
          <w:lang w:val="en-US" w:eastAsia="zh-CN"/>
        </w:rPr>
        <w:t>14.</w:t>
      </w:r>
      <w:r>
        <w:rPr>
          <w:rFonts w:hint="eastAsia" w:ascii="Times New Roman" w:hAnsi="仿宋" w:eastAsia="仿宋"/>
          <w:sz w:val="32"/>
          <w:szCs w:val="32"/>
        </w:rPr>
        <w:t>统筹全区教育信息化建设与应用工作。</w:t>
      </w:r>
    </w:p>
    <w:p w14:paraId="7177EF88">
      <w:pPr>
        <w:spacing w:line="580" w:lineRule="exact"/>
        <w:ind w:firstLine="640" w:firstLineChars="200"/>
        <w:rPr>
          <w:rFonts w:hint="eastAsia" w:ascii="Times New Roman" w:hAnsi="仿宋" w:eastAsia="仿宋"/>
          <w:sz w:val="32"/>
          <w:szCs w:val="32"/>
        </w:rPr>
      </w:pPr>
      <w:r>
        <w:rPr>
          <w:rFonts w:hint="eastAsia" w:ascii="Times New Roman" w:hAnsi="仿宋" w:eastAsia="仿宋"/>
          <w:sz w:val="32"/>
          <w:szCs w:val="32"/>
          <w:lang w:val="en-US" w:eastAsia="zh-CN"/>
        </w:rPr>
        <w:t>15.</w:t>
      </w:r>
      <w:r>
        <w:rPr>
          <w:rFonts w:hint="eastAsia" w:ascii="Times New Roman" w:hAnsi="仿宋" w:eastAsia="仿宋"/>
          <w:sz w:val="32"/>
          <w:szCs w:val="32"/>
        </w:rPr>
        <w:t>统筹和指导全区少数民族教育工作。</w:t>
      </w:r>
    </w:p>
    <w:p w14:paraId="0E7E5FFE">
      <w:pPr>
        <w:spacing w:line="580" w:lineRule="exact"/>
        <w:ind w:firstLine="640" w:firstLineChars="200"/>
        <w:rPr>
          <w:rFonts w:hint="eastAsia" w:ascii="Times New Roman" w:hAnsi="仿宋" w:eastAsia="仿宋"/>
          <w:sz w:val="32"/>
          <w:szCs w:val="32"/>
        </w:rPr>
      </w:pPr>
      <w:r>
        <w:rPr>
          <w:rFonts w:hint="eastAsia" w:ascii="Times New Roman" w:hAnsi="仿宋" w:eastAsia="仿宋"/>
          <w:sz w:val="32"/>
          <w:szCs w:val="32"/>
          <w:lang w:val="en-US" w:eastAsia="zh-CN"/>
        </w:rPr>
        <w:t>16.</w:t>
      </w:r>
      <w:r>
        <w:rPr>
          <w:rFonts w:hint="eastAsia" w:ascii="Times New Roman" w:hAnsi="仿宋" w:eastAsia="仿宋"/>
          <w:sz w:val="32"/>
          <w:szCs w:val="32"/>
        </w:rPr>
        <w:t>负责中小学校舍安全工程建设，全面推进标准化学校建设工作。</w:t>
      </w:r>
    </w:p>
    <w:p w14:paraId="5D107A14">
      <w:pPr>
        <w:spacing w:line="580" w:lineRule="exact"/>
        <w:ind w:firstLine="640" w:firstLineChars="200"/>
        <w:rPr>
          <w:rFonts w:hint="eastAsia" w:ascii="Times New Roman" w:hAnsi="仿宋" w:eastAsia="仿宋"/>
          <w:sz w:val="32"/>
          <w:szCs w:val="32"/>
        </w:rPr>
      </w:pPr>
      <w:r>
        <w:rPr>
          <w:rFonts w:hint="eastAsia" w:ascii="Times New Roman" w:hAnsi="仿宋" w:eastAsia="仿宋"/>
          <w:sz w:val="32"/>
          <w:szCs w:val="32"/>
          <w:lang w:val="en-US" w:eastAsia="zh-CN"/>
        </w:rPr>
        <w:t>17.</w:t>
      </w:r>
      <w:r>
        <w:rPr>
          <w:rFonts w:hint="eastAsia" w:ascii="Times New Roman" w:hAnsi="仿宋" w:eastAsia="仿宋"/>
          <w:sz w:val="32"/>
          <w:szCs w:val="32"/>
        </w:rPr>
        <w:t>组织、指导全区教育督导工作。</w:t>
      </w:r>
    </w:p>
    <w:p w14:paraId="7AA09FE3">
      <w:pPr>
        <w:spacing w:line="580" w:lineRule="exact"/>
        <w:ind w:firstLine="640" w:firstLineChars="200"/>
        <w:rPr>
          <w:rFonts w:hint="eastAsia" w:ascii="Times New Roman" w:hAnsi="仿宋" w:eastAsia="仿宋"/>
          <w:sz w:val="32"/>
          <w:szCs w:val="32"/>
        </w:rPr>
      </w:pPr>
      <w:r>
        <w:rPr>
          <w:rFonts w:hint="eastAsia" w:ascii="Times New Roman" w:hAnsi="仿宋" w:eastAsia="仿宋"/>
          <w:sz w:val="32"/>
          <w:szCs w:val="32"/>
          <w:lang w:val="en-US" w:eastAsia="zh-CN"/>
        </w:rPr>
        <w:t>18.</w:t>
      </w:r>
      <w:r>
        <w:rPr>
          <w:rFonts w:hint="eastAsia" w:ascii="Times New Roman" w:hAnsi="仿宋" w:eastAsia="仿宋"/>
          <w:sz w:val="32"/>
          <w:szCs w:val="32"/>
        </w:rPr>
        <w:t>负责全区教育工会工作。</w:t>
      </w:r>
    </w:p>
    <w:p w14:paraId="5BE91BBC">
      <w:pPr>
        <w:spacing w:line="580" w:lineRule="exact"/>
        <w:ind w:firstLine="640" w:firstLineChars="200"/>
        <w:rPr>
          <w:rFonts w:hint="eastAsia" w:ascii="Times New Roman" w:hAnsi="仿宋" w:eastAsia="仿宋"/>
          <w:sz w:val="32"/>
          <w:szCs w:val="32"/>
        </w:rPr>
      </w:pPr>
      <w:r>
        <w:rPr>
          <w:rFonts w:hint="eastAsia" w:ascii="Times New Roman" w:hAnsi="仿宋" w:eastAsia="仿宋"/>
          <w:sz w:val="32"/>
          <w:szCs w:val="32"/>
          <w:lang w:val="en-US" w:eastAsia="zh-CN"/>
        </w:rPr>
        <w:t>19.</w:t>
      </w:r>
      <w:r>
        <w:rPr>
          <w:rFonts w:hint="eastAsia" w:ascii="Times New Roman" w:hAnsi="仿宋" w:eastAsia="仿宋"/>
          <w:sz w:val="32"/>
          <w:szCs w:val="32"/>
        </w:rPr>
        <w:t>负责本行业、领域的应急管理工作，对本行业、领域的安全生产工作实施监督管理。</w:t>
      </w:r>
    </w:p>
    <w:p w14:paraId="214A15A9">
      <w:pPr>
        <w:spacing w:line="580" w:lineRule="exact"/>
        <w:ind w:firstLine="640" w:firstLineChars="200"/>
        <w:rPr>
          <w:rFonts w:hint="eastAsia" w:ascii="Times New Roman" w:hAnsi="仿宋" w:eastAsia="仿宋"/>
          <w:sz w:val="32"/>
          <w:szCs w:val="32"/>
        </w:rPr>
      </w:pPr>
      <w:r>
        <w:rPr>
          <w:rFonts w:hint="eastAsia" w:ascii="Times New Roman" w:hAnsi="仿宋" w:eastAsia="仿宋"/>
          <w:sz w:val="32"/>
          <w:szCs w:val="32"/>
          <w:lang w:val="en-US" w:eastAsia="zh-CN"/>
        </w:rPr>
        <w:t>20.</w:t>
      </w:r>
      <w:r>
        <w:rPr>
          <w:rFonts w:hint="eastAsia" w:ascii="Times New Roman" w:hAnsi="仿宋" w:eastAsia="仿宋"/>
          <w:sz w:val="32"/>
          <w:szCs w:val="32"/>
        </w:rPr>
        <w:t>完成区委、区政府交办的其他任务。</w:t>
      </w:r>
    </w:p>
    <w:p w14:paraId="7ABF412A">
      <w:pPr>
        <w:spacing w:line="580" w:lineRule="exact"/>
        <w:ind w:firstLine="640" w:firstLineChars="200"/>
        <w:rPr>
          <w:rFonts w:hint="eastAsia" w:ascii="Times New Roman" w:hAnsi="仿宋" w:eastAsia="仿宋"/>
          <w:sz w:val="32"/>
          <w:szCs w:val="32"/>
        </w:rPr>
      </w:pPr>
      <w:r>
        <w:rPr>
          <w:rFonts w:hint="eastAsia" w:ascii="Times New Roman" w:hAnsi="仿宋" w:eastAsia="仿宋"/>
          <w:sz w:val="32"/>
          <w:szCs w:val="32"/>
          <w:lang w:val="en-US" w:eastAsia="zh-CN"/>
        </w:rPr>
        <w:t>21.</w:t>
      </w:r>
      <w:r>
        <w:rPr>
          <w:rFonts w:hint="eastAsia" w:ascii="Times New Roman" w:hAnsi="仿宋" w:eastAsia="仿宋"/>
          <w:sz w:val="32"/>
          <w:szCs w:val="32"/>
        </w:rPr>
        <w:t>职责分工。</w:t>
      </w:r>
    </w:p>
    <w:p w14:paraId="751C07FD">
      <w:pPr>
        <w:spacing w:line="580" w:lineRule="exact"/>
        <w:ind w:firstLine="640" w:firstLineChars="200"/>
        <w:rPr>
          <w:rFonts w:hint="eastAsia" w:ascii="Times New Roman" w:hAnsi="仿宋" w:eastAsia="仿宋"/>
          <w:sz w:val="32"/>
          <w:szCs w:val="32"/>
        </w:rPr>
      </w:pPr>
      <w:r>
        <w:rPr>
          <w:rFonts w:hint="eastAsia" w:ascii="Times New Roman" w:hAnsi="仿宋" w:eastAsia="仿宋"/>
          <w:sz w:val="32"/>
          <w:szCs w:val="32"/>
          <w:lang w:eastAsia="zh-CN"/>
        </w:rPr>
        <w:t>（</w:t>
      </w:r>
      <w:r>
        <w:rPr>
          <w:rFonts w:hint="eastAsia" w:ascii="Times New Roman" w:hAnsi="仿宋" w:eastAsia="仿宋"/>
          <w:sz w:val="32"/>
          <w:szCs w:val="32"/>
          <w:lang w:val="en-US" w:eastAsia="zh-CN"/>
        </w:rPr>
        <w:t>1</w:t>
      </w:r>
      <w:r>
        <w:rPr>
          <w:rFonts w:hint="eastAsia" w:ascii="Times New Roman" w:hAnsi="仿宋" w:eastAsia="仿宋"/>
          <w:sz w:val="32"/>
          <w:szCs w:val="32"/>
          <w:lang w:eastAsia="zh-CN"/>
        </w:rPr>
        <w:t>）</w:t>
      </w:r>
      <w:r>
        <w:rPr>
          <w:rFonts w:hint="eastAsia" w:ascii="Times New Roman" w:hAnsi="仿宋" w:eastAsia="仿宋"/>
          <w:sz w:val="32"/>
          <w:szCs w:val="32"/>
        </w:rPr>
        <w:t>与区市场监管局的有关职责分工。区教育局负责加强对学校、幼儿园、托儿所等集体食堂的达标建设与食品安全教育管理，建立健全与区市场监督管理局协调配合和食品安全事件处置机制。区市场监管局负责组织指导校园食品安全事件应急处置和调查处理工作。</w:t>
      </w:r>
    </w:p>
    <w:p w14:paraId="0F5D3F57">
      <w:pPr>
        <w:spacing w:line="580" w:lineRule="exact"/>
        <w:ind w:firstLine="640" w:firstLineChars="200"/>
        <w:rPr>
          <w:rFonts w:ascii="Times New Roman" w:hAnsi="仿宋" w:eastAsia="仿宋"/>
          <w:b/>
          <w:bCs/>
          <w:sz w:val="32"/>
          <w:szCs w:val="32"/>
        </w:rPr>
      </w:pPr>
      <w:r>
        <w:rPr>
          <w:rFonts w:hint="eastAsia" w:ascii="Times New Roman" w:hAnsi="仿宋" w:eastAsia="仿宋"/>
          <w:sz w:val="32"/>
          <w:szCs w:val="32"/>
          <w:lang w:eastAsia="zh-CN"/>
        </w:rPr>
        <w:t>（</w:t>
      </w:r>
      <w:r>
        <w:rPr>
          <w:rFonts w:hint="eastAsia" w:ascii="Times New Roman" w:hAnsi="仿宋" w:eastAsia="仿宋"/>
          <w:sz w:val="32"/>
          <w:szCs w:val="32"/>
          <w:lang w:val="en-US" w:eastAsia="zh-CN"/>
        </w:rPr>
        <w:t>2</w:t>
      </w:r>
      <w:r>
        <w:rPr>
          <w:rFonts w:hint="eastAsia" w:ascii="Times New Roman" w:hAnsi="仿宋" w:eastAsia="仿宋"/>
          <w:sz w:val="32"/>
          <w:szCs w:val="32"/>
          <w:lang w:eastAsia="zh-CN"/>
        </w:rPr>
        <w:t>）</w:t>
      </w:r>
      <w:r>
        <w:rPr>
          <w:rFonts w:hint="eastAsia" w:ascii="Times New Roman" w:hAnsi="仿宋" w:eastAsia="仿宋"/>
          <w:sz w:val="32"/>
          <w:szCs w:val="32"/>
        </w:rPr>
        <w:t>与区人力资源和社会保障局的有关职责分工。区人力资源和社会保障局牵头，会同区教育局等部门拟订毕业生就业的规范性文件；区教育局负责毕业生离校前的就业指导和服务工作；区人力资源和社会保障局负责毕业生离校后的就业指导和服务工作。</w:t>
      </w:r>
    </w:p>
    <w:p w14:paraId="628B58AE">
      <w:pPr>
        <w:spacing w:line="580" w:lineRule="exact"/>
        <w:ind w:firstLine="643" w:firstLineChars="200"/>
        <w:rPr>
          <w:rFonts w:ascii="Times New Roman" w:hAnsi="Times New Roman" w:eastAsia="仿宋"/>
          <w:sz w:val="32"/>
          <w:szCs w:val="32"/>
        </w:rPr>
      </w:pPr>
      <w:r>
        <w:rPr>
          <w:rFonts w:ascii="Times New Roman" w:hAnsi="仿宋" w:eastAsia="仿宋"/>
          <w:b/>
          <w:bCs/>
          <w:sz w:val="32"/>
          <w:szCs w:val="32"/>
        </w:rPr>
        <w:t>（二）机构设置</w:t>
      </w:r>
      <w:r>
        <w:rPr>
          <w:rFonts w:ascii="Times New Roman" w:hAnsi="仿宋" w:eastAsia="仿宋"/>
          <w:sz w:val="32"/>
          <w:szCs w:val="32"/>
        </w:rPr>
        <w:t>。</w:t>
      </w:r>
      <w:r>
        <w:rPr>
          <w:rFonts w:hint="eastAsia" w:ascii="Times New Roman" w:hAnsi="仿宋" w:eastAsia="仿宋"/>
          <w:sz w:val="32"/>
          <w:szCs w:val="32"/>
        </w:rPr>
        <w:t>南岳区教育局是全额拨款的行政单位，根据编办核定，我局内设股室9个，分别是区委教育工作领导小组秘书组秘书股（信息化办公室）、办公室（政策法规股、文明办）、基础教育股（招生办） 、人事师训股（档案室、区语言文字工作委员会办公室）、计划财务审计股（勤工俭学站）、体育卫生与艺术教育股（综治办、校车管理办）、民办教育管理办公室（职成股、行政审批服务股）、 教育督导股、民办教育行业管理委员会。二级机构</w:t>
      </w:r>
      <w:r>
        <w:rPr>
          <w:rFonts w:hint="eastAsia" w:ascii="Times New Roman" w:hAnsi="仿宋" w:eastAsia="仿宋"/>
          <w:sz w:val="32"/>
          <w:szCs w:val="32"/>
          <w:lang w:val="en-US" w:eastAsia="zh-CN"/>
        </w:rPr>
        <w:t>5</w:t>
      </w:r>
      <w:r>
        <w:rPr>
          <w:rFonts w:hint="eastAsia" w:ascii="Times New Roman" w:hAnsi="仿宋" w:eastAsia="仿宋"/>
          <w:sz w:val="32"/>
          <w:szCs w:val="32"/>
        </w:rPr>
        <w:t>个，分别是教研室、学生资助管理中心、电教仪器站、青少年活动中心</w:t>
      </w:r>
      <w:r>
        <w:rPr>
          <w:rFonts w:hint="eastAsia" w:ascii="Times New Roman" w:hAnsi="仿宋" w:eastAsia="仿宋"/>
          <w:sz w:val="32"/>
          <w:szCs w:val="32"/>
          <w:lang w:eastAsia="zh-CN"/>
        </w:rPr>
        <w:t>和学前教育中心</w:t>
      </w:r>
      <w:r>
        <w:rPr>
          <w:rFonts w:hint="eastAsia" w:ascii="Times New Roman" w:hAnsi="仿宋" w:eastAsia="仿宋"/>
          <w:sz w:val="32"/>
          <w:szCs w:val="32"/>
        </w:rPr>
        <w:t>。核定行政编制4名。设局长1名，副局长2名，</w:t>
      </w:r>
      <w:r>
        <w:rPr>
          <w:rFonts w:hint="eastAsia" w:hAnsi="仿宋" w:eastAsia="仿宋"/>
          <w:sz w:val="32"/>
          <w:szCs w:val="32"/>
          <w:lang w:eastAsia="zh-CN"/>
        </w:rPr>
        <w:t>总</w:t>
      </w:r>
      <w:r>
        <w:rPr>
          <w:rFonts w:hint="eastAsia" w:ascii="Times New Roman" w:hAnsi="仿宋" w:eastAsia="仿宋"/>
          <w:sz w:val="32"/>
          <w:szCs w:val="32"/>
        </w:rPr>
        <w:t>督学（副科级）1名；</w:t>
      </w:r>
      <w:r>
        <w:rPr>
          <w:rFonts w:hint="eastAsia" w:ascii="Times New Roman" w:hAnsi="仿宋" w:eastAsia="仿宋"/>
          <w:sz w:val="32"/>
          <w:szCs w:val="32"/>
          <w:lang w:eastAsia="zh-CN"/>
        </w:rPr>
        <w:t>事业编制</w:t>
      </w:r>
      <w:r>
        <w:rPr>
          <w:rFonts w:hint="eastAsia" w:ascii="Times New Roman" w:hAnsi="仿宋" w:eastAsia="仿宋"/>
          <w:sz w:val="32"/>
          <w:szCs w:val="32"/>
          <w:lang w:val="en-US" w:eastAsia="zh-CN"/>
        </w:rPr>
        <w:t>2</w:t>
      </w:r>
      <w:r>
        <w:rPr>
          <w:rFonts w:hint="eastAsia" w:hAnsi="仿宋" w:eastAsia="仿宋"/>
          <w:sz w:val="32"/>
          <w:szCs w:val="32"/>
          <w:lang w:val="en-US" w:eastAsia="zh-CN"/>
        </w:rPr>
        <w:t>4</w:t>
      </w:r>
      <w:r>
        <w:rPr>
          <w:rFonts w:hint="eastAsia" w:ascii="Times New Roman" w:hAnsi="仿宋" w:eastAsia="仿宋"/>
          <w:sz w:val="32"/>
          <w:szCs w:val="32"/>
          <w:lang w:val="en-US" w:eastAsia="zh-CN"/>
        </w:rPr>
        <w:t>名，其中教研室</w:t>
      </w:r>
      <w:r>
        <w:rPr>
          <w:rFonts w:hint="eastAsia" w:hAnsi="仿宋" w:eastAsia="仿宋"/>
          <w:sz w:val="32"/>
          <w:szCs w:val="32"/>
          <w:lang w:val="en-US" w:eastAsia="zh-CN"/>
        </w:rPr>
        <w:t>10</w:t>
      </w:r>
      <w:r>
        <w:rPr>
          <w:rFonts w:hint="eastAsia" w:ascii="Times New Roman" w:hAnsi="仿宋" w:eastAsia="仿宋"/>
          <w:sz w:val="32"/>
          <w:szCs w:val="32"/>
          <w:lang w:val="en-US" w:eastAsia="zh-CN"/>
        </w:rPr>
        <w:t>名，资助中心4名、电教仪器站4名、青少年活动中心3名、学前教育中心3名</w:t>
      </w:r>
      <w:r>
        <w:rPr>
          <w:rFonts w:hint="eastAsia" w:ascii="Times New Roman" w:hAnsi="仿宋" w:eastAsia="仿宋"/>
          <w:sz w:val="32"/>
          <w:szCs w:val="32"/>
        </w:rPr>
        <w:t>。202</w:t>
      </w:r>
      <w:r>
        <w:rPr>
          <w:rFonts w:hint="eastAsia" w:hAnsi="仿宋" w:eastAsia="仿宋"/>
          <w:sz w:val="32"/>
          <w:szCs w:val="32"/>
          <w:lang w:val="en-US" w:eastAsia="zh-CN"/>
        </w:rPr>
        <w:t>2</w:t>
      </w:r>
      <w:r>
        <w:rPr>
          <w:rFonts w:hint="eastAsia" w:ascii="Times New Roman" w:hAnsi="仿宋" w:eastAsia="仿宋"/>
          <w:sz w:val="32"/>
          <w:szCs w:val="32"/>
        </w:rPr>
        <w:t>年末实际在岗在编人数</w:t>
      </w:r>
      <w:r>
        <w:rPr>
          <w:rFonts w:hint="eastAsia" w:hAnsi="仿宋" w:eastAsia="仿宋"/>
          <w:sz w:val="32"/>
          <w:szCs w:val="32"/>
          <w:lang w:val="en-US" w:eastAsia="zh-CN"/>
        </w:rPr>
        <w:t>23</w:t>
      </w:r>
      <w:r>
        <w:rPr>
          <w:rFonts w:hint="eastAsia" w:ascii="Times New Roman" w:hAnsi="仿宋" w:eastAsia="仿宋"/>
          <w:sz w:val="32"/>
          <w:szCs w:val="32"/>
        </w:rPr>
        <w:t>人，退休人员18人，实行事业单位会计制度。公车改革后无公务用车。</w:t>
      </w:r>
    </w:p>
    <w:p w14:paraId="16470A90">
      <w:pPr>
        <w:widowControl/>
        <w:numPr>
          <w:ilvl w:val="0"/>
          <w:numId w:val="1"/>
        </w:num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一般公共预算支出情况</w:t>
      </w:r>
    </w:p>
    <w:p w14:paraId="2B552AE8">
      <w:pPr>
        <w:widowControl/>
        <w:numPr>
          <w:ilvl w:val="0"/>
          <w:numId w:val="0"/>
        </w:numPr>
        <w:spacing w:line="600" w:lineRule="exact"/>
        <w:ind w:firstLine="643" w:firstLineChars="200"/>
        <w:rPr>
          <w:rFonts w:hint="eastAsia" w:ascii="楷体_GB2312" w:hAnsi="Times New Roman" w:eastAsia="楷体_GB2312" w:cs="Times New Roman"/>
          <w:b/>
          <w:sz w:val="32"/>
          <w:szCs w:val="32"/>
        </w:rPr>
      </w:pPr>
      <w:r>
        <w:rPr>
          <w:rFonts w:hint="eastAsia" w:ascii="楷体_GB2312" w:hAnsi="Times New Roman" w:eastAsia="楷体_GB2312" w:cs="Times New Roman"/>
          <w:b/>
          <w:sz w:val="32"/>
          <w:szCs w:val="32"/>
        </w:rPr>
        <w:t>（一）基本支出情况</w:t>
      </w:r>
    </w:p>
    <w:p w14:paraId="66026E7E">
      <w:pPr>
        <w:tabs>
          <w:tab w:val="left" w:pos="2296"/>
        </w:tabs>
        <w:spacing w:line="600" w:lineRule="exact"/>
        <w:ind w:firstLine="640" w:firstLineChars="200"/>
        <w:rPr>
          <w:rFonts w:eastAsia="仿宋_GB2312"/>
          <w:sz w:val="32"/>
          <w:szCs w:val="32"/>
        </w:rPr>
      </w:pPr>
      <w:r>
        <w:rPr>
          <w:rFonts w:eastAsia="仿宋_GB2312"/>
          <w:sz w:val="32"/>
          <w:szCs w:val="32"/>
        </w:rPr>
        <w:t>基本支出系保障我</w:t>
      </w:r>
      <w:r>
        <w:rPr>
          <w:rFonts w:hint="eastAsia" w:eastAsia="仿宋_GB2312"/>
          <w:sz w:val="32"/>
          <w:szCs w:val="32"/>
          <w:lang w:eastAsia="zh-CN"/>
        </w:rPr>
        <w:t>局</w:t>
      </w:r>
      <w:r>
        <w:rPr>
          <w:rFonts w:eastAsia="仿宋_GB2312"/>
          <w:sz w:val="32"/>
          <w:szCs w:val="32"/>
        </w:rPr>
        <w:t>机构正常运转、完成日常工作任务而发生的各项支出，包括用于在职和离退休人员基本工资、津贴补贴等人员经费以及办公费、印刷费、水电费、办公设备购置等日常公用经费。20</w:t>
      </w:r>
      <w:r>
        <w:rPr>
          <w:rFonts w:hint="eastAsia" w:eastAsia="仿宋_GB2312"/>
          <w:sz w:val="32"/>
          <w:szCs w:val="32"/>
          <w:lang w:val="en-US" w:eastAsia="zh-CN"/>
        </w:rPr>
        <w:t>22</w:t>
      </w:r>
      <w:r>
        <w:rPr>
          <w:rFonts w:eastAsia="仿宋_GB2312"/>
          <w:sz w:val="32"/>
          <w:szCs w:val="32"/>
        </w:rPr>
        <w:t>年基本支出</w:t>
      </w:r>
      <w:r>
        <w:rPr>
          <w:rFonts w:hint="eastAsia" w:eastAsia="仿宋_GB2312"/>
          <w:sz w:val="32"/>
          <w:szCs w:val="32"/>
          <w:lang w:eastAsia="zh-CN"/>
        </w:rPr>
        <w:t>567</w:t>
      </w:r>
      <w:r>
        <w:rPr>
          <w:rFonts w:hint="eastAsia" w:eastAsia="仿宋_GB2312"/>
          <w:sz w:val="32"/>
          <w:szCs w:val="32"/>
          <w:lang w:val="en-US" w:eastAsia="zh-CN"/>
        </w:rPr>
        <w:t>.70</w:t>
      </w:r>
      <w:r>
        <w:rPr>
          <w:rFonts w:eastAsia="仿宋_GB2312"/>
          <w:sz w:val="32"/>
          <w:szCs w:val="32"/>
        </w:rPr>
        <w:t>万元，较上年</w:t>
      </w:r>
      <w:r>
        <w:rPr>
          <w:rFonts w:hint="eastAsia" w:eastAsia="仿宋_GB2312"/>
          <w:sz w:val="32"/>
          <w:szCs w:val="32"/>
          <w:lang w:eastAsia="zh-CN"/>
        </w:rPr>
        <w:t>减少</w:t>
      </w:r>
      <w:r>
        <w:rPr>
          <w:rFonts w:hint="eastAsia" w:eastAsia="仿宋_GB2312"/>
          <w:sz w:val="32"/>
          <w:szCs w:val="32"/>
          <w:lang w:val="en-US" w:eastAsia="zh-CN"/>
        </w:rPr>
        <w:t>449.14</w:t>
      </w:r>
      <w:r>
        <w:rPr>
          <w:rFonts w:eastAsia="仿宋_GB2312"/>
          <w:sz w:val="32"/>
          <w:szCs w:val="32"/>
        </w:rPr>
        <w:t>万元。</w:t>
      </w:r>
      <w:r>
        <w:rPr>
          <w:rFonts w:eastAsia="仿宋_GB2312"/>
          <w:color w:val="000000"/>
          <w:sz w:val="32"/>
          <w:szCs w:val="32"/>
        </w:rPr>
        <w:t>基本支出中人员经费</w:t>
      </w:r>
      <w:r>
        <w:rPr>
          <w:rFonts w:hint="eastAsia" w:eastAsia="仿宋_GB2312"/>
          <w:color w:val="000000"/>
          <w:sz w:val="32"/>
          <w:szCs w:val="32"/>
          <w:lang w:val="en-US" w:eastAsia="zh-CN"/>
        </w:rPr>
        <w:t>493.67</w:t>
      </w:r>
      <w:r>
        <w:rPr>
          <w:rFonts w:eastAsia="仿宋_GB2312"/>
          <w:color w:val="000000"/>
          <w:sz w:val="32"/>
          <w:szCs w:val="32"/>
        </w:rPr>
        <w:t>万元，占基本支出的</w:t>
      </w:r>
      <w:r>
        <w:rPr>
          <w:rFonts w:hint="eastAsia" w:eastAsia="仿宋_GB2312"/>
          <w:color w:val="000000"/>
          <w:sz w:val="32"/>
          <w:szCs w:val="32"/>
          <w:lang w:val="en-US" w:eastAsia="zh-CN"/>
        </w:rPr>
        <w:t>86.96</w:t>
      </w:r>
      <w:r>
        <w:rPr>
          <w:rFonts w:eastAsia="仿宋_GB2312"/>
          <w:color w:val="000000"/>
          <w:sz w:val="32"/>
          <w:szCs w:val="32"/>
        </w:rPr>
        <w:t>%，</w:t>
      </w:r>
      <w:r>
        <w:rPr>
          <w:rFonts w:eastAsia="仿宋_GB2312"/>
          <w:sz w:val="32"/>
          <w:szCs w:val="32"/>
        </w:rPr>
        <w:t>较上年</w:t>
      </w:r>
      <w:r>
        <w:rPr>
          <w:rFonts w:hint="eastAsia" w:eastAsia="仿宋_GB2312"/>
          <w:sz w:val="32"/>
          <w:szCs w:val="32"/>
          <w:lang w:eastAsia="zh-CN"/>
        </w:rPr>
        <w:t>增加</w:t>
      </w:r>
      <w:r>
        <w:rPr>
          <w:rFonts w:hint="eastAsia" w:eastAsia="仿宋_GB2312"/>
          <w:sz w:val="32"/>
          <w:szCs w:val="32"/>
          <w:lang w:val="en-US" w:eastAsia="zh-CN"/>
        </w:rPr>
        <w:t>75.84</w:t>
      </w:r>
      <w:r>
        <w:rPr>
          <w:rFonts w:eastAsia="仿宋_GB2312"/>
          <w:sz w:val="32"/>
          <w:szCs w:val="32"/>
        </w:rPr>
        <w:t>万元</w:t>
      </w:r>
      <w:r>
        <w:rPr>
          <w:rFonts w:hint="eastAsia" w:eastAsia="仿宋_GB2312"/>
          <w:color w:val="000000"/>
          <w:sz w:val="32"/>
          <w:szCs w:val="32"/>
          <w:lang w:eastAsia="zh-CN"/>
        </w:rPr>
        <w:t>；</w:t>
      </w:r>
      <w:r>
        <w:rPr>
          <w:rFonts w:eastAsia="仿宋_GB2312"/>
          <w:color w:val="000000"/>
          <w:sz w:val="32"/>
          <w:szCs w:val="32"/>
        </w:rPr>
        <w:t>日常公用经费</w:t>
      </w:r>
      <w:r>
        <w:rPr>
          <w:rFonts w:hint="eastAsia" w:eastAsia="仿宋_GB2312"/>
          <w:color w:val="000000"/>
          <w:sz w:val="32"/>
          <w:szCs w:val="32"/>
          <w:lang w:val="en-US" w:eastAsia="zh-CN"/>
        </w:rPr>
        <w:t>74.02</w:t>
      </w:r>
      <w:r>
        <w:rPr>
          <w:rFonts w:eastAsia="仿宋_GB2312"/>
          <w:color w:val="000000"/>
          <w:sz w:val="32"/>
          <w:szCs w:val="32"/>
        </w:rPr>
        <w:t>万元，占基本支出的</w:t>
      </w:r>
      <w:r>
        <w:rPr>
          <w:rFonts w:hint="eastAsia" w:eastAsia="仿宋_GB2312"/>
          <w:color w:val="000000"/>
          <w:sz w:val="32"/>
          <w:szCs w:val="32"/>
          <w:lang w:val="en-US" w:eastAsia="zh-CN"/>
        </w:rPr>
        <w:t>13.04</w:t>
      </w:r>
      <w:r>
        <w:rPr>
          <w:rFonts w:eastAsia="仿宋_GB2312"/>
          <w:color w:val="000000"/>
          <w:sz w:val="32"/>
          <w:szCs w:val="32"/>
        </w:rPr>
        <w:t>%，较上年</w:t>
      </w:r>
      <w:r>
        <w:rPr>
          <w:rFonts w:hint="eastAsia" w:eastAsia="仿宋_GB2312"/>
          <w:color w:val="000000"/>
          <w:sz w:val="32"/>
          <w:szCs w:val="32"/>
          <w:lang w:eastAsia="zh-CN"/>
        </w:rPr>
        <w:t>下降</w:t>
      </w:r>
      <w:r>
        <w:rPr>
          <w:rFonts w:hint="eastAsia" w:eastAsia="仿宋_GB2312"/>
          <w:color w:val="000000"/>
          <w:sz w:val="32"/>
          <w:szCs w:val="32"/>
          <w:lang w:val="en-US" w:eastAsia="zh-CN"/>
        </w:rPr>
        <w:t>554.98万元</w:t>
      </w:r>
      <w:r>
        <w:rPr>
          <w:rFonts w:hint="eastAsia" w:eastAsia="仿宋_GB2312"/>
          <w:color w:val="000000"/>
          <w:sz w:val="32"/>
          <w:szCs w:val="32"/>
          <w:lang w:eastAsia="zh-CN"/>
        </w:rPr>
        <w:t>。主要原因是</w:t>
      </w:r>
      <w:r>
        <w:rPr>
          <w:rFonts w:hint="eastAsia" w:eastAsia="仿宋_GB2312"/>
          <w:color w:val="000000"/>
          <w:sz w:val="32"/>
          <w:szCs w:val="32"/>
          <w:lang w:val="en-US" w:eastAsia="zh-CN"/>
        </w:rPr>
        <w:t>受疫情影响和压减非重点、刚性支出要求，我单位厉行节约、严格把关，严控三公经费支出，大力压减公用经费支出。</w:t>
      </w:r>
    </w:p>
    <w:p w14:paraId="03C9DCA5">
      <w:pPr>
        <w:widowControl/>
        <w:spacing w:line="600" w:lineRule="exact"/>
        <w:ind w:firstLine="643" w:firstLineChars="20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（二）</w:t>
      </w:r>
      <w:r>
        <w:rPr>
          <w:rFonts w:ascii="楷体_GB2312" w:hAnsi="Times New Roman" w:eastAsia="楷体_GB2312" w:cs="Times New Roman"/>
          <w:b/>
          <w:sz w:val="32"/>
          <w:szCs w:val="32"/>
        </w:rPr>
        <w:t>项目支出情况</w:t>
      </w:r>
    </w:p>
    <w:p w14:paraId="6BB59540">
      <w:pPr>
        <w:tabs>
          <w:tab w:val="left" w:pos="2296"/>
        </w:tabs>
        <w:spacing w:line="600" w:lineRule="exact"/>
        <w:ind w:firstLine="640" w:firstLineChars="200"/>
        <w:rPr>
          <w:rFonts w:ascii="Times New Roman" w:hAnsi="Times New Roman" w:eastAsia="仿宋_GB2312" w:cs="Times New Roman"/>
          <w:sz w:val="32"/>
          <w:szCs w:val="32"/>
        </w:rPr>
      </w:pPr>
      <w:r>
        <w:rPr>
          <w:rFonts w:eastAsia="仿宋_GB2312"/>
          <w:sz w:val="32"/>
          <w:szCs w:val="32"/>
        </w:rPr>
        <w:t>项目支出</w:t>
      </w:r>
      <w:r>
        <w:rPr>
          <w:rFonts w:hint="eastAsia" w:eastAsia="仿宋_GB2312"/>
          <w:sz w:val="32"/>
          <w:szCs w:val="32"/>
          <w:lang w:eastAsia="zh-CN"/>
        </w:rPr>
        <w:t>系</w:t>
      </w:r>
      <w:r>
        <w:rPr>
          <w:rFonts w:eastAsia="仿宋_GB2312"/>
          <w:sz w:val="32"/>
          <w:szCs w:val="32"/>
        </w:rPr>
        <w:t>为完成</w:t>
      </w:r>
      <w:r>
        <w:rPr>
          <w:rFonts w:hint="eastAsia" w:eastAsia="仿宋_GB2312"/>
          <w:sz w:val="32"/>
          <w:szCs w:val="32"/>
          <w:lang w:eastAsia="zh-CN"/>
        </w:rPr>
        <w:t>我区教育教学、学位建设、新建学校、维修采购等</w:t>
      </w:r>
      <w:r>
        <w:rPr>
          <w:rFonts w:eastAsia="仿宋_GB2312"/>
          <w:sz w:val="32"/>
          <w:szCs w:val="32"/>
        </w:rPr>
        <w:t>工作而发生的支出，主要用于</w:t>
      </w:r>
      <w:r>
        <w:rPr>
          <w:rFonts w:hint="eastAsia" w:eastAsia="仿宋_GB2312"/>
          <w:sz w:val="32"/>
          <w:szCs w:val="32"/>
          <w:lang w:eastAsia="zh-CN"/>
        </w:rPr>
        <w:t>重点项目建设、设施设备采购、全省规范民办义务教育发展、区二中与市成章合作办学、教师招聘</w:t>
      </w:r>
      <w:r>
        <w:rPr>
          <w:rFonts w:eastAsia="仿宋_GB2312"/>
          <w:sz w:val="32"/>
          <w:szCs w:val="32"/>
        </w:rPr>
        <w:t>等方面。20</w:t>
      </w:r>
      <w:r>
        <w:rPr>
          <w:rFonts w:hint="eastAsia" w:eastAsia="仿宋_GB2312"/>
          <w:sz w:val="32"/>
          <w:szCs w:val="32"/>
          <w:lang w:val="en-US" w:eastAsia="zh-CN"/>
        </w:rPr>
        <w:t>22</w:t>
      </w:r>
      <w:r>
        <w:rPr>
          <w:rFonts w:eastAsia="仿宋_GB2312"/>
          <w:sz w:val="32"/>
          <w:szCs w:val="32"/>
        </w:rPr>
        <w:t>年项目支出</w:t>
      </w:r>
      <w:r>
        <w:rPr>
          <w:rFonts w:hint="eastAsia" w:eastAsia="仿宋_GB2312"/>
          <w:sz w:val="32"/>
          <w:szCs w:val="32"/>
          <w:lang w:eastAsia="zh-CN"/>
        </w:rPr>
        <w:t>5626</w:t>
      </w:r>
      <w:r>
        <w:rPr>
          <w:rFonts w:hint="eastAsia" w:eastAsia="仿宋_GB2312"/>
          <w:sz w:val="32"/>
          <w:szCs w:val="32"/>
          <w:lang w:val="en-US" w:eastAsia="zh-CN"/>
        </w:rPr>
        <w:t>.</w:t>
      </w:r>
      <w:r>
        <w:rPr>
          <w:rFonts w:hint="eastAsia" w:eastAsia="仿宋_GB2312"/>
          <w:sz w:val="32"/>
          <w:szCs w:val="32"/>
          <w:lang w:eastAsia="zh-CN"/>
        </w:rPr>
        <w:t>10</w:t>
      </w:r>
      <w:r>
        <w:rPr>
          <w:rFonts w:eastAsia="仿宋_GB2312"/>
          <w:sz w:val="32"/>
          <w:szCs w:val="32"/>
        </w:rPr>
        <w:t>万元，比上年</w:t>
      </w:r>
      <w:r>
        <w:rPr>
          <w:rFonts w:hint="eastAsia" w:eastAsia="仿宋_GB2312"/>
          <w:sz w:val="32"/>
          <w:szCs w:val="32"/>
          <w:lang w:eastAsia="zh-CN"/>
        </w:rPr>
        <w:t>增加</w:t>
      </w:r>
      <w:r>
        <w:rPr>
          <w:rFonts w:hint="eastAsia" w:eastAsia="仿宋_GB2312"/>
          <w:sz w:val="32"/>
          <w:szCs w:val="32"/>
          <w:lang w:val="en-US" w:eastAsia="zh-CN"/>
        </w:rPr>
        <w:t>1564.93</w:t>
      </w:r>
      <w:r>
        <w:rPr>
          <w:rFonts w:eastAsia="仿宋_GB2312"/>
          <w:sz w:val="32"/>
          <w:szCs w:val="32"/>
        </w:rPr>
        <w:t>万元，主要是</w:t>
      </w:r>
      <w:r>
        <w:rPr>
          <w:rFonts w:hint="eastAsia" w:eastAsia="仿宋_GB2312"/>
          <w:sz w:val="32"/>
          <w:szCs w:val="32"/>
          <w:lang w:eastAsia="zh-CN"/>
        </w:rPr>
        <w:t>基建专户拨款、购买学位经费、合作办学经费、教师招聘经费和对学校拨款等增加</w:t>
      </w:r>
      <w:r>
        <w:rPr>
          <w:rFonts w:hint="eastAsia" w:eastAsia="仿宋_GB2312"/>
          <w:sz w:val="32"/>
          <w:szCs w:val="32"/>
          <w:lang w:val="en-US" w:eastAsia="zh-CN"/>
        </w:rPr>
        <w:t>。</w:t>
      </w:r>
    </w:p>
    <w:p w14:paraId="1BAB5B2D">
      <w:pPr>
        <w:widowControl/>
        <w:numPr>
          <w:ilvl w:val="0"/>
          <w:numId w:val="1"/>
        </w:numPr>
        <w:spacing w:line="600" w:lineRule="exact"/>
        <w:ind w:left="0" w:leftChars="0"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部门整体支出绩效情况</w:t>
      </w:r>
    </w:p>
    <w:p w14:paraId="27AAB95A">
      <w:p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我局从预算编制、预算配置、预算执行和管理等方面对2022年部门整体支出绩效开展了评价，具体情况如下：</w:t>
      </w:r>
    </w:p>
    <w:p w14:paraId="0190709D">
      <w:pPr>
        <w:spacing w:line="600" w:lineRule="exact"/>
        <w:ind w:firstLine="643"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（一）预算配置指标。</w:t>
      </w:r>
      <w:r>
        <w:rPr>
          <w:rFonts w:hint="eastAsia" w:ascii="Times New Roman" w:hAnsi="Times New Roman" w:eastAsia="仿宋_GB2312" w:cs="Times New Roman"/>
          <w:sz w:val="32"/>
          <w:szCs w:val="32"/>
          <w:lang w:val="en-US" w:eastAsia="zh-CN"/>
        </w:rPr>
        <w:t>编制数28人，年末在岗在编人员23人。“三公”经费本年预算18万元，实际支出0.08万元，严格按预算执行并缩减“三公”经费比例。</w:t>
      </w:r>
    </w:p>
    <w:p w14:paraId="619329B6">
      <w:pPr>
        <w:spacing w:line="600" w:lineRule="exact"/>
        <w:ind w:firstLine="643"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（二）预算执行指标。</w:t>
      </w:r>
      <w:r>
        <w:rPr>
          <w:rFonts w:hint="eastAsia" w:ascii="Times New Roman" w:hAnsi="Times New Roman" w:eastAsia="仿宋_GB2312" w:cs="Times New Roman"/>
          <w:sz w:val="32"/>
          <w:szCs w:val="32"/>
          <w:lang w:val="en-US" w:eastAsia="zh-CN"/>
        </w:rPr>
        <w:t>2022年年初预算数679.87万元，其中：经费拨款672.87万元，上级单位补助收入7万元。较上年预算收入减少462.57万元。实际支出数6193.80万元，主要是万福小学改扩建、南城区幼儿园新建、文定中学购买学位、区二中与市成章合作办学投入增加，以及财政拨付转移支付资金增加。</w:t>
      </w:r>
    </w:p>
    <w:p w14:paraId="716953FF">
      <w:pPr>
        <w:spacing w:line="600" w:lineRule="exact"/>
        <w:ind w:firstLine="643"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（三）预算管理指标。</w:t>
      </w:r>
      <w:r>
        <w:rPr>
          <w:rFonts w:hint="eastAsia" w:ascii="Times New Roman" w:hAnsi="Times New Roman" w:eastAsia="仿宋_GB2312" w:cs="Times New Roman"/>
          <w:sz w:val="32"/>
          <w:szCs w:val="32"/>
          <w:lang w:val="en-US" w:eastAsia="zh-CN"/>
        </w:rPr>
        <w:t>2022年我局预算管理各项指标控制较好，减少的主要原因是厉行节约。主要从以下几个方面加强预算管理。</w:t>
      </w:r>
    </w:p>
    <w:p w14:paraId="2E24DD36">
      <w:pPr>
        <w:spacing w:line="600" w:lineRule="exact"/>
        <w:ind w:firstLine="643"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一是进一步规范财务管理。</w:t>
      </w:r>
      <w:r>
        <w:rPr>
          <w:rFonts w:hint="eastAsia" w:ascii="Times New Roman" w:hAnsi="Times New Roman" w:eastAsia="仿宋_GB2312" w:cs="Times New Roman"/>
          <w:sz w:val="32"/>
          <w:szCs w:val="32"/>
          <w:lang w:val="en-US" w:eastAsia="zh-CN"/>
        </w:rPr>
        <w:t>今年，根据</w:t>
      </w:r>
      <w:r>
        <w:rPr>
          <w:rFonts w:hint="eastAsia" w:eastAsia="仿宋_GB2312" w:cs="Times New Roman"/>
          <w:sz w:val="32"/>
          <w:szCs w:val="32"/>
          <w:lang w:val="en-US" w:eastAsia="zh-CN"/>
        </w:rPr>
        <w:t>中央八项规定精神</w:t>
      </w:r>
      <w:r>
        <w:rPr>
          <w:rFonts w:hint="eastAsia" w:ascii="Times New Roman" w:hAnsi="Times New Roman" w:eastAsia="仿宋_GB2312" w:cs="Times New Roman"/>
          <w:sz w:val="32"/>
          <w:szCs w:val="32"/>
          <w:lang w:val="en-US" w:eastAsia="zh-CN"/>
        </w:rPr>
        <w:t>以及财务管理方面的法律、法规和审计等部门的意见，我局对机关财务管理制度和内部控制制度进一步进行了完善。1万元以上的支出要经局党组会议研究，遵守政府采购情况和基建评审情况，同时在财务开支把关方面认真执行相关文件并严格财务开支审批程序，加强对差旅费、会议费、接待费等各项开支的管理。重点保障机关运转及重点工作的需要，大力压缩一般性支出，提高财政资金使用效益。</w:t>
      </w:r>
    </w:p>
    <w:p w14:paraId="6B12EB29">
      <w:pPr>
        <w:spacing w:line="600" w:lineRule="exact"/>
        <w:ind w:firstLine="643"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二是依法依规公开部门预决算。</w:t>
      </w:r>
      <w:r>
        <w:rPr>
          <w:rFonts w:hint="eastAsia" w:ascii="Times New Roman" w:hAnsi="Times New Roman" w:eastAsia="仿宋_GB2312" w:cs="Times New Roman"/>
          <w:sz w:val="32"/>
          <w:szCs w:val="32"/>
          <w:lang w:val="en-US" w:eastAsia="zh-CN"/>
        </w:rPr>
        <w:t>根据全市部门预决算公开工作统一安排部署，按规定公开了部门预算和部门决算，以及“三公”经费预决算，社会反响良好，圆满完成了“三公”经费预决算公开工作。</w:t>
      </w:r>
    </w:p>
    <w:p w14:paraId="5096105C">
      <w:pPr>
        <w:spacing w:line="600" w:lineRule="exact"/>
        <w:ind w:firstLine="643"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三是进一步加强固定资产管理。</w:t>
      </w:r>
      <w:r>
        <w:rPr>
          <w:rFonts w:hint="eastAsia" w:ascii="Times New Roman" w:hAnsi="Times New Roman" w:eastAsia="仿宋_GB2312" w:cs="Times New Roman"/>
          <w:sz w:val="32"/>
          <w:szCs w:val="32"/>
          <w:lang w:val="en-US" w:eastAsia="zh-CN"/>
        </w:rPr>
        <w:t>按照全市资产清查工作的统一部署，我局对全局资产清查工作进行全盘安排部署，对所属资产进行了较为全面的清查，并进一步规范了资产报废审批程序，加强国有自查管理。</w:t>
      </w:r>
    </w:p>
    <w:p w14:paraId="25C5F7B7">
      <w:pPr>
        <w:spacing w:line="600" w:lineRule="exact"/>
        <w:ind w:firstLine="643"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四是严格执行政府采购程序。</w:t>
      </w:r>
      <w:r>
        <w:rPr>
          <w:rFonts w:hint="eastAsia" w:ascii="Times New Roman" w:hAnsi="Times New Roman" w:eastAsia="仿宋_GB2312" w:cs="Times New Roman"/>
          <w:sz w:val="32"/>
          <w:szCs w:val="32"/>
          <w:lang w:val="en-US" w:eastAsia="zh-CN"/>
        </w:rPr>
        <w:t>我局根据财政经费安排和单位工作计划充分预计政府采购计划。每年3月份编制当年4-9月政府采购计划，9月份编制当年10月到第二年3月份的政府采购计划交采购办。本年单项5000元或批量在20000元以上的货物及服务，经报采购办及相关部门领导审批，批复后严格按照采购计划项目编制采购文件组织进行采购。采购金额达到30万以上的项目委托代理机构组织招标采购。30万以下项目按非招标采购方式进行采购，采取从财政部门建立的供应商库中随机抽取或者采购人和评审专家分别书面推荐的方式确定符合相应资格条件的供应商名单，并最终确定不少于3家的供应商参加谈判或者询价采购（采购人推荐供应商的比例不得高于推荐供应商总数的50%，推荐的供应商要有满足采购需求,而不是远高于采购需求的商品)。</w:t>
      </w:r>
    </w:p>
    <w:p w14:paraId="476C78B3">
      <w:pPr>
        <w:widowControl/>
        <w:spacing w:line="600"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四</w:t>
      </w:r>
      <w:r>
        <w:rPr>
          <w:rFonts w:hint="eastAsia" w:ascii="Times New Roman" w:hAnsi="Times New Roman" w:eastAsia="黑体" w:cs="Times New Roman"/>
          <w:sz w:val="32"/>
          <w:szCs w:val="32"/>
        </w:rPr>
        <w:t>、</w:t>
      </w:r>
      <w:r>
        <w:rPr>
          <w:rFonts w:ascii="Times New Roman" w:hAnsi="Times New Roman" w:eastAsia="黑体" w:cs="Times New Roman"/>
          <w:sz w:val="32"/>
          <w:szCs w:val="32"/>
        </w:rPr>
        <w:t>存在的问题及原因分析</w:t>
      </w:r>
    </w:p>
    <w:p w14:paraId="21D2A25D">
      <w:pPr>
        <w:spacing w:line="600" w:lineRule="exact"/>
        <w:ind w:firstLine="640" w:firstLineChars="200"/>
        <w:rPr>
          <w:rFonts w:eastAsia="仿宋_GB2312"/>
          <w:sz w:val="32"/>
          <w:szCs w:val="32"/>
        </w:rPr>
      </w:pPr>
      <w:r>
        <w:rPr>
          <w:rFonts w:hint="eastAsia" w:eastAsia="仿宋_GB2312"/>
          <w:sz w:val="32"/>
          <w:szCs w:val="32"/>
        </w:rPr>
        <w:t>从预算收支情况看，年初预算和部门决算仍存在偏差，在预算</w:t>
      </w:r>
      <w:r>
        <w:rPr>
          <w:rFonts w:hint="eastAsia" w:ascii="Times New Roman" w:hAnsi="Times New Roman" w:eastAsia="仿宋_GB2312" w:cs="Times New Roman"/>
          <w:sz w:val="32"/>
          <w:szCs w:val="32"/>
          <w:lang w:val="en-US" w:eastAsia="zh-CN"/>
        </w:rPr>
        <w:t>执行</w:t>
      </w:r>
      <w:r>
        <w:rPr>
          <w:rFonts w:hint="eastAsia" w:eastAsia="仿宋_GB2312"/>
          <w:sz w:val="32"/>
          <w:szCs w:val="32"/>
        </w:rPr>
        <w:t>过程中，由于各种客观原因存在指标之间调剂使用的现象，预算编制、使用需要更加科学、及时。同时，内部控制制度还待进一步完善，行政运行成本控制方面还有一定压缩空间，提高机关运行效率方面也尚有上升空间。</w:t>
      </w:r>
      <w:r>
        <w:rPr>
          <w:rFonts w:eastAsia="仿宋_GB2312"/>
          <w:sz w:val="32"/>
          <w:szCs w:val="32"/>
        </w:rPr>
        <w:t>通过前述对我</w:t>
      </w:r>
      <w:r>
        <w:rPr>
          <w:rFonts w:hint="eastAsia" w:eastAsia="仿宋_GB2312"/>
          <w:sz w:val="32"/>
          <w:szCs w:val="32"/>
          <w:lang w:eastAsia="zh-CN"/>
        </w:rPr>
        <w:t>局</w:t>
      </w:r>
      <w:r>
        <w:rPr>
          <w:rFonts w:eastAsia="仿宋_GB2312"/>
          <w:sz w:val="32"/>
          <w:szCs w:val="32"/>
        </w:rPr>
        <w:t>整体支出情况的分析，反映出目前整体支出主要在预算执行方面还存在一些问题和不足：</w:t>
      </w:r>
    </w:p>
    <w:p w14:paraId="6B3350CE">
      <w:pPr>
        <w:spacing w:line="600" w:lineRule="exact"/>
        <w:ind w:firstLine="643" w:firstLineChars="200"/>
        <w:rPr>
          <w:rFonts w:hint="eastAsia" w:ascii="Calibri" w:hAnsi="Calibri" w:eastAsia="楷体_GB2312" w:cs="Times New Roman"/>
          <w:b/>
          <w:sz w:val="32"/>
          <w:szCs w:val="32"/>
          <w:lang w:eastAsia="zh-CN"/>
        </w:rPr>
      </w:pPr>
      <w:r>
        <w:rPr>
          <w:rFonts w:hint="eastAsia" w:ascii="Calibri" w:hAnsi="Calibri" w:eastAsia="楷体_GB2312" w:cs="Times New Roman"/>
          <w:b/>
          <w:sz w:val="32"/>
          <w:szCs w:val="32"/>
          <w:lang w:eastAsia="zh-CN"/>
        </w:rPr>
        <w:t>（一）部分项目完成度有待提升。</w:t>
      </w:r>
    </w:p>
    <w:p w14:paraId="2DC6407D">
      <w:pPr>
        <w:spacing w:line="600" w:lineRule="exact"/>
        <w:ind w:firstLine="640" w:firstLineChars="200"/>
        <w:rPr>
          <w:rFonts w:hint="eastAsia" w:eastAsia="仿宋_GB2312"/>
          <w:sz w:val="32"/>
          <w:szCs w:val="32"/>
          <w:lang w:eastAsia="zh-CN"/>
        </w:rPr>
      </w:pPr>
      <w:r>
        <w:rPr>
          <w:rFonts w:hint="eastAsia" w:eastAsia="仿宋_GB2312"/>
          <w:sz w:val="32"/>
          <w:szCs w:val="32"/>
          <w:lang w:eastAsia="zh-CN"/>
        </w:rPr>
        <w:t>由于疫情冲击影响的客观因素，以及牢固树立过紧日子思想，主动压缩非重点、刚性支出的主观因素，导致部分预算项目如培训费预算执行情况不理想，其中培训费实际支付进度为</w:t>
      </w:r>
      <w:r>
        <w:rPr>
          <w:rFonts w:hint="eastAsia" w:eastAsia="仿宋_GB2312"/>
          <w:sz w:val="32"/>
          <w:szCs w:val="32"/>
          <w:lang w:val="en-US" w:eastAsia="zh-CN"/>
        </w:rPr>
        <w:t>21.44% 。</w:t>
      </w:r>
      <w:r>
        <w:rPr>
          <w:rFonts w:hint="eastAsia" w:eastAsia="仿宋_GB2312"/>
          <w:sz w:val="32"/>
          <w:szCs w:val="32"/>
        </w:rPr>
        <w:t>我们将在</w:t>
      </w:r>
      <w:r>
        <w:rPr>
          <w:rFonts w:eastAsia="仿宋_GB2312"/>
          <w:sz w:val="32"/>
          <w:szCs w:val="32"/>
        </w:rPr>
        <w:t>下年加以重视，</w:t>
      </w:r>
      <w:r>
        <w:rPr>
          <w:rFonts w:hint="eastAsia" w:eastAsia="仿宋_GB2312"/>
          <w:sz w:val="32"/>
          <w:szCs w:val="32"/>
        </w:rPr>
        <w:t>提前谋划，</w:t>
      </w:r>
      <w:r>
        <w:rPr>
          <w:rFonts w:hint="eastAsia" w:eastAsia="仿宋_GB2312"/>
          <w:sz w:val="32"/>
          <w:szCs w:val="32"/>
          <w:lang w:eastAsia="zh-CN"/>
        </w:rPr>
        <w:t>科学编制项目预算，进一步提高预算编制的精确性。</w:t>
      </w:r>
      <w:r>
        <w:rPr>
          <w:rFonts w:hint="eastAsia" w:eastAsia="仿宋_GB2312"/>
          <w:sz w:val="32"/>
          <w:szCs w:val="32"/>
          <w:lang w:val="en-US" w:eastAsia="zh-CN"/>
        </w:rPr>
        <w:t xml:space="preserve">    </w:t>
      </w:r>
    </w:p>
    <w:p w14:paraId="4484D8AF">
      <w:pPr>
        <w:spacing w:line="600" w:lineRule="exact"/>
        <w:ind w:firstLine="643" w:firstLineChars="200"/>
        <w:rPr>
          <w:rFonts w:hint="eastAsia" w:ascii="Calibri" w:hAnsi="Calibri" w:eastAsia="楷体_GB2312" w:cs="Times New Roman"/>
          <w:b/>
          <w:sz w:val="32"/>
          <w:szCs w:val="32"/>
          <w:lang w:eastAsia="zh-CN"/>
        </w:rPr>
      </w:pPr>
      <w:r>
        <w:rPr>
          <w:rFonts w:hint="eastAsia" w:ascii="Calibri" w:hAnsi="Calibri" w:eastAsia="楷体_GB2312" w:cs="Times New Roman"/>
          <w:b/>
          <w:sz w:val="32"/>
          <w:szCs w:val="32"/>
          <w:lang w:eastAsia="zh-CN"/>
        </w:rPr>
        <w:t>（二）部分项目实施与预算执行存在脱节。</w:t>
      </w:r>
    </w:p>
    <w:p w14:paraId="55A5F1DC">
      <w:pPr>
        <w:numPr>
          <w:ilvl w:val="0"/>
          <w:numId w:val="0"/>
        </w:numPr>
        <w:spacing w:line="600" w:lineRule="exact"/>
        <w:ind w:firstLine="640" w:firstLineChars="200"/>
        <w:rPr>
          <w:rFonts w:hint="eastAsia" w:eastAsia="仿宋_GB2312"/>
          <w:sz w:val="32"/>
          <w:szCs w:val="32"/>
          <w:lang w:eastAsia="zh-CN"/>
        </w:rPr>
      </w:pPr>
      <w:r>
        <w:rPr>
          <w:rFonts w:hint="eastAsia" w:eastAsia="仿宋_GB2312"/>
          <w:sz w:val="32"/>
          <w:szCs w:val="32"/>
          <w:lang w:eastAsia="zh-CN"/>
        </w:rPr>
        <w:t>受疫情影响，部分项目启动较晚，实施周期相对较长，导致项目验收晚，预算执行进度偏慢，相对比较集中。</w:t>
      </w:r>
      <w:r>
        <w:rPr>
          <w:rFonts w:hint="eastAsia" w:eastAsia="仿宋_GB2312"/>
          <w:sz w:val="32"/>
          <w:szCs w:val="32"/>
          <w:lang w:val="en-US" w:eastAsia="zh-CN"/>
        </w:rPr>
        <w:t>我们将在下年予以重视，督促项目实施单位早启动、早实施、早验收，对符合条件的项目按照项目进度支付相关款项。</w:t>
      </w:r>
    </w:p>
    <w:p w14:paraId="62D4B8CC">
      <w:pPr>
        <w:widowControl/>
        <w:numPr>
          <w:ilvl w:val="0"/>
          <w:numId w:val="2"/>
        </w:numPr>
        <w:spacing w:line="60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下一步改进措施</w:t>
      </w:r>
    </w:p>
    <w:p w14:paraId="09967918">
      <w:pPr>
        <w:spacing w:line="600" w:lineRule="exact"/>
        <w:ind w:firstLine="640" w:firstLineChars="200"/>
        <w:rPr>
          <w:rFonts w:eastAsia="仿宋_GB2312"/>
          <w:sz w:val="32"/>
          <w:szCs w:val="32"/>
        </w:rPr>
      </w:pPr>
      <w:r>
        <w:rPr>
          <w:rFonts w:eastAsia="仿宋_GB2312"/>
          <w:sz w:val="32"/>
          <w:szCs w:val="32"/>
        </w:rPr>
        <w:t>针对上述存在的问题，拟采取以下改进措施：</w:t>
      </w:r>
    </w:p>
    <w:p w14:paraId="69CA6052">
      <w:pPr>
        <w:widowControl/>
        <w:numPr>
          <w:ilvl w:val="0"/>
          <w:numId w:val="0"/>
        </w:numPr>
        <w:spacing w:line="600" w:lineRule="exact"/>
        <w:ind w:firstLine="640" w:firstLineChars="20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一）细化预算编制工作。进一步强化局机关各股室的预算管理意识，严格按照预算编制的相关制度和要求，公用经费根据单位的年度工作重点和项目专项工作规划，本着“勤俭节约、保障运转”的原则进行预算的编制。编制范围尽可能的全面、完整，进一步提高预算编制的科学性、合理性、严谨性和可控性，尽最大可能减少预决算执行差异。</w:t>
      </w:r>
    </w:p>
    <w:p w14:paraId="6CF370FB">
      <w:pPr>
        <w:widowControl/>
        <w:numPr>
          <w:ilvl w:val="0"/>
          <w:numId w:val="0"/>
        </w:numPr>
        <w:spacing w:line="600" w:lineRule="exact"/>
        <w:ind w:firstLine="640" w:firstLineChars="20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二）加强预算编制的前瞻性。按照新《预算法》及其实施条例的相关规定，按政策规定及本部门的发展规划，结合上一年度预算执行情况和本年度预算收支变化因素，科学、合理地编制本年预算草案，尽可能避免项目支出与基本支出划分不准或预算支出与实际执行出现较大偏差的情况，执行中确有需要调剂的，按规定程序报经批准。</w:t>
      </w:r>
    </w:p>
    <w:p w14:paraId="0565E7C7">
      <w:pPr>
        <w:widowControl/>
        <w:numPr>
          <w:ilvl w:val="0"/>
          <w:numId w:val="0"/>
        </w:numPr>
        <w:spacing w:line="600" w:lineRule="exact"/>
        <w:ind w:firstLine="640" w:firstLineChars="200"/>
        <w:jc w:val="left"/>
        <w:rPr>
          <w:rFonts w:hint="default" w:ascii="宋体" w:hAnsi="宋体" w:eastAsia="宋体" w:cs="宋体"/>
          <w:sz w:val="30"/>
          <w:szCs w:val="30"/>
          <w:lang w:val="en-US" w:eastAsia="zh-CN"/>
        </w:rPr>
      </w:pPr>
      <w:r>
        <w:rPr>
          <w:rFonts w:hint="eastAsia" w:ascii="仿宋_GB2312" w:hAnsi="仿宋_GB2312" w:eastAsia="仿宋_GB2312" w:cs="仿宋_GB2312"/>
          <w:b w:val="0"/>
          <w:bCs/>
          <w:sz w:val="32"/>
          <w:szCs w:val="32"/>
          <w:lang w:val="en-US" w:eastAsia="zh-CN"/>
        </w:rPr>
        <w:t>（三）强化绩效管理意识。进一步强化绩效历年，将绩效管理理念贯穿于资金分配到资金使用全过程，加大资金整合力度，强化专项资金管理，把有限的资金用在刀刃上，提高资金使用效益。同时，抓好内控制度建设，进一步降低行政成本，确保资金安全，进一步推进廉洁高效建设。</w:t>
      </w:r>
    </w:p>
    <w:p w14:paraId="7B64FD30"/>
    <w:p w14:paraId="25747585"/>
    <w:p w14:paraId="227417FD">
      <w:pPr>
        <w:widowControl/>
        <w:numPr>
          <w:ilvl w:val="0"/>
          <w:numId w:val="0"/>
        </w:numPr>
        <w:spacing w:line="600" w:lineRule="exact"/>
        <w:ind w:firstLine="640" w:firstLineChars="200"/>
        <w:jc w:val="right"/>
        <w:rPr>
          <w:rFonts w:hint="eastAsia" w:ascii="仿宋_GB2312" w:hAnsi="仿宋_GB2312" w:eastAsia="仿宋_GB2312" w:cs="仿宋_GB2312"/>
          <w:b w:val="0"/>
          <w:bCs/>
          <w:sz w:val="32"/>
          <w:szCs w:val="32"/>
          <w:lang w:val="en-US" w:eastAsia="zh-CN"/>
        </w:rPr>
      </w:pPr>
    </w:p>
    <w:p w14:paraId="21A91979">
      <w:pPr>
        <w:widowControl/>
        <w:numPr>
          <w:ilvl w:val="0"/>
          <w:numId w:val="0"/>
        </w:numPr>
        <w:spacing w:line="600" w:lineRule="exact"/>
        <w:ind w:firstLine="640" w:firstLineChars="200"/>
        <w:jc w:val="center"/>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南岳区教育局</w:t>
      </w:r>
    </w:p>
    <w:p w14:paraId="73080842">
      <w:pPr>
        <w:widowControl/>
        <w:numPr>
          <w:ilvl w:val="0"/>
          <w:numId w:val="0"/>
        </w:numPr>
        <w:spacing w:line="600" w:lineRule="exact"/>
        <w:ind w:firstLine="640" w:firstLineChars="200"/>
        <w:jc w:val="right"/>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2023年1月31日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7FFAEFF" w:usb1="F9DFFFFF" w:usb2="0000007F" w:usb3="00000000" w:csb0="203F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39CCF1"/>
    <w:multiLevelType w:val="singleLevel"/>
    <w:tmpl w:val="F639CCF1"/>
    <w:lvl w:ilvl="0" w:tentative="0">
      <w:start w:val="2"/>
      <w:numFmt w:val="chineseCounting"/>
      <w:suff w:val="nothing"/>
      <w:lvlText w:val="%1、"/>
      <w:lvlJc w:val="left"/>
      <w:rPr>
        <w:rFonts w:hint="eastAsia"/>
      </w:rPr>
    </w:lvl>
  </w:abstractNum>
  <w:abstractNum w:abstractNumId="1">
    <w:nsid w:val="692A871F"/>
    <w:multiLevelType w:val="singleLevel"/>
    <w:tmpl w:val="692A871F"/>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1YjhmZjcyNGFkNzNiZjMwNTJmZmU5MDlmNWJhOGQifQ=="/>
  </w:docVars>
  <w:rsids>
    <w:rsidRoot w:val="00031314"/>
    <w:rsid w:val="00031314"/>
    <w:rsid w:val="00126783"/>
    <w:rsid w:val="00131A2D"/>
    <w:rsid w:val="00145B0A"/>
    <w:rsid w:val="0017614A"/>
    <w:rsid w:val="001F576F"/>
    <w:rsid w:val="002868EA"/>
    <w:rsid w:val="002D7E6E"/>
    <w:rsid w:val="002F2A97"/>
    <w:rsid w:val="003728FC"/>
    <w:rsid w:val="0038671E"/>
    <w:rsid w:val="004D4099"/>
    <w:rsid w:val="00505982"/>
    <w:rsid w:val="00534C20"/>
    <w:rsid w:val="00545F65"/>
    <w:rsid w:val="00567649"/>
    <w:rsid w:val="005A3570"/>
    <w:rsid w:val="005A76BE"/>
    <w:rsid w:val="006307F3"/>
    <w:rsid w:val="006758B5"/>
    <w:rsid w:val="007A29F1"/>
    <w:rsid w:val="007E46AD"/>
    <w:rsid w:val="00803B98"/>
    <w:rsid w:val="009A6274"/>
    <w:rsid w:val="009C6B8E"/>
    <w:rsid w:val="00AE2F1D"/>
    <w:rsid w:val="00BE3305"/>
    <w:rsid w:val="00C56C7F"/>
    <w:rsid w:val="00CE4FAC"/>
    <w:rsid w:val="00D1454F"/>
    <w:rsid w:val="00DE7B75"/>
    <w:rsid w:val="00E0125C"/>
    <w:rsid w:val="00E130DB"/>
    <w:rsid w:val="00E52A67"/>
    <w:rsid w:val="00E55B61"/>
    <w:rsid w:val="00E616C2"/>
    <w:rsid w:val="00EA0E75"/>
    <w:rsid w:val="00EA6110"/>
    <w:rsid w:val="00F07EBC"/>
    <w:rsid w:val="00F71D67"/>
    <w:rsid w:val="13494ECB"/>
    <w:rsid w:val="2E91748B"/>
    <w:rsid w:val="30AC5ED6"/>
    <w:rsid w:val="44C10F2B"/>
    <w:rsid w:val="65DA26AA"/>
    <w:rsid w:val="6D137FD6"/>
    <w:rsid w:val="6F15104E"/>
    <w:rsid w:val="77B3374E"/>
    <w:rsid w:val="78F32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Strong"/>
    <w:basedOn w:val="5"/>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南岳区教育局</Company>
  <Pages>8</Pages>
  <Words>3990</Words>
  <Characters>4148</Characters>
  <Lines>1</Lines>
  <Paragraphs>6</Paragraphs>
  <TotalTime>44</TotalTime>
  <ScaleCrop>false</ScaleCrop>
  <LinksUpToDate>false</LinksUpToDate>
  <CharactersWithSpaces>4188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2020-09-29T06:59:00Z</dcterms:created>
  <dc:creator>罗振宇</dc:creator>
  <cp:lastModifiedBy>汤士钦</cp:lastModifiedBy>
  <dcterms:modified xsi:type="dcterms:W3CDTF">2025-08-14T07:55:11Z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CAA6626374DD465DA26C8F802F71281E</vt:lpwstr>
  </property>
  <property fmtid="{D5CDD505-2E9C-101B-9397-08002B2CF9AE}" pid="4" name="KSOTemplateDocerSaveRecord">
    <vt:lpwstr>eyJoZGlkIjoiMjY2Mjg4YmUzOGM5YzQ1ZDQ1MjJlMzYzZWE2ZTM1Y2QiLCJ1c2VySWQiOiI0MzcyNDQ3MDkifQ==</vt:lpwstr>
  </property>
</Properties>
</file>