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921405">
      <w:pPr>
        <w:keepNext w:val="0"/>
        <w:keepLines w:val="0"/>
        <w:pageBreakBefore w:val="0"/>
        <w:widowControl/>
        <w:kinsoku/>
        <w:wordWrap/>
        <w:overflowPunct/>
        <w:topLinePunct w:val="0"/>
        <w:autoSpaceDE/>
        <w:autoSpaceDN/>
        <w:bidi w:val="0"/>
        <w:adjustRightInd/>
        <w:snapToGrid w:val="0"/>
        <w:spacing w:line="260" w:lineRule="auto"/>
        <w:ind w:right="0" w:firstLine="0" w:firstLineChars="0"/>
        <w:jc w:val="center"/>
        <w:textAlignment w:val="auto"/>
        <w:outlineLvl w:val="9"/>
        <w:rPr>
          <w:rFonts w:ascii="Times New Roman" w:hAnsi="Times New Roman" w:eastAsia="宋体" w:cs="Times New Roman"/>
          <w:color w:val="FF0000"/>
          <w:kern w:val="0"/>
          <w:sz w:val="18"/>
          <w:szCs w:val="20"/>
          <w:u w:val="none"/>
          <w:lang w:val="en-US" w:eastAsia="zh-CN" w:bidi="ar-SA"/>
        </w:rPr>
      </w:pPr>
    </w:p>
    <w:p w14:paraId="69829028">
      <w:pPr>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ascii="Times New Roman" w:hAnsi="Times New Roman" w:eastAsia="仿宋_GB2312" w:cs="仿宋_GB2312"/>
          <w:color w:val="FF0000"/>
          <w:sz w:val="36"/>
          <w:szCs w:val="36"/>
          <w:u w:val="none"/>
        </w:rPr>
      </w:pPr>
    </w:p>
    <w:p w14:paraId="5DF1D872">
      <w:pPr>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ascii="Times New Roman" w:hAnsi="Times New Roman" w:eastAsia="仿宋_GB2312" w:cs="仿宋_GB2312"/>
          <w:color w:val="FF0000"/>
          <w:sz w:val="36"/>
          <w:szCs w:val="36"/>
          <w:u w:val="none"/>
        </w:rPr>
      </w:pPr>
    </w:p>
    <w:p w14:paraId="5142EA5E">
      <w:pPr>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eastAsia" w:ascii="Times New Roman" w:hAnsi="Times New Roman" w:eastAsia="仿宋_GB2312" w:cs="仿宋_GB2312"/>
          <w:color w:val="FF0000"/>
          <w:sz w:val="36"/>
          <w:szCs w:val="36"/>
          <w:u w:val="none"/>
        </w:rPr>
      </w:pPr>
    </w:p>
    <w:p w14:paraId="72B14A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方正小标宋_GBK" w:cs="Times New Roman"/>
          <w:bCs/>
          <w:color w:val="000000"/>
          <w:sz w:val="72"/>
          <w:szCs w:val="72"/>
          <w:u w:val="none"/>
        </w:rPr>
      </w:pPr>
      <w:bookmarkStart w:id="0" w:name="_Toc24475"/>
      <w:bookmarkStart w:id="1" w:name="_Toc23571"/>
      <w:r>
        <w:rPr>
          <w:rFonts w:hint="eastAsia" w:ascii="Times New Roman" w:hAnsi="Times New Roman" w:eastAsia="方正小标宋_GBK" w:cs="Times New Roman"/>
          <w:bCs/>
          <w:color w:val="000000"/>
          <w:sz w:val="72"/>
          <w:szCs w:val="72"/>
          <w:u w:val="none"/>
        </w:rPr>
        <w:t>建设项目环境影响报告表</w:t>
      </w:r>
      <w:bookmarkEnd w:id="0"/>
      <w:bookmarkEnd w:id="1"/>
    </w:p>
    <w:p w14:paraId="17C3A10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楷体_GB2312" w:cs="Times New Roman"/>
          <w:bCs/>
          <w:color w:val="000000"/>
          <w:sz w:val="48"/>
          <w:szCs w:val="48"/>
          <w:u w:val="none"/>
        </w:rPr>
      </w:pPr>
      <w:r>
        <w:rPr>
          <w:rFonts w:hint="eastAsia" w:ascii="Times New Roman" w:hAnsi="Times New Roman" w:eastAsia="楷体_GB2312" w:cs="Times New Roman"/>
          <w:bCs/>
          <w:color w:val="000000"/>
          <w:sz w:val="48"/>
          <w:szCs w:val="48"/>
          <w:u w:val="none"/>
        </w:rPr>
        <w:t>（</w:t>
      </w:r>
      <w:r>
        <w:rPr>
          <w:rFonts w:hint="eastAsia" w:eastAsia="楷体_GB2312" w:cs="Times New Roman"/>
          <w:bCs/>
          <w:color w:val="000000"/>
          <w:sz w:val="48"/>
          <w:szCs w:val="48"/>
          <w:u w:val="none"/>
          <w:lang w:val="en-US" w:eastAsia="zh-CN"/>
        </w:rPr>
        <w:t>污染</w:t>
      </w:r>
      <w:r>
        <w:rPr>
          <w:rFonts w:hint="eastAsia" w:ascii="Times New Roman" w:hAnsi="Times New Roman" w:eastAsia="楷体_GB2312" w:cs="Times New Roman"/>
          <w:bCs/>
          <w:color w:val="000000"/>
          <w:sz w:val="48"/>
          <w:szCs w:val="48"/>
          <w:u w:val="none"/>
        </w:rPr>
        <w:t>影响类）</w:t>
      </w:r>
    </w:p>
    <w:p w14:paraId="04029CC4">
      <w:pPr>
        <w:keepNext w:val="0"/>
        <w:keepLines w:val="0"/>
        <w:pageBreakBefore w:val="0"/>
        <w:kinsoku/>
        <w:wordWrap/>
        <w:overflowPunct/>
        <w:topLinePunct w:val="0"/>
        <w:autoSpaceDE/>
        <w:autoSpaceDN/>
        <w:bidi w:val="0"/>
        <w:adjustRightInd w:val="0"/>
        <w:snapToGrid w:val="0"/>
        <w:spacing w:line="288" w:lineRule="auto"/>
        <w:ind w:firstLine="0" w:firstLineChars="0"/>
        <w:jc w:val="center"/>
        <w:textAlignment w:val="auto"/>
        <w:outlineLvl w:val="9"/>
        <w:rPr>
          <w:rFonts w:ascii="Times New Roman" w:hAnsi="Times New Roman" w:eastAsia="华文仿宋" w:cs="华文仿宋"/>
          <w:color w:val="000000"/>
          <w:kern w:val="44"/>
          <w:sz w:val="44"/>
          <w:szCs w:val="44"/>
          <w:u w:val="none"/>
        </w:rPr>
      </w:pPr>
    </w:p>
    <w:p w14:paraId="39892BA2">
      <w:pPr>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ascii="Times New Roman" w:hAnsi="Times New Roman" w:eastAsia="仿宋" w:cs="Times New Roman"/>
          <w:color w:val="000000"/>
          <w:sz w:val="52"/>
          <w:szCs w:val="52"/>
          <w:u w:val="none"/>
        </w:rPr>
      </w:pPr>
    </w:p>
    <w:p w14:paraId="443651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ascii="Times New Roman" w:hAnsi="Times New Roman" w:eastAsia="仿宋" w:cs="Times New Roman"/>
          <w:color w:val="000000"/>
          <w:sz w:val="44"/>
          <w:szCs w:val="44"/>
          <w:u w:val="none"/>
        </w:rPr>
      </w:pPr>
    </w:p>
    <w:p w14:paraId="14EFA1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ascii="Times New Roman" w:hAnsi="Times New Roman" w:eastAsia="仿宋" w:cs="Times New Roman"/>
          <w:color w:val="000000"/>
          <w:sz w:val="44"/>
          <w:szCs w:val="44"/>
          <w:u w:val="none"/>
        </w:rPr>
      </w:pPr>
    </w:p>
    <w:p w14:paraId="5EAFE8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ascii="Times New Roman" w:hAnsi="Times New Roman" w:eastAsia="仿宋" w:cs="Times New Roman"/>
          <w:color w:val="000000"/>
          <w:sz w:val="44"/>
          <w:szCs w:val="44"/>
          <w:u w:val="none"/>
        </w:rPr>
      </w:pPr>
    </w:p>
    <w:p w14:paraId="67237A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ascii="Times New Roman" w:hAnsi="Times New Roman" w:eastAsia="仿宋" w:cs="Times New Roman"/>
          <w:color w:val="000000"/>
          <w:sz w:val="44"/>
          <w:szCs w:val="44"/>
          <w:u w:val="none"/>
        </w:rPr>
      </w:pPr>
    </w:p>
    <w:p w14:paraId="216192AB">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0" w:firstLineChars="0"/>
        <w:jc w:val="center"/>
        <w:textAlignment w:val="auto"/>
        <w:outlineLvl w:val="9"/>
        <w:rPr>
          <w:rFonts w:hint="eastAsia" w:ascii="Times New Roman" w:hAnsi="Times New Roman" w:eastAsia="仿宋_GB2312" w:cs="Times New Roman"/>
          <w:color w:val="000000"/>
          <w:sz w:val="36"/>
          <w:szCs w:val="36"/>
          <w:u w:val="single"/>
          <w:lang w:eastAsia="zh-CN"/>
        </w:rPr>
      </w:pPr>
      <w:r>
        <w:rPr>
          <w:rFonts w:hint="eastAsia" w:ascii="Times New Roman" w:hAnsi="Times New Roman" w:eastAsia="仿宋_GB2312" w:cs="Times New Roman"/>
          <w:color w:val="000000"/>
          <w:sz w:val="36"/>
          <w:szCs w:val="36"/>
          <w:u w:val="none"/>
        </w:rPr>
        <w:t>项目名称：</w:t>
      </w:r>
      <w:r>
        <w:rPr>
          <w:rFonts w:hint="eastAsia" w:ascii="Times New Roman" w:hAnsi="Times New Roman" w:eastAsia="仿宋_GB2312" w:cs="Times New Roman"/>
          <w:color w:val="000000"/>
          <w:sz w:val="36"/>
          <w:szCs w:val="36"/>
          <w:u w:val="single"/>
          <w:lang w:eastAsia="zh-CN"/>
        </w:rPr>
        <w:t>南岳区岳旺生猪定点屠宰场建设项目</w:t>
      </w:r>
    </w:p>
    <w:p w14:paraId="11ED740D">
      <w:pPr>
        <w:keepNext w:val="0"/>
        <w:keepLines w:val="0"/>
        <w:pageBreakBefore w:val="0"/>
        <w:kinsoku/>
        <w:wordWrap/>
        <w:overflowPunct/>
        <w:topLinePunct w:val="0"/>
        <w:autoSpaceDE/>
        <w:autoSpaceDN/>
        <w:bidi w:val="0"/>
        <w:adjustRightInd w:val="0"/>
        <w:snapToGrid w:val="0"/>
        <w:spacing w:line="480" w:lineRule="auto"/>
        <w:ind w:firstLine="0" w:firstLineChars="0"/>
        <w:jc w:val="center"/>
        <w:textAlignment w:val="auto"/>
        <w:outlineLvl w:val="9"/>
        <w:rPr>
          <w:rFonts w:hint="default" w:ascii="Times New Roman" w:hAnsi="Times New Roman" w:eastAsia="仿宋_GB2312" w:cs="Times New Roman"/>
          <w:color w:val="000000"/>
          <w:sz w:val="36"/>
          <w:szCs w:val="36"/>
          <w:u w:val="single"/>
          <w:lang w:val="en-US" w:eastAsia="zh-CN"/>
        </w:rPr>
      </w:pPr>
      <w:r>
        <w:rPr>
          <w:rFonts w:hint="eastAsia" w:ascii="Times New Roman" w:hAnsi="Times New Roman" w:eastAsia="仿宋_GB2312" w:cs="Times New Roman"/>
          <w:color w:val="000000"/>
          <w:sz w:val="36"/>
          <w:szCs w:val="36"/>
          <w:u w:val="none"/>
        </w:rPr>
        <w:t>建设单位（盖章）：</w:t>
      </w:r>
      <w:r>
        <w:rPr>
          <w:rFonts w:hint="eastAsia" w:ascii="Times New Roman" w:hAnsi="Times New Roman" w:eastAsia="仿宋_GB2312" w:cs="Times New Roman"/>
          <w:color w:val="000000"/>
          <w:sz w:val="36"/>
          <w:szCs w:val="36"/>
          <w:u w:val="single"/>
        </w:rPr>
        <w:t>南岳区岳旺屠宰有限公司</w:t>
      </w:r>
    </w:p>
    <w:p w14:paraId="3631DAC5">
      <w:pPr>
        <w:keepNext w:val="0"/>
        <w:keepLines w:val="0"/>
        <w:pageBreakBefore w:val="0"/>
        <w:kinsoku/>
        <w:wordWrap/>
        <w:overflowPunct/>
        <w:topLinePunct w:val="0"/>
        <w:autoSpaceDE/>
        <w:autoSpaceDN/>
        <w:bidi w:val="0"/>
        <w:adjustRightInd w:val="0"/>
        <w:snapToGrid w:val="0"/>
        <w:spacing w:line="480" w:lineRule="auto"/>
        <w:ind w:firstLine="0" w:firstLineChars="0"/>
        <w:jc w:val="center"/>
        <w:textAlignment w:val="auto"/>
        <w:outlineLvl w:val="9"/>
        <w:rPr>
          <w:rFonts w:hint="eastAsia" w:ascii="Times New Roman" w:hAnsi="Times New Roman" w:eastAsia="仿宋_GB2312" w:cs="Times New Roman"/>
          <w:color w:val="000000"/>
          <w:sz w:val="36"/>
          <w:szCs w:val="36"/>
          <w:u w:val="single"/>
          <w:lang w:eastAsia="zh-CN"/>
        </w:rPr>
      </w:pPr>
      <w:r>
        <w:rPr>
          <w:rFonts w:hint="eastAsia" w:ascii="Times New Roman" w:hAnsi="Times New Roman" w:eastAsia="仿宋_GB2312" w:cs="Times New Roman"/>
          <w:color w:val="000000"/>
          <w:sz w:val="36"/>
          <w:szCs w:val="36"/>
          <w:u w:val="none"/>
        </w:rPr>
        <w:t>编制日期：</w:t>
      </w:r>
      <w:r>
        <w:rPr>
          <w:rFonts w:hint="eastAsia" w:ascii="Times New Roman" w:hAnsi="Times New Roman" w:eastAsia="仿宋_GB2312" w:cs="Times New Roman"/>
          <w:color w:val="000000"/>
          <w:sz w:val="36"/>
          <w:szCs w:val="36"/>
          <w:u w:val="single"/>
        </w:rPr>
        <w:t>202</w:t>
      </w:r>
      <w:r>
        <w:rPr>
          <w:rFonts w:hint="eastAsia" w:ascii="Times New Roman" w:hAnsi="Times New Roman" w:eastAsia="仿宋_GB2312" w:cs="Times New Roman"/>
          <w:color w:val="000000"/>
          <w:sz w:val="36"/>
          <w:szCs w:val="36"/>
          <w:u w:val="single"/>
          <w:lang w:val="en-US" w:eastAsia="zh-CN"/>
        </w:rPr>
        <w:t>5</w:t>
      </w:r>
      <w:r>
        <w:rPr>
          <w:rFonts w:hint="eastAsia" w:ascii="Times New Roman" w:hAnsi="Times New Roman" w:eastAsia="仿宋_GB2312" w:cs="Times New Roman"/>
          <w:color w:val="000000"/>
          <w:sz w:val="36"/>
          <w:szCs w:val="36"/>
          <w:u w:val="single"/>
        </w:rPr>
        <w:t>年</w:t>
      </w:r>
      <w:r>
        <w:rPr>
          <w:rFonts w:hint="eastAsia" w:ascii="Times New Roman" w:hAnsi="Times New Roman" w:eastAsia="仿宋_GB2312" w:cs="Times New Roman"/>
          <w:color w:val="000000"/>
          <w:sz w:val="36"/>
          <w:szCs w:val="36"/>
          <w:u w:val="single"/>
          <w:lang w:val="en-US" w:eastAsia="zh-CN"/>
        </w:rPr>
        <w:t>8</w:t>
      </w:r>
      <w:r>
        <w:rPr>
          <w:rFonts w:hint="eastAsia" w:ascii="Times New Roman" w:hAnsi="Times New Roman" w:eastAsia="仿宋_GB2312" w:cs="Times New Roman"/>
          <w:color w:val="000000"/>
          <w:sz w:val="36"/>
          <w:szCs w:val="36"/>
          <w:u w:val="single"/>
        </w:rPr>
        <w:t>月</w:t>
      </w:r>
    </w:p>
    <w:p w14:paraId="75C95322">
      <w:pPr>
        <w:keepNext w:val="0"/>
        <w:keepLines w:val="0"/>
        <w:pageBreakBefore w:val="0"/>
        <w:kinsoku/>
        <w:wordWrap/>
        <w:overflowPunct/>
        <w:topLinePunct w:val="0"/>
        <w:autoSpaceDE/>
        <w:autoSpaceDN/>
        <w:bidi w:val="0"/>
        <w:adjustRightInd w:val="0"/>
        <w:snapToGrid w:val="0"/>
        <w:spacing w:line="288" w:lineRule="auto"/>
        <w:ind w:firstLine="0" w:firstLineChars="0"/>
        <w:jc w:val="center"/>
        <w:textAlignment w:val="auto"/>
        <w:outlineLvl w:val="9"/>
        <w:rPr>
          <w:rFonts w:ascii="Times New Roman" w:hAnsi="Times New Roman" w:eastAsia="仿宋_GB2312" w:cs="Times New Roman"/>
          <w:b/>
          <w:bCs/>
          <w:color w:val="FF0000"/>
          <w:sz w:val="36"/>
          <w:szCs w:val="36"/>
          <w:u w:val="none"/>
        </w:rPr>
      </w:pPr>
      <w:bookmarkStart w:id="2" w:name="_Hlk57884087"/>
    </w:p>
    <w:bookmarkEnd w:id="2"/>
    <w:p w14:paraId="128A4BB0">
      <w:pPr>
        <w:keepNext w:val="0"/>
        <w:keepLines w:val="0"/>
        <w:pageBreakBefore w:val="0"/>
        <w:kinsoku/>
        <w:wordWrap/>
        <w:overflowPunct/>
        <w:topLinePunct w:val="0"/>
        <w:autoSpaceDE/>
        <w:autoSpaceDN/>
        <w:bidi w:val="0"/>
        <w:adjustRightInd w:val="0"/>
        <w:snapToGrid w:val="0"/>
        <w:spacing w:line="288" w:lineRule="auto"/>
        <w:ind w:firstLine="0" w:firstLineChars="0"/>
        <w:jc w:val="center"/>
        <w:textAlignment w:val="auto"/>
        <w:outlineLvl w:val="9"/>
        <w:rPr>
          <w:rFonts w:hint="eastAsia" w:ascii="Times New Roman" w:hAnsi="Times New Roman" w:eastAsia="楷体_GB2312" w:cs="Times New Roman"/>
          <w:color w:val="000000"/>
          <w:sz w:val="36"/>
          <w:szCs w:val="36"/>
          <w:u w:val="none"/>
        </w:rPr>
      </w:pPr>
      <w:r>
        <w:rPr>
          <w:rFonts w:hint="eastAsia" w:ascii="Times New Roman" w:hAnsi="Times New Roman" w:eastAsia="楷体_GB2312" w:cs="Times New Roman"/>
          <w:color w:val="000000"/>
          <w:sz w:val="36"/>
          <w:szCs w:val="36"/>
          <w:u w:val="none"/>
        </w:rPr>
        <w:t>中华人民共和国生态环境部制</w:t>
      </w:r>
    </w:p>
    <w:p w14:paraId="5B4812E1">
      <w:pPr>
        <w:keepNext w:val="0"/>
        <w:keepLines w:val="0"/>
        <w:pageBreakBefore w:val="0"/>
        <w:kinsoku/>
        <w:wordWrap/>
        <w:overflowPunct/>
        <w:topLinePunct w:val="0"/>
        <w:autoSpaceDE/>
        <w:autoSpaceDN/>
        <w:bidi w:val="0"/>
        <w:spacing w:line="240" w:lineRule="auto"/>
        <w:ind w:firstLine="0" w:firstLineChars="0"/>
        <w:jc w:val="center"/>
        <w:textAlignment w:val="auto"/>
        <w:outlineLvl w:val="9"/>
        <w:rPr>
          <w:rFonts w:hint="eastAsia" w:ascii="Times New Roman" w:hAnsi="Times New Roman" w:eastAsia="宋体" w:cs="Times New Roman"/>
          <w:b/>
          <w:bCs/>
          <w:color w:val="000000"/>
          <w:sz w:val="32"/>
          <w:szCs w:val="32"/>
          <w:u w:val="none"/>
          <w:lang w:eastAsia="zh-CN"/>
        </w:rPr>
      </w:pPr>
    </w:p>
    <w:p w14:paraId="5FA6468B">
      <w:pPr>
        <w:keepNext w:val="0"/>
        <w:keepLines w:val="0"/>
        <w:pageBreakBefore w:val="0"/>
        <w:kinsoku/>
        <w:wordWrap/>
        <w:overflowPunct/>
        <w:topLinePunct w:val="0"/>
        <w:autoSpaceDE/>
        <w:autoSpaceDN/>
        <w:bidi w:val="0"/>
        <w:jc w:val="center"/>
        <w:textAlignment w:val="auto"/>
        <w:outlineLvl w:val="9"/>
        <w:rPr>
          <w:rFonts w:hint="eastAsia" w:eastAsia="宋体"/>
          <w:b/>
          <w:bCs/>
          <w:color w:val="000000"/>
          <w:sz w:val="32"/>
          <w:szCs w:val="32"/>
          <w:u w:val="none"/>
          <w:lang w:eastAsia="zh-CN"/>
        </w:rPr>
      </w:pPr>
      <w:r>
        <w:rPr>
          <w:rFonts w:hint="eastAsia" w:eastAsia="宋体"/>
          <w:b/>
          <w:bCs/>
          <w:color w:val="000000"/>
          <w:sz w:val="32"/>
          <w:szCs w:val="32"/>
          <w:u w:val="none"/>
          <w:lang w:eastAsia="zh-CN"/>
        </w:rPr>
        <w:br w:type="page"/>
      </w:r>
    </w:p>
    <w:p w14:paraId="5293B182">
      <w:pPr>
        <w:keepNext w:val="0"/>
        <w:keepLines w:val="0"/>
        <w:pageBreakBefore w:val="0"/>
        <w:kinsoku/>
        <w:wordWrap/>
        <w:overflowPunct/>
        <w:topLinePunct w:val="0"/>
        <w:autoSpaceDE/>
        <w:autoSpaceDN/>
        <w:bidi w:val="0"/>
        <w:textAlignment w:val="auto"/>
        <w:outlineLvl w:val="9"/>
        <w:rPr>
          <w:rFonts w:hint="eastAsia" w:eastAsia="宋体"/>
          <w:b/>
          <w:bCs/>
          <w:color w:val="000000"/>
          <w:sz w:val="32"/>
          <w:szCs w:val="32"/>
          <w:u w:val="none"/>
          <w:lang w:eastAsia="zh-CN"/>
        </w:rPr>
      </w:pPr>
      <w:r>
        <w:rPr>
          <w:rFonts w:hint="eastAsia" w:eastAsia="宋体"/>
          <w:b/>
          <w:bCs/>
          <w:color w:val="000000"/>
          <w:sz w:val="32"/>
          <w:szCs w:val="32"/>
          <w:u w:val="none"/>
          <w:lang w:eastAsia="zh-CN"/>
        </w:rPr>
        <w:drawing>
          <wp:inline distT="0" distB="0" distL="114300" distR="114300">
            <wp:extent cx="5749925" cy="8124190"/>
            <wp:effectExtent l="0" t="0" r="3175" b="10160"/>
            <wp:docPr id="47" name="图片 47" descr="a6f947e08963202fa776690a2f1fd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a6f947e08963202fa776690a2f1fd088"/>
                    <pic:cNvPicPr>
                      <a:picLocks noChangeAspect="1"/>
                    </pic:cNvPicPr>
                  </pic:nvPicPr>
                  <pic:blipFill>
                    <a:blip r:embed="rId7"/>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48" name="图片 48" descr="d62346ba6a55c16518c21d7238d1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62346ba6a55c16518c21d7238d13326"/>
                    <pic:cNvPicPr>
                      <a:picLocks noChangeAspect="1"/>
                    </pic:cNvPicPr>
                  </pic:nvPicPr>
                  <pic:blipFill>
                    <a:blip r:embed="rId8"/>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49" name="图片 49" descr="6fa0e62cacabe04c515490ea22fb6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6fa0e62cacabe04c515490ea22fb6749"/>
                    <pic:cNvPicPr>
                      <a:picLocks noChangeAspect="1"/>
                    </pic:cNvPicPr>
                  </pic:nvPicPr>
                  <pic:blipFill>
                    <a:blip r:embed="rId9"/>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50" name="图片 50" descr="3e3e0854e864c77496cbc308ebc32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e3e0854e864c77496cbc308ebc32cfc"/>
                    <pic:cNvPicPr>
                      <a:picLocks noChangeAspect="1"/>
                    </pic:cNvPicPr>
                  </pic:nvPicPr>
                  <pic:blipFill>
                    <a:blip r:embed="rId10"/>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51" name="图片 51" descr="7826aa07cf4f89173ab8a70d6a6f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7826aa07cf4f89173ab8a70d6a6f2183"/>
                    <pic:cNvPicPr>
                      <a:picLocks noChangeAspect="1"/>
                    </pic:cNvPicPr>
                  </pic:nvPicPr>
                  <pic:blipFill>
                    <a:blip r:embed="rId11"/>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52" name="图片 52" descr="288d6e536e54fb048c13dc184d6de0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88d6e536e54fb048c13dc184d6de0ca"/>
                    <pic:cNvPicPr>
                      <a:picLocks noChangeAspect="1"/>
                    </pic:cNvPicPr>
                  </pic:nvPicPr>
                  <pic:blipFill>
                    <a:blip r:embed="rId12"/>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53" name="图片 53" descr="102e0b6fc63d0eedba275c768d6511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02e0b6fc63d0eedba275c768d6511bb"/>
                    <pic:cNvPicPr>
                      <a:picLocks noChangeAspect="1"/>
                    </pic:cNvPicPr>
                  </pic:nvPicPr>
                  <pic:blipFill>
                    <a:blip r:embed="rId13"/>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54" name="图片 54" descr="88d8c15b12940e74e712ddd83532d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88d8c15b12940e74e712ddd83532de4a"/>
                    <pic:cNvPicPr>
                      <a:picLocks noChangeAspect="1"/>
                    </pic:cNvPicPr>
                  </pic:nvPicPr>
                  <pic:blipFill>
                    <a:blip r:embed="rId14"/>
                    <a:stretch>
                      <a:fillRect/>
                    </a:stretch>
                  </pic:blipFill>
                  <pic:spPr>
                    <a:xfrm>
                      <a:off x="0" y="0"/>
                      <a:ext cx="5749925" cy="8124190"/>
                    </a:xfrm>
                    <a:prstGeom prst="rect">
                      <a:avLst/>
                    </a:prstGeom>
                  </pic:spPr>
                </pic:pic>
              </a:graphicData>
            </a:graphic>
          </wp:inline>
        </w:drawing>
      </w:r>
      <w:r>
        <w:rPr>
          <w:rFonts w:hint="eastAsia" w:eastAsia="宋体"/>
          <w:b/>
          <w:bCs/>
          <w:color w:val="000000"/>
          <w:sz w:val="32"/>
          <w:szCs w:val="32"/>
          <w:u w:val="none"/>
          <w:lang w:eastAsia="zh-CN"/>
        </w:rPr>
        <w:drawing>
          <wp:inline distT="0" distB="0" distL="114300" distR="114300">
            <wp:extent cx="5749925" cy="8124190"/>
            <wp:effectExtent l="0" t="0" r="3175" b="10160"/>
            <wp:docPr id="55" name="图片 55" descr="1f70292c9c9ed184a490bf01cb844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f70292c9c9ed184a490bf01cb844ad2"/>
                    <pic:cNvPicPr>
                      <a:picLocks noChangeAspect="1"/>
                    </pic:cNvPicPr>
                  </pic:nvPicPr>
                  <pic:blipFill>
                    <a:blip r:embed="rId15"/>
                    <a:stretch>
                      <a:fillRect/>
                    </a:stretch>
                  </pic:blipFill>
                  <pic:spPr>
                    <a:xfrm>
                      <a:off x="0" y="0"/>
                      <a:ext cx="5749925" cy="8124190"/>
                    </a:xfrm>
                    <a:prstGeom prst="rect">
                      <a:avLst/>
                    </a:prstGeom>
                  </pic:spPr>
                </pic:pic>
              </a:graphicData>
            </a:graphic>
          </wp:inline>
        </w:drawing>
      </w:r>
    </w:p>
    <w:p w14:paraId="3EE56A58">
      <w:pPr>
        <w:rPr>
          <w:rFonts w:hint="default" w:ascii="Times New Roman" w:hAnsi="Times New Roman" w:eastAsia="宋体" w:cs="Times New Roman"/>
          <w:b/>
          <w:kern w:val="44"/>
          <w:sz w:val="32"/>
          <w:szCs w:val="32"/>
          <w:lang w:val="en-US" w:eastAsia="zh-CN" w:bidi="ar-SA"/>
        </w:rPr>
      </w:pPr>
      <w:r>
        <w:rPr>
          <w:rFonts w:hint="default" w:ascii="Times New Roman" w:hAnsi="Times New Roman" w:eastAsia="宋体" w:cs="Times New Roman"/>
          <w:b/>
          <w:kern w:val="44"/>
          <w:sz w:val="32"/>
          <w:szCs w:val="32"/>
          <w:lang w:val="en-US" w:eastAsia="zh-CN" w:bidi="ar-SA"/>
        </w:rPr>
        <w:br w:type="page"/>
      </w:r>
    </w:p>
    <w:p w14:paraId="6EB8EA59">
      <w:pPr>
        <w:pStyle w:val="15"/>
        <w:tabs>
          <w:tab w:val="right" w:leader="dot" w:pos="8306"/>
        </w:tabs>
        <w:jc w:val="center"/>
        <w:rPr>
          <w:rFonts w:hint="default" w:ascii="Times New Roman" w:hAnsi="Times New Roman" w:eastAsia="宋体" w:cs="Times New Roman"/>
          <w:b/>
          <w:kern w:val="44"/>
          <w:sz w:val="32"/>
          <w:szCs w:val="32"/>
          <w:lang w:val="en-US" w:eastAsia="zh-CN" w:bidi="ar-SA"/>
        </w:rPr>
      </w:pPr>
      <w:bookmarkStart w:id="3" w:name="_Toc24250"/>
      <w:r>
        <w:rPr>
          <w:rFonts w:hint="eastAsia" w:cs="Times New Roman"/>
          <w:b/>
          <w:kern w:val="44"/>
          <w:sz w:val="32"/>
          <w:szCs w:val="32"/>
          <w:lang w:val="en-US" w:eastAsia="zh-CN" w:bidi="ar-SA"/>
        </w:rPr>
        <w:t>目录</w:t>
      </w:r>
    </w:p>
    <w:p w14:paraId="38C5AAF2">
      <w:pPr>
        <w:pStyle w:val="15"/>
        <w:tabs>
          <w:tab w:val="right" w:leader="dot" w:pos="8306"/>
        </w:tabs>
      </w:pPr>
      <w:r>
        <w:rPr>
          <w:rFonts w:hint="default" w:ascii="Times New Roman" w:hAnsi="Times New Roman" w:eastAsia="宋体" w:cs="Times New Roman"/>
          <w:b/>
          <w:kern w:val="44"/>
          <w:sz w:val="32"/>
          <w:szCs w:val="32"/>
          <w:lang w:val="en-US" w:eastAsia="zh-CN" w:bidi="ar-SA"/>
        </w:rPr>
        <w:fldChar w:fldCharType="begin"/>
      </w:r>
      <w:r>
        <w:rPr>
          <w:rFonts w:hint="default" w:ascii="Times New Roman" w:hAnsi="Times New Roman" w:eastAsia="宋体" w:cs="Times New Roman"/>
          <w:b/>
          <w:kern w:val="44"/>
          <w:sz w:val="32"/>
          <w:szCs w:val="32"/>
          <w:lang w:val="en-US" w:eastAsia="zh-CN" w:bidi="ar-SA"/>
        </w:rPr>
        <w:instrText xml:space="preserve">TOC \o "1-1" \h \u </w:instrText>
      </w:r>
      <w:r>
        <w:rPr>
          <w:rFonts w:hint="default" w:ascii="Times New Roman" w:hAnsi="Times New Roman" w:eastAsia="宋体" w:cs="Times New Roman"/>
          <w:b/>
          <w:kern w:val="44"/>
          <w:sz w:val="32"/>
          <w:szCs w:val="32"/>
          <w:lang w:val="en-US" w:eastAsia="zh-CN" w:bidi="ar-SA"/>
        </w:rPr>
        <w:fldChar w:fldCharType="separate"/>
      </w: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_Toc8755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kern w:val="44"/>
          <w:szCs w:val="32"/>
          <w:lang w:val="en-US" w:eastAsia="zh-CN" w:bidi="ar-SA"/>
        </w:rPr>
        <w:t>一、</w:t>
      </w:r>
      <w:r>
        <w:rPr>
          <w:rFonts w:hint="default" w:ascii="Times New Roman" w:hAnsi="Times New Roman" w:cs="Times New Roman"/>
          <w:lang w:val="en-US" w:eastAsia="zh-CN"/>
        </w:rPr>
        <w:t>建设项目基本情况</w:t>
      </w:r>
      <w:r>
        <w:tab/>
      </w:r>
      <w:r>
        <w:fldChar w:fldCharType="begin"/>
      </w:r>
      <w:r>
        <w:instrText xml:space="preserve"> PAGEREF _Toc8755 \h </w:instrText>
      </w:r>
      <w:r>
        <w:fldChar w:fldCharType="separate"/>
      </w:r>
      <w:r>
        <w:t>1</w:t>
      </w:r>
      <w:r>
        <w:fldChar w:fldCharType="end"/>
      </w:r>
      <w:r>
        <w:rPr>
          <w:rFonts w:hint="default" w:ascii="Times New Roman" w:hAnsi="Times New Roman" w:eastAsia="宋体" w:cs="Times New Roman"/>
          <w:kern w:val="44"/>
          <w:szCs w:val="32"/>
          <w:lang w:val="en-US" w:eastAsia="zh-CN" w:bidi="ar-SA"/>
        </w:rPr>
        <w:fldChar w:fldCharType="end"/>
      </w:r>
    </w:p>
    <w:p w14:paraId="31B3F891">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_Toc19644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kern w:val="44"/>
          <w:szCs w:val="32"/>
          <w:lang w:val="en-US" w:eastAsia="zh-CN" w:bidi="ar-SA"/>
        </w:rPr>
        <w:t>二、</w:t>
      </w:r>
      <w:r>
        <w:rPr>
          <w:rFonts w:hint="default" w:ascii="Times New Roman" w:hAnsi="Times New Roman" w:cs="Times New Roman"/>
          <w:lang w:val="en-US" w:eastAsia="zh-CN"/>
        </w:rPr>
        <w:t>建设项目工程分析</w:t>
      </w:r>
      <w:r>
        <w:tab/>
      </w:r>
      <w:r>
        <w:fldChar w:fldCharType="begin"/>
      </w:r>
      <w:r>
        <w:instrText xml:space="preserve"> PAGEREF _Toc19644 \h </w:instrText>
      </w:r>
      <w:r>
        <w:fldChar w:fldCharType="separate"/>
      </w:r>
      <w:r>
        <w:t>10</w:t>
      </w:r>
      <w:r>
        <w:fldChar w:fldCharType="end"/>
      </w:r>
      <w:r>
        <w:rPr>
          <w:rFonts w:hint="default" w:ascii="Times New Roman" w:hAnsi="Times New Roman" w:eastAsia="宋体" w:cs="Times New Roman"/>
          <w:kern w:val="44"/>
          <w:szCs w:val="32"/>
          <w:lang w:val="en-US" w:eastAsia="zh-CN" w:bidi="ar-SA"/>
        </w:rPr>
        <w:fldChar w:fldCharType="end"/>
      </w:r>
    </w:p>
    <w:p w14:paraId="1BAD8976">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_Toc7597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lang w:val="en-US" w:eastAsia="zh-CN"/>
        </w:rPr>
        <w:t>三、区域环境质量现状、环境保护目标及评价标准</w:t>
      </w:r>
      <w:r>
        <w:tab/>
      </w:r>
      <w:r>
        <w:fldChar w:fldCharType="begin"/>
      </w:r>
      <w:r>
        <w:instrText xml:space="preserve"> PAGEREF _Toc7597 \h </w:instrText>
      </w:r>
      <w:r>
        <w:fldChar w:fldCharType="separate"/>
      </w:r>
      <w:r>
        <w:t>21</w:t>
      </w:r>
      <w:r>
        <w:fldChar w:fldCharType="end"/>
      </w:r>
      <w:r>
        <w:rPr>
          <w:rFonts w:hint="default" w:ascii="Times New Roman" w:hAnsi="Times New Roman" w:eastAsia="宋体" w:cs="Times New Roman"/>
          <w:kern w:val="44"/>
          <w:szCs w:val="32"/>
          <w:lang w:val="en-US" w:eastAsia="zh-CN" w:bidi="ar-SA"/>
        </w:rPr>
        <w:fldChar w:fldCharType="end"/>
      </w:r>
    </w:p>
    <w:p w14:paraId="0B683CE3">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_Toc10215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lang w:val="en-US" w:eastAsia="zh-CN"/>
        </w:rPr>
        <w:t>四、主要环境影响和保护措施</w:t>
      </w:r>
      <w:r>
        <w:tab/>
      </w:r>
      <w:r>
        <w:fldChar w:fldCharType="begin"/>
      </w:r>
      <w:r>
        <w:instrText xml:space="preserve"> PAGEREF _Toc10215 \h </w:instrText>
      </w:r>
      <w:r>
        <w:fldChar w:fldCharType="separate"/>
      </w:r>
      <w:r>
        <w:t>27</w:t>
      </w:r>
      <w:r>
        <w:fldChar w:fldCharType="end"/>
      </w:r>
      <w:r>
        <w:rPr>
          <w:rFonts w:hint="default" w:ascii="Times New Roman" w:hAnsi="Times New Roman" w:eastAsia="宋体" w:cs="Times New Roman"/>
          <w:kern w:val="44"/>
          <w:szCs w:val="32"/>
          <w:lang w:val="en-US" w:eastAsia="zh-CN" w:bidi="ar-SA"/>
        </w:rPr>
        <w:fldChar w:fldCharType="end"/>
      </w:r>
    </w:p>
    <w:p w14:paraId="7B16F3D6">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_Toc1542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bCs/>
          <w:snapToGrid w:val="0"/>
          <w:szCs w:val="30"/>
        </w:rPr>
        <w:t>五、环境保护措施监督检查清单</w:t>
      </w:r>
      <w:r>
        <w:tab/>
      </w:r>
      <w:r>
        <w:fldChar w:fldCharType="begin"/>
      </w:r>
      <w:r>
        <w:instrText xml:space="preserve"> PAGEREF _Toc1542 \h </w:instrText>
      </w:r>
      <w:r>
        <w:fldChar w:fldCharType="separate"/>
      </w:r>
      <w:r>
        <w:t>54</w:t>
      </w:r>
      <w:r>
        <w:fldChar w:fldCharType="end"/>
      </w:r>
      <w:r>
        <w:rPr>
          <w:rFonts w:hint="default" w:ascii="Times New Roman" w:hAnsi="Times New Roman" w:eastAsia="宋体" w:cs="Times New Roman"/>
          <w:kern w:val="44"/>
          <w:szCs w:val="32"/>
          <w:lang w:val="en-US" w:eastAsia="zh-CN" w:bidi="ar-SA"/>
        </w:rPr>
        <w:fldChar w:fldCharType="end"/>
      </w:r>
    </w:p>
    <w:p w14:paraId="453F58BC">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_Toc22902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bCs/>
          <w:snapToGrid w:val="0"/>
          <w:szCs w:val="30"/>
        </w:rPr>
        <w:t>六、结论</w:t>
      </w:r>
      <w:r>
        <w:tab/>
      </w:r>
      <w:r>
        <w:fldChar w:fldCharType="begin"/>
      </w:r>
      <w:r>
        <w:instrText xml:space="preserve"> PAGEREF _Toc22902 \h </w:instrText>
      </w:r>
      <w:r>
        <w:fldChar w:fldCharType="separate"/>
      </w:r>
      <w:r>
        <w:t>57</w:t>
      </w:r>
      <w:r>
        <w:fldChar w:fldCharType="end"/>
      </w:r>
      <w:r>
        <w:rPr>
          <w:rFonts w:hint="default" w:ascii="Times New Roman" w:hAnsi="Times New Roman" w:eastAsia="宋体" w:cs="Times New Roman"/>
          <w:kern w:val="44"/>
          <w:szCs w:val="32"/>
          <w:lang w:val="en-US" w:eastAsia="zh-CN" w:bidi="ar-SA"/>
        </w:rPr>
        <w:fldChar w:fldCharType="end"/>
      </w:r>
    </w:p>
    <w:p w14:paraId="257A3E46">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_Toc10541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kern w:val="0"/>
          <w:szCs w:val="32"/>
          <w:lang w:val="en-US" w:eastAsia="zh-CN" w:bidi="ar-SA"/>
        </w:rPr>
        <w:t>建设项目污染物排放量汇总表</w:t>
      </w:r>
      <w:r>
        <w:tab/>
      </w:r>
      <w:r>
        <w:fldChar w:fldCharType="begin"/>
      </w:r>
      <w:r>
        <w:instrText xml:space="preserve"> PAGEREF _Toc10541 \h </w:instrText>
      </w:r>
      <w:r>
        <w:fldChar w:fldCharType="separate"/>
      </w:r>
      <w:r>
        <w:t>58</w:t>
      </w:r>
      <w:r>
        <w:fldChar w:fldCharType="end"/>
      </w:r>
      <w:r>
        <w:rPr>
          <w:rFonts w:hint="default" w:ascii="Times New Roman" w:hAnsi="Times New Roman" w:eastAsia="宋体" w:cs="Times New Roman"/>
          <w:kern w:val="44"/>
          <w:szCs w:val="32"/>
          <w:lang w:val="en-US" w:eastAsia="zh-CN" w:bidi="ar-SA"/>
        </w:rPr>
        <w:fldChar w:fldCharType="end"/>
      </w:r>
    </w:p>
    <w:p w14:paraId="73674462">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_Toc24999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lang w:val="en-US" w:eastAsia="zh-CN"/>
        </w:rPr>
        <w:t>附件</w:t>
      </w:r>
      <w:r>
        <w:rPr>
          <w:rFonts w:hint="eastAsia" w:cs="Times New Roman"/>
          <w:lang w:val="en-US" w:eastAsia="zh-CN"/>
        </w:rPr>
        <w:t>1</w:t>
      </w:r>
      <w:r>
        <w:rPr>
          <w:rFonts w:hint="default" w:ascii="Times New Roman" w:hAnsi="Times New Roman" w:cs="Times New Roman"/>
          <w:lang w:val="en-US" w:eastAsia="zh-CN"/>
        </w:rPr>
        <w:t xml:space="preserve"> 营业执照</w:t>
      </w:r>
      <w:r>
        <w:tab/>
      </w:r>
      <w:r>
        <w:fldChar w:fldCharType="begin"/>
      </w:r>
      <w:r>
        <w:instrText xml:space="preserve"> PAGEREF _Toc24999 \h </w:instrText>
      </w:r>
      <w:r>
        <w:fldChar w:fldCharType="separate"/>
      </w:r>
      <w:r>
        <w:t>60</w:t>
      </w:r>
      <w:r>
        <w:fldChar w:fldCharType="end"/>
      </w:r>
      <w:r>
        <w:rPr>
          <w:rFonts w:hint="default" w:ascii="Times New Roman" w:hAnsi="Times New Roman" w:eastAsia="宋体" w:cs="Times New Roman"/>
          <w:kern w:val="44"/>
          <w:szCs w:val="32"/>
          <w:lang w:val="en-US" w:eastAsia="zh-CN" w:bidi="ar-SA"/>
        </w:rPr>
        <w:fldChar w:fldCharType="end"/>
      </w:r>
    </w:p>
    <w:p w14:paraId="529A6911">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_Toc28748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szCs w:val="24"/>
          <w:lang w:val="en-US" w:eastAsia="zh-CN"/>
        </w:rPr>
        <w:t>附件</w:t>
      </w:r>
      <w:r>
        <w:rPr>
          <w:rFonts w:hint="eastAsia" w:ascii="Times New Roman" w:hAnsi="Times New Roman" w:cs="Times New Roman"/>
          <w:szCs w:val="24"/>
          <w:lang w:val="en-US" w:eastAsia="zh-CN"/>
        </w:rPr>
        <w:t xml:space="preserve">2 </w:t>
      </w:r>
      <w:r>
        <w:rPr>
          <w:rFonts w:hint="default" w:ascii="Times New Roman" w:hAnsi="Times New Roman" w:cs="Times New Roman"/>
          <w:szCs w:val="24"/>
          <w:lang w:val="en-US" w:eastAsia="zh-CN"/>
        </w:rPr>
        <w:t>南岳镇人民政府选址审查意见</w:t>
      </w:r>
      <w:r>
        <w:tab/>
      </w:r>
      <w:r>
        <w:fldChar w:fldCharType="begin"/>
      </w:r>
      <w:r>
        <w:instrText xml:space="preserve"> PAGEREF _Toc28748 \h </w:instrText>
      </w:r>
      <w:r>
        <w:fldChar w:fldCharType="separate"/>
      </w:r>
      <w:r>
        <w:t>61</w:t>
      </w:r>
      <w:r>
        <w:fldChar w:fldCharType="end"/>
      </w:r>
      <w:r>
        <w:rPr>
          <w:rFonts w:hint="default" w:ascii="Times New Roman" w:hAnsi="Times New Roman" w:eastAsia="宋体" w:cs="Times New Roman"/>
          <w:kern w:val="44"/>
          <w:szCs w:val="32"/>
          <w:lang w:val="en-US" w:eastAsia="zh-CN" w:bidi="ar-SA"/>
        </w:rPr>
        <w:fldChar w:fldCharType="end"/>
      </w:r>
    </w:p>
    <w:p w14:paraId="4EC826E8">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_Toc20307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lang w:val="en-US" w:eastAsia="zh-CN"/>
        </w:rPr>
        <w:t>附件</w:t>
      </w:r>
      <w:r>
        <w:rPr>
          <w:rFonts w:hint="eastAsia" w:ascii="Times New Roman" w:hAnsi="Times New Roman" w:cs="Times New Roman"/>
          <w:lang w:val="en-US" w:eastAsia="zh-CN"/>
        </w:rPr>
        <w:t xml:space="preserve">3 </w:t>
      </w:r>
      <w:r>
        <w:rPr>
          <w:rFonts w:hint="default" w:ascii="Times New Roman" w:hAnsi="Times New Roman" w:cs="Times New Roman"/>
          <w:lang w:val="en-US" w:eastAsia="zh-CN"/>
        </w:rPr>
        <w:t>衡阳市生态环境局南岳分局关于本项目的选址审查意见</w:t>
      </w:r>
      <w:r>
        <w:tab/>
      </w:r>
      <w:r>
        <w:fldChar w:fldCharType="begin"/>
      </w:r>
      <w:r>
        <w:instrText xml:space="preserve"> PAGEREF _Toc20307 \h </w:instrText>
      </w:r>
      <w:r>
        <w:fldChar w:fldCharType="separate"/>
      </w:r>
      <w:r>
        <w:t>62</w:t>
      </w:r>
      <w:r>
        <w:fldChar w:fldCharType="end"/>
      </w:r>
      <w:r>
        <w:rPr>
          <w:rFonts w:hint="default" w:ascii="Times New Roman" w:hAnsi="Times New Roman" w:eastAsia="宋体" w:cs="Times New Roman"/>
          <w:kern w:val="44"/>
          <w:szCs w:val="32"/>
          <w:lang w:val="en-US" w:eastAsia="zh-CN" w:bidi="ar-SA"/>
        </w:rPr>
        <w:fldChar w:fldCharType="end"/>
      </w:r>
    </w:p>
    <w:p w14:paraId="59459E96">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_Toc14281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szCs w:val="24"/>
          <w:lang w:val="en-US" w:eastAsia="zh-CN"/>
        </w:rPr>
        <w:t>附件</w:t>
      </w:r>
      <w:r>
        <w:rPr>
          <w:rFonts w:hint="default" w:ascii="Times New Roman" w:hAnsi="Times New Roman" w:cs="Times New Roman"/>
          <w:szCs w:val="24"/>
          <w:lang w:val="en-US" w:eastAsia="zh-CN"/>
        </w:rPr>
        <w:t>4 湖南省畜牧水产事务中心复函</w:t>
      </w:r>
      <w:r>
        <w:tab/>
      </w:r>
      <w:r>
        <w:fldChar w:fldCharType="begin"/>
      </w:r>
      <w:r>
        <w:instrText xml:space="preserve"> PAGEREF _Toc14281 \h </w:instrText>
      </w:r>
      <w:r>
        <w:fldChar w:fldCharType="separate"/>
      </w:r>
      <w:r>
        <w:t>63</w:t>
      </w:r>
      <w:r>
        <w:fldChar w:fldCharType="end"/>
      </w:r>
      <w:r>
        <w:rPr>
          <w:rFonts w:hint="default" w:ascii="Times New Roman" w:hAnsi="Times New Roman" w:eastAsia="宋体" w:cs="Times New Roman"/>
          <w:kern w:val="44"/>
          <w:szCs w:val="32"/>
          <w:lang w:val="en-US" w:eastAsia="zh-CN" w:bidi="ar-SA"/>
        </w:rPr>
        <w:fldChar w:fldCharType="end"/>
      </w:r>
    </w:p>
    <w:p w14:paraId="2EA334BB">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_Toc14965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szCs w:val="24"/>
          <w:lang w:val="en-US" w:eastAsia="zh-CN"/>
        </w:rPr>
        <w:t>附件5南岳区发展和改革局备案说明</w:t>
      </w:r>
      <w:r>
        <w:tab/>
      </w:r>
      <w:r>
        <w:fldChar w:fldCharType="begin"/>
      </w:r>
      <w:r>
        <w:instrText xml:space="preserve"> PAGEREF _Toc14965 \h </w:instrText>
      </w:r>
      <w:r>
        <w:fldChar w:fldCharType="separate"/>
      </w:r>
      <w:r>
        <w:t>64</w:t>
      </w:r>
      <w:r>
        <w:fldChar w:fldCharType="end"/>
      </w:r>
      <w:r>
        <w:rPr>
          <w:rFonts w:hint="default" w:ascii="Times New Roman" w:hAnsi="Times New Roman" w:eastAsia="宋体" w:cs="Times New Roman"/>
          <w:kern w:val="44"/>
          <w:szCs w:val="32"/>
          <w:lang w:val="en-US" w:eastAsia="zh-CN" w:bidi="ar-SA"/>
        </w:rPr>
        <w:fldChar w:fldCharType="end"/>
      </w:r>
    </w:p>
    <w:p w14:paraId="24F89DBE">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_Toc22583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szCs w:val="24"/>
          <w:lang w:val="en-US" w:eastAsia="zh-CN"/>
        </w:rPr>
        <w:t>附件6 声环境敏感目标噪声质量检测报告</w:t>
      </w:r>
      <w:r>
        <w:tab/>
      </w:r>
      <w:r>
        <w:fldChar w:fldCharType="begin"/>
      </w:r>
      <w:r>
        <w:instrText xml:space="preserve"> PAGEREF _Toc22583 \h </w:instrText>
      </w:r>
      <w:r>
        <w:fldChar w:fldCharType="separate"/>
      </w:r>
      <w:r>
        <w:t>66</w:t>
      </w:r>
      <w:r>
        <w:fldChar w:fldCharType="end"/>
      </w:r>
      <w:r>
        <w:rPr>
          <w:rFonts w:hint="default" w:ascii="Times New Roman" w:hAnsi="Times New Roman" w:eastAsia="宋体" w:cs="Times New Roman"/>
          <w:kern w:val="44"/>
          <w:szCs w:val="32"/>
          <w:lang w:val="en-US" w:eastAsia="zh-CN" w:bidi="ar-SA"/>
        </w:rPr>
        <w:fldChar w:fldCharType="end"/>
      </w:r>
    </w:p>
    <w:p w14:paraId="54114738">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_Toc16333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szCs w:val="24"/>
          <w:lang w:val="en-US" w:eastAsia="zh-CN"/>
        </w:rPr>
        <w:t>附图1项目地理位置图</w:t>
      </w:r>
      <w:r>
        <w:tab/>
      </w:r>
      <w:r>
        <w:fldChar w:fldCharType="begin"/>
      </w:r>
      <w:r>
        <w:instrText xml:space="preserve"> PAGEREF _Toc16333 \h </w:instrText>
      </w:r>
      <w:r>
        <w:fldChar w:fldCharType="separate"/>
      </w:r>
      <w:r>
        <w:t>71</w:t>
      </w:r>
      <w:r>
        <w:fldChar w:fldCharType="end"/>
      </w:r>
      <w:r>
        <w:rPr>
          <w:rFonts w:hint="default" w:ascii="Times New Roman" w:hAnsi="Times New Roman" w:eastAsia="宋体" w:cs="Times New Roman"/>
          <w:kern w:val="44"/>
          <w:szCs w:val="32"/>
          <w:lang w:val="en-US" w:eastAsia="zh-CN" w:bidi="ar-SA"/>
        </w:rPr>
        <w:fldChar w:fldCharType="end"/>
      </w:r>
    </w:p>
    <w:p w14:paraId="707AF080">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_Toc28649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szCs w:val="24"/>
          <w:lang w:val="en-US" w:eastAsia="zh-CN"/>
        </w:rPr>
        <w:t>附</w:t>
      </w:r>
      <w:r>
        <w:rPr>
          <w:rFonts w:hint="default" w:ascii="Times New Roman" w:hAnsi="Times New Roman" w:cs="Times New Roman"/>
          <w:szCs w:val="24"/>
          <w:lang w:val="en-US" w:eastAsia="zh-CN"/>
        </w:rPr>
        <w:t xml:space="preserve">图2 </w:t>
      </w:r>
      <w:r>
        <w:rPr>
          <w:rFonts w:hint="default" w:ascii="Times New Roman" w:hAnsi="Times New Roman" w:eastAsia="宋体" w:cs="Times New Roman"/>
          <w:szCs w:val="24"/>
          <w:lang w:val="en-US" w:eastAsia="zh-CN"/>
        </w:rPr>
        <w:t>总平面布置图</w:t>
      </w:r>
      <w:r>
        <w:tab/>
      </w:r>
      <w:r>
        <w:fldChar w:fldCharType="begin"/>
      </w:r>
      <w:r>
        <w:instrText xml:space="preserve"> PAGEREF _Toc28649 \h </w:instrText>
      </w:r>
      <w:r>
        <w:fldChar w:fldCharType="separate"/>
      </w:r>
      <w:r>
        <w:t>72</w:t>
      </w:r>
      <w:r>
        <w:fldChar w:fldCharType="end"/>
      </w:r>
      <w:r>
        <w:rPr>
          <w:rFonts w:hint="default" w:ascii="Times New Roman" w:hAnsi="Times New Roman" w:eastAsia="宋体" w:cs="Times New Roman"/>
          <w:kern w:val="44"/>
          <w:szCs w:val="32"/>
          <w:lang w:val="en-US" w:eastAsia="zh-CN" w:bidi="ar-SA"/>
        </w:rPr>
        <w:fldChar w:fldCharType="end"/>
      </w:r>
    </w:p>
    <w:p w14:paraId="579A6DF3">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_Toc28334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eastAsia="宋体" w:cs="Times New Roman"/>
          <w:szCs w:val="24"/>
          <w:lang w:val="en-US" w:eastAsia="zh-CN"/>
        </w:rPr>
        <w:t>附</w:t>
      </w:r>
      <w:r>
        <w:rPr>
          <w:rFonts w:hint="default" w:ascii="Times New Roman" w:hAnsi="Times New Roman" w:cs="Times New Roman"/>
          <w:szCs w:val="24"/>
          <w:lang w:val="en-US" w:eastAsia="zh-CN"/>
        </w:rPr>
        <w:t>图3</w:t>
      </w:r>
      <w:r>
        <w:rPr>
          <w:rFonts w:hint="default" w:ascii="Times New Roman" w:hAnsi="Times New Roman" w:eastAsia="宋体" w:cs="Times New Roman"/>
          <w:szCs w:val="24"/>
          <w:lang w:val="en-US" w:eastAsia="zh-CN"/>
        </w:rPr>
        <w:t xml:space="preserve"> </w:t>
      </w:r>
      <w:r>
        <w:rPr>
          <w:rFonts w:hint="default" w:ascii="Times New Roman" w:hAnsi="Times New Roman" w:cs="Times New Roman"/>
          <w:szCs w:val="24"/>
          <w:lang w:val="en-US" w:eastAsia="zh-CN"/>
        </w:rPr>
        <w:t>环保目标</w:t>
      </w:r>
      <w:r>
        <w:rPr>
          <w:rFonts w:hint="default" w:ascii="Times New Roman" w:hAnsi="Times New Roman" w:eastAsia="宋体" w:cs="Times New Roman"/>
          <w:szCs w:val="24"/>
          <w:lang w:val="en-US" w:eastAsia="zh-CN"/>
        </w:rPr>
        <w:t>图</w:t>
      </w:r>
      <w:r>
        <w:tab/>
      </w:r>
      <w:r>
        <w:fldChar w:fldCharType="begin"/>
      </w:r>
      <w:r>
        <w:instrText xml:space="preserve"> PAGEREF _Toc28334 \h </w:instrText>
      </w:r>
      <w:r>
        <w:fldChar w:fldCharType="separate"/>
      </w:r>
      <w:r>
        <w:t>73</w:t>
      </w:r>
      <w:r>
        <w:fldChar w:fldCharType="end"/>
      </w:r>
      <w:r>
        <w:rPr>
          <w:rFonts w:hint="default" w:ascii="Times New Roman" w:hAnsi="Times New Roman" w:eastAsia="宋体" w:cs="Times New Roman"/>
          <w:kern w:val="44"/>
          <w:szCs w:val="32"/>
          <w:lang w:val="en-US" w:eastAsia="zh-CN" w:bidi="ar-SA"/>
        </w:rPr>
        <w:fldChar w:fldCharType="end"/>
      </w:r>
    </w:p>
    <w:p w14:paraId="098A859C">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_Toc14852 </w:instrText>
      </w:r>
      <w:r>
        <w:rPr>
          <w:rFonts w:hint="default" w:ascii="Times New Roman" w:hAnsi="Times New Roman" w:eastAsia="宋体" w:cs="Times New Roman"/>
          <w:kern w:val="44"/>
          <w:szCs w:val="32"/>
          <w:lang w:val="en-US" w:eastAsia="zh-CN" w:bidi="ar-SA"/>
        </w:rPr>
        <w:fldChar w:fldCharType="separate"/>
      </w:r>
      <w:r>
        <w:rPr>
          <w:rFonts w:hint="default" w:ascii="Times New Roman" w:hAnsi="Times New Roman" w:cs="Times New Roman"/>
          <w:szCs w:val="24"/>
          <w:lang w:val="en-US" w:eastAsia="zh-CN"/>
        </w:rPr>
        <w:t>附图4 污水排放路径图</w:t>
      </w:r>
      <w:r>
        <w:tab/>
      </w:r>
      <w:r>
        <w:fldChar w:fldCharType="begin"/>
      </w:r>
      <w:r>
        <w:instrText xml:space="preserve"> PAGEREF _Toc14852 \h </w:instrText>
      </w:r>
      <w:r>
        <w:fldChar w:fldCharType="separate"/>
      </w:r>
      <w:r>
        <w:t>75</w:t>
      </w:r>
      <w:r>
        <w:fldChar w:fldCharType="end"/>
      </w:r>
      <w:r>
        <w:rPr>
          <w:rFonts w:hint="default" w:ascii="Times New Roman" w:hAnsi="Times New Roman" w:eastAsia="宋体" w:cs="Times New Roman"/>
          <w:kern w:val="44"/>
          <w:szCs w:val="32"/>
          <w:lang w:val="en-US" w:eastAsia="zh-CN" w:bidi="ar-SA"/>
        </w:rPr>
        <w:fldChar w:fldCharType="end"/>
      </w:r>
    </w:p>
    <w:p w14:paraId="32B92FAF">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_Toc25152 </w:instrText>
      </w:r>
      <w:r>
        <w:rPr>
          <w:rFonts w:hint="default" w:ascii="Times New Roman" w:hAnsi="Times New Roman" w:eastAsia="宋体" w:cs="Times New Roman"/>
          <w:kern w:val="44"/>
          <w:szCs w:val="32"/>
          <w:lang w:val="en-US" w:eastAsia="zh-CN" w:bidi="ar-SA"/>
        </w:rPr>
        <w:fldChar w:fldCharType="separate"/>
      </w:r>
      <w:r>
        <w:rPr>
          <w:rFonts w:hint="eastAsia"/>
          <w:szCs w:val="24"/>
          <w:lang w:val="en-US" w:eastAsia="zh-CN"/>
        </w:rPr>
        <w:t>附图5 噪声现状监测点位图</w:t>
      </w:r>
      <w:r>
        <w:tab/>
      </w:r>
      <w:r>
        <w:fldChar w:fldCharType="begin"/>
      </w:r>
      <w:r>
        <w:instrText xml:space="preserve"> PAGEREF _Toc25152 \h </w:instrText>
      </w:r>
      <w:r>
        <w:fldChar w:fldCharType="separate"/>
      </w:r>
      <w:r>
        <w:t>76</w:t>
      </w:r>
      <w:r>
        <w:fldChar w:fldCharType="end"/>
      </w:r>
      <w:r>
        <w:rPr>
          <w:rFonts w:hint="default" w:ascii="Times New Roman" w:hAnsi="Times New Roman" w:eastAsia="宋体" w:cs="Times New Roman"/>
          <w:kern w:val="44"/>
          <w:szCs w:val="32"/>
          <w:lang w:val="en-US" w:eastAsia="zh-CN" w:bidi="ar-SA"/>
        </w:rPr>
        <w:fldChar w:fldCharType="end"/>
      </w:r>
    </w:p>
    <w:p w14:paraId="376C9C20">
      <w:pPr>
        <w:pStyle w:val="15"/>
        <w:tabs>
          <w:tab w:val="right" w:leader="dot" w:pos="8306"/>
        </w:tabs>
      </w:pPr>
      <w:r>
        <w:rPr>
          <w:rFonts w:hint="default" w:ascii="Times New Roman" w:hAnsi="Times New Roman" w:eastAsia="宋体" w:cs="Times New Roman"/>
          <w:kern w:val="44"/>
          <w:szCs w:val="32"/>
          <w:lang w:val="en-US" w:eastAsia="zh-CN" w:bidi="ar-SA"/>
        </w:rPr>
        <w:fldChar w:fldCharType="begin"/>
      </w:r>
      <w:r>
        <w:rPr>
          <w:rFonts w:hint="default" w:ascii="Times New Roman" w:hAnsi="Times New Roman" w:eastAsia="宋体" w:cs="Times New Roman"/>
          <w:kern w:val="44"/>
          <w:szCs w:val="32"/>
          <w:lang w:val="en-US" w:eastAsia="zh-CN" w:bidi="ar-SA"/>
        </w:rPr>
        <w:instrText xml:space="preserve"> HYPERLINK \l _Toc26438 </w:instrText>
      </w:r>
      <w:r>
        <w:rPr>
          <w:rFonts w:hint="default" w:ascii="Times New Roman" w:hAnsi="Times New Roman" w:eastAsia="宋体" w:cs="Times New Roman"/>
          <w:kern w:val="44"/>
          <w:szCs w:val="32"/>
          <w:lang w:val="en-US" w:eastAsia="zh-CN" w:bidi="ar-SA"/>
        </w:rPr>
        <w:fldChar w:fldCharType="separate"/>
      </w:r>
      <w:r>
        <w:rPr>
          <w:rFonts w:hint="eastAsia"/>
          <w:lang w:val="en-US" w:eastAsia="zh-CN"/>
        </w:rPr>
        <w:t>附图6 大气现状监测点位图</w:t>
      </w:r>
      <w:r>
        <w:tab/>
      </w:r>
      <w:r>
        <w:fldChar w:fldCharType="begin"/>
      </w:r>
      <w:r>
        <w:instrText xml:space="preserve"> PAGEREF _Toc26438 \h </w:instrText>
      </w:r>
      <w:r>
        <w:fldChar w:fldCharType="separate"/>
      </w:r>
      <w:r>
        <w:t>77</w:t>
      </w:r>
      <w:r>
        <w:fldChar w:fldCharType="end"/>
      </w:r>
      <w:r>
        <w:rPr>
          <w:rFonts w:hint="default" w:ascii="Times New Roman" w:hAnsi="Times New Roman" w:eastAsia="宋体" w:cs="Times New Roman"/>
          <w:kern w:val="44"/>
          <w:szCs w:val="32"/>
          <w:lang w:val="en-US" w:eastAsia="zh-CN" w:bidi="ar-SA"/>
        </w:rPr>
        <w:fldChar w:fldCharType="end"/>
      </w:r>
    </w:p>
    <w:p w14:paraId="62ACB651">
      <w:pPr>
        <w:bidi w:val="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hint="default" w:ascii="Times New Roman" w:hAnsi="Times New Roman" w:eastAsia="宋体" w:cs="Times New Roman"/>
          <w:kern w:val="44"/>
          <w:szCs w:val="32"/>
          <w:lang w:val="en-US" w:eastAsia="zh-CN" w:bidi="ar-SA"/>
        </w:rPr>
        <w:fldChar w:fldCharType="end"/>
      </w:r>
      <w:bookmarkStart w:id="4" w:name="_Toc29050"/>
    </w:p>
    <w:p w14:paraId="221AD061">
      <w:pPr>
        <w:pStyle w:val="2"/>
        <w:numPr>
          <w:ilvl w:val="0"/>
          <w:numId w:val="0"/>
        </w:numPr>
        <w:bidi w:val="0"/>
        <w:ind w:firstLine="960" w:firstLineChars="0"/>
        <w:rPr>
          <w:rFonts w:hint="default" w:ascii="Times New Roman" w:hAnsi="Times New Roman" w:cs="Times New Roman"/>
          <w:lang w:val="en-US" w:eastAsia="zh-CN"/>
        </w:rPr>
      </w:pPr>
      <w:bookmarkStart w:id="5" w:name="_Toc8755"/>
      <w:r>
        <w:rPr>
          <w:rFonts w:hint="default" w:ascii="Times New Roman" w:hAnsi="Times New Roman" w:eastAsia="宋体" w:cs="Times New Roman"/>
          <w:b/>
          <w:kern w:val="44"/>
          <w:sz w:val="32"/>
          <w:szCs w:val="32"/>
          <w:lang w:val="en-US" w:eastAsia="zh-CN" w:bidi="ar-SA"/>
        </w:rPr>
        <w:t>一、</w:t>
      </w:r>
      <w:r>
        <w:rPr>
          <w:rFonts w:hint="default" w:ascii="Times New Roman" w:hAnsi="Times New Roman" w:cs="Times New Roman"/>
          <w:lang w:val="en-US" w:eastAsia="zh-CN"/>
        </w:rPr>
        <w:t>建设项目基本情况</w:t>
      </w:r>
      <w:bookmarkEnd w:id="3"/>
      <w:bookmarkEnd w:id="4"/>
      <w:bookmarkEnd w:id="5"/>
    </w:p>
    <w:tbl>
      <w:tblPr>
        <w:tblStyle w:val="21"/>
        <w:tblW w:w="887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519"/>
        <w:gridCol w:w="1131"/>
        <w:gridCol w:w="2311"/>
        <w:gridCol w:w="1844"/>
        <w:gridCol w:w="3065"/>
      </w:tblGrid>
      <w:tr w14:paraId="6DC499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650" w:type="dxa"/>
            <w:gridSpan w:val="2"/>
            <w:noWrap w:val="0"/>
            <w:tcMar>
              <w:top w:w="16" w:type="dxa"/>
              <w:left w:w="16" w:type="dxa"/>
              <w:right w:w="16" w:type="dxa"/>
            </w:tcMar>
            <w:vAlign w:val="center"/>
          </w:tcPr>
          <w:p w14:paraId="299151A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建设项目名称</w:t>
            </w:r>
          </w:p>
        </w:tc>
        <w:tc>
          <w:tcPr>
            <w:tcW w:w="7220" w:type="dxa"/>
            <w:gridSpan w:val="3"/>
            <w:noWrap w:val="0"/>
            <w:vAlign w:val="center"/>
          </w:tcPr>
          <w:p w14:paraId="6133B29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南岳区岳旺生猪定点屠宰场建设项目</w:t>
            </w:r>
          </w:p>
        </w:tc>
      </w:tr>
      <w:tr w14:paraId="72CF01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3" w:hRule="atLeast"/>
        </w:trPr>
        <w:tc>
          <w:tcPr>
            <w:tcW w:w="1650" w:type="dxa"/>
            <w:gridSpan w:val="2"/>
            <w:noWrap w:val="0"/>
            <w:tcMar>
              <w:top w:w="16" w:type="dxa"/>
              <w:left w:w="16" w:type="dxa"/>
              <w:right w:w="16" w:type="dxa"/>
            </w:tcMar>
            <w:vAlign w:val="center"/>
          </w:tcPr>
          <w:p w14:paraId="0FFED92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项目代码</w:t>
            </w:r>
          </w:p>
        </w:tc>
        <w:tc>
          <w:tcPr>
            <w:tcW w:w="7220" w:type="dxa"/>
            <w:gridSpan w:val="3"/>
            <w:noWrap w:val="0"/>
            <w:vAlign w:val="center"/>
          </w:tcPr>
          <w:p w14:paraId="09F4EC9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2412-430412-04-05-927468</w:t>
            </w:r>
          </w:p>
        </w:tc>
      </w:tr>
      <w:tr w14:paraId="0C5D04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3" w:hRule="atLeast"/>
        </w:trPr>
        <w:tc>
          <w:tcPr>
            <w:tcW w:w="1650" w:type="dxa"/>
            <w:gridSpan w:val="2"/>
            <w:noWrap w:val="0"/>
            <w:tcMar>
              <w:top w:w="16" w:type="dxa"/>
              <w:left w:w="16" w:type="dxa"/>
              <w:right w:w="16" w:type="dxa"/>
            </w:tcMar>
            <w:vAlign w:val="center"/>
          </w:tcPr>
          <w:p w14:paraId="26DFC09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建设单位联系人</w:t>
            </w:r>
          </w:p>
        </w:tc>
        <w:tc>
          <w:tcPr>
            <w:tcW w:w="2311" w:type="dxa"/>
            <w:noWrap w:val="0"/>
            <w:vAlign w:val="center"/>
          </w:tcPr>
          <w:p w14:paraId="60A324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李秋芬</w:t>
            </w:r>
          </w:p>
        </w:tc>
        <w:tc>
          <w:tcPr>
            <w:tcW w:w="1844" w:type="dxa"/>
            <w:noWrap w:val="0"/>
            <w:vAlign w:val="center"/>
          </w:tcPr>
          <w:p w14:paraId="522A3CD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联系方式</w:t>
            </w:r>
          </w:p>
        </w:tc>
        <w:tc>
          <w:tcPr>
            <w:tcW w:w="3065" w:type="dxa"/>
            <w:noWrap w:val="0"/>
            <w:vAlign w:val="center"/>
          </w:tcPr>
          <w:p w14:paraId="166937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13974706856</w:t>
            </w:r>
          </w:p>
        </w:tc>
      </w:tr>
      <w:tr w14:paraId="71E92D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0" w:hRule="atLeast"/>
        </w:trPr>
        <w:tc>
          <w:tcPr>
            <w:tcW w:w="1650" w:type="dxa"/>
            <w:gridSpan w:val="2"/>
            <w:noWrap w:val="0"/>
            <w:tcMar>
              <w:top w:w="16" w:type="dxa"/>
              <w:left w:w="16" w:type="dxa"/>
              <w:right w:w="16" w:type="dxa"/>
            </w:tcMar>
            <w:vAlign w:val="center"/>
          </w:tcPr>
          <w:p w14:paraId="41CA2D9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建设地点</w:t>
            </w:r>
          </w:p>
        </w:tc>
        <w:tc>
          <w:tcPr>
            <w:tcW w:w="7220" w:type="dxa"/>
            <w:gridSpan w:val="3"/>
            <w:noWrap w:val="0"/>
            <w:vAlign w:val="center"/>
          </w:tcPr>
          <w:p w14:paraId="1E7545E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single"/>
                <w:lang w:val="en-US" w:eastAsia="zh-CN"/>
              </w:rPr>
              <w:t>湖南省</w:t>
            </w:r>
            <w:r>
              <w:rPr>
                <w:rFonts w:hint="default" w:ascii="Times New Roman" w:hAnsi="Times New Roman" w:cs="Times New Roman"/>
                <w:u w:val="none"/>
                <w:lang w:val="en-US" w:eastAsia="zh-CN"/>
              </w:rPr>
              <w:t>（自治区）</w:t>
            </w:r>
            <w:r>
              <w:rPr>
                <w:rFonts w:hint="default" w:ascii="Times New Roman" w:hAnsi="Times New Roman" w:cs="Times New Roman"/>
                <w:u w:val="single"/>
                <w:lang w:val="en-US" w:eastAsia="zh-CN"/>
              </w:rPr>
              <w:t>衡阳市南岳区</w:t>
            </w:r>
            <w:r>
              <w:rPr>
                <w:rFonts w:hint="default" w:ascii="Times New Roman" w:hAnsi="Times New Roman" w:cs="Times New Roman"/>
                <w:u w:val="none"/>
                <w:lang w:val="en-US" w:eastAsia="zh-CN"/>
              </w:rPr>
              <w:t xml:space="preserve"> 县（区）</w:t>
            </w:r>
            <w:r>
              <w:rPr>
                <w:rFonts w:hint="default" w:ascii="Times New Roman" w:hAnsi="Times New Roman" w:cs="Times New Roman"/>
                <w:u w:val="single"/>
                <w:lang w:val="en-US" w:eastAsia="zh-CN"/>
              </w:rPr>
              <w:t>南岳镇</w:t>
            </w:r>
            <w:r>
              <w:rPr>
                <w:rFonts w:hint="default" w:ascii="Times New Roman" w:hAnsi="Times New Roman" w:cs="Times New Roman"/>
                <w:u w:val="none"/>
                <w:lang w:val="en-US" w:eastAsia="zh-CN"/>
              </w:rPr>
              <w:t xml:space="preserve"> 乡（街道）</w:t>
            </w:r>
          </w:p>
          <w:p w14:paraId="5187215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single"/>
                <w:lang w:val="en-US" w:eastAsia="zh-CN"/>
              </w:rPr>
              <w:t>烧田村上粮组</w:t>
            </w:r>
            <w:r>
              <w:rPr>
                <w:rFonts w:hint="default" w:ascii="Times New Roman" w:hAnsi="Times New Roman" w:cs="Times New Roman"/>
                <w:u w:val="none"/>
                <w:lang w:val="en-US" w:eastAsia="zh-CN"/>
              </w:rPr>
              <w:t>（具体地址）</w:t>
            </w:r>
          </w:p>
        </w:tc>
      </w:tr>
      <w:tr w14:paraId="13EA6F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650" w:type="dxa"/>
            <w:gridSpan w:val="2"/>
            <w:noWrap w:val="0"/>
            <w:tcMar>
              <w:top w:w="16" w:type="dxa"/>
              <w:left w:w="16" w:type="dxa"/>
              <w:right w:w="16" w:type="dxa"/>
            </w:tcMar>
            <w:vAlign w:val="center"/>
          </w:tcPr>
          <w:p w14:paraId="0BBC91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地理坐标</w:t>
            </w:r>
          </w:p>
        </w:tc>
        <w:tc>
          <w:tcPr>
            <w:tcW w:w="7220" w:type="dxa"/>
            <w:gridSpan w:val="3"/>
            <w:noWrap w:val="0"/>
            <w:vAlign w:val="center"/>
          </w:tcPr>
          <w:p w14:paraId="2128A9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highlight w:val="none"/>
                <w:u w:val="none"/>
                <w:lang w:val="en-US" w:eastAsia="zh-CN"/>
              </w:rPr>
              <w:t>（东经 112度42 分51.480秒，北纬27 度 12分8.356秒）</w:t>
            </w:r>
          </w:p>
        </w:tc>
      </w:tr>
      <w:tr w14:paraId="3C870A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1650" w:type="dxa"/>
            <w:gridSpan w:val="2"/>
            <w:noWrap w:val="0"/>
            <w:tcMar>
              <w:top w:w="16" w:type="dxa"/>
              <w:left w:w="16" w:type="dxa"/>
              <w:right w:w="16" w:type="dxa"/>
            </w:tcMar>
            <w:vAlign w:val="center"/>
          </w:tcPr>
          <w:p w14:paraId="567622B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国民经济行业类别</w:t>
            </w:r>
          </w:p>
        </w:tc>
        <w:tc>
          <w:tcPr>
            <w:tcW w:w="2311" w:type="dxa"/>
            <w:noWrap w:val="0"/>
            <w:vAlign w:val="center"/>
          </w:tcPr>
          <w:p w14:paraId="677511D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highlight w:val="none"/>
                <w:u w:val="none"/>
                <w:lang w:val="en-US" w:eastAsia="zh-CN"/>
              </w:rPr>
            </w:pPr>
            <w:r>
              <w:rPr>
                <w:rFonts w:hint="default" w:ascii="Times New Roman" w:hAnsi="Times New Roman" w:cs="Times New Roman"/>
                <w:highlight w:val="none"/>
                <w:u w:val="none"/>
                <w:lang w:val="en-US" w:eastAsia="zh-CN"/>
              </w:rPr>
              <w:t>C1351 牲畜屠宰</w:t>
            </w:r>
          </w:p>
        </w:tc>
        <w:tc>
          <w:tcPr>
            <w:tcW w:w="1844" w:type="dxa"/>
            <w:noWrap w:val="0"/>
            <w:vAlign w:val="center"/>
          </w:tcPr>
          <w:p w14:paraId="3625A5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bookmarkStart w:id="6" w:name="_Hlk49843745"/>
            <w:r>
              <w:rPr>
                <w:rFonts w:hint="default" w:ascii="Times New Roman" w:hAnsi="Times New Roman" w:cs="Times New Roman"/>
                <w:highlight w:val="none"/>
                <w:u w:val="none"/>
                <w:lang w:val="en-US" w:eastAsia="zh-CN"/>
              </w:rPr>
              <w:t>建设项目行业类别</w:t>
            </w:r>
            <w:bookmarkEnd w:id="6"/>
          </w:p>
        </w:tc>
        <w:tc>
          <w:tcPr>
            <w:tcW w:w="3065" w:type="dxa"/>
            <w:noWrap w:val="0"/>
            <w:vAlign w:val="center"/>
          </w:tcPr>
          <w:p w14:paraId="58A20B9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highlight w:val="none"/>
                <w:u w:val="none"/>
                <w:lang w:val="en-US" w:eastAsia="zh-CN"/>
              </w:rPr>
            </w:pPr>
            <w:r>
              <w:rPr>
                <w:rFonts w:hint="default" w:ascii="Times New Roman" w:hAnsi="Times New Roman" w:eastAsia="宋体" w:cs="Times New Roman"/>
                <w:kern w:val="2"/>
                <w:sz w:val="24"/>
                <w:szCs w:val="24"/>
                <w:lang w:val="en-US" w:eastAsia="zh-CN" w:bidi="ar-SA"/>
              </w:rPr>
              <w:t>十、</w:t>
            </w:r>
            <w:r>
              <w:rPr>
                <w:rFonts w:hint="default" w:ascii="Times New Roman" w:hAnsi="Times New Roman" w:eastAsia="宋体" w:cs="Times New Roman"/>
                <w:highlight w:val="none"/>
                <w:u w:val="none"/>
                <w:lang w:val="en-US" w:eastAsia="zh-CN"/>
              </w:rPr>
              <w:t>农副食品加工业13</w:t>
            </w:r>
          </w:p>
          <w:p w14:paraId="4304D0F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highlight w:val="none"/>
                <w:u w:val="none"/>
                <w:lang w:val="en-US" w:eastAsia="zh-CN"/>
              </w:rPr>
            </w:pPr>
            <w:r>
              <w:rPr>
                <w:rFonts w:hint="default" w:ascii="Times New Roman" w:hAnsi="Times New Roman" w:eastAsia="宋体" w:cs="Times New Roman"/>
                <w:highlight w:val="none"/>
                <w:u w:val="none"/>
                <w:lang w:val="en-US" w:eastAsia="zh-CN"/>
              </w:rPr>
              <w:t>屠宰及肉类加工135*</w:t>
            </w:r>
          </w:p>
        </w:tc>
      </w:tr>
      <w:tr w14:paraId="3AD5D3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1650" w:type="dxa"/>
            <w:gridSpan w:val="2"/>
            <w:noWrap w:val="0"/>
            <w:tcMar>
              <w:top w:w="16" w:type="dxa"/>
              <w:left w:w="16" w:type="dxa"/>
              <w:right w:w="16" w:type="dxa"/>
            </w:tcMar>
            <w:vAlign w:val="center"/>
          </w:tcPr>
          <w:p w14:paraId="3277118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建设性质</w:t>
            </w:r>
          </w:p>
        </w:tc>
        <w:tc>
          <w:tcPr>
            <w:tcW w:w="2311" w:type="dxa"/>
            <w:noWrap w:val="0"/>
            <w:vAlign w:val="center"/>
          </w:tcPr>
          <w:p w14:paraId="5AC8652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☑新建（迁建）</w:t>
            </w:r>
          </w:p>
          <w:p w14:paraId="675AAA7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eastAsia" w:cs="Times New Roman"/>
                <w:lang w:val="en-US" w:eastAsia="zh-CN"/>
              </w:rPr>
              <w:t>□</w:t>
            </w:r>
            <w:r>
              <w:rPr>
                <w:rFonts w:hint="default" w:ascii="Times New Roman" w:hAnsi="Times New Roman" w:cs="Times New Roman"/>
                <w:lang w:val="en-US" w:eastAsia="zh-CN"/>
              </w:rPr>
              <w:t>改建</w:t>
            </w:r>
          </w:p>
          <w:p w14:paraId="717F559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eastAsia" w:cs="Times New Roman"/>
                <w:lang w:val="en-US" w:eastAsia="zh-CN"/>
              </w:rPr>
              <w:t>□</w:t>
            </w:r>
            <w:r>
              <w:rPr>
                <w:rFonts w:hint="default" w:ascii="Times New Roman" w:hAnsi="Times New Roman" w:cs="Times New Roman"/>
                <w:lang w:val="en-US" w:eastAsia="zh-CN"/>
              </w:rPr>
              <w:t>扩建</w:t>
            </w:r>
          </w:p>
          <w:p w14:paraId="08B0FB8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u w:val="none"/>
                <w:lang w:val="en-US" w:eastAsia="zh-CN"/>
              </w:rPr>
            </w:pPr>
            <w:r>
              <w:rPr>
                <w:rFonts w:hint="eastAsia" w:cs="Times New Roman"/>
                <w:lang w:val="en-US" w:eastAsia="zh-CN"/>
              </w:rPr>
              <w:t>□</w:t>
            </w:r>
            <w:r>
              <w:rPr>
                <w:rFonts w:hint="default" w:ascii="Times New Roman" w:hAnsi="Times New Roman" w:cs="Times New Roman"/>
                <w:lang w:val="en-US" w:eastAsia="zh-CN"/>
              </w:rPr>
              <w:t>技术改造</w:t>
            </w:r>
          </w:p>
        </w:tc>
        <w:tc>
          <w:tcPr>
            <w:tcW w:w="1844" w:type="dxa"/>
            <w:noWrap w:val="0"/>
            <w:vAlign w:val="center"/>
          </w:tcPr>
          <w:p w14:paraId="1E64EF5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建设项目申报情形</w:t>
            </w:r>
          </w:p>
        </w:tc>
        <w:tc>
          <w:tcPr>
            <w:tcW w:w="3065" w:type="dxa"/>
            <w:noWrap w:val="0"/>
            <w:vAlign w:val="center"/>
          </w:tcPr>
          <w:p w14:paraId="464B0336">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☑首次申报项目</w:t>
            </w:r>
          </w:p>
          <w:p w14:paraId="6E36A478">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lang w:val="en-US" w:eastAsia="zh-CN"/>
              </w:rPr>
            </w:pPr>
            <w:r>
              <w:rPr>
                <w:rFonts w:hint="eastAsia" w:cs="Times New Roman"/>
                <w:lang w:val="en-US" w:eastAsia="zh-CN"/>
              </w:rPr>
              <w:t>□</w:t>
            </w:r>
            <w:r>
              <w:rPr>
                <w:rFonts w:hint="default" w:ascii="Times New Roman" w:hAnsi="Times New Roman" w:cs="Times New Roman"/>
                <w:lang w:val="en-US" w:eastAsia="zh-CN"/>
              </w:rPr>
              <w:t>不予批准后再次申报项目</w:t>
            </w:r>
          </w:p>
          <w:p w14:paraId="70EDAFA0">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lang w:val="en-US" w:eastAsia="zh-CN"/>
              </w:rPr>
            </w:pPr>
            <w:r>
              <w:rPr>
                <w:rFonts w:hint="eastAsia" w:cs="Times New Roman"/>
                <w:lang w:val="en-US" w:eastAsia="zh-CN"/>
              </w:rPr>
              <w:t>□</w:t>
            </w:r>
            <w:r>
              <w:rPr>
                <w:rFonts w:hint="default" w:ascii="Times New Roman" w:hAnsi="Times New Roman" w:cs="Times New Roman"/>
                <w:lang w:val="en-US" w:eastAsia="zh-CN"/>
              </w:rPr>
              <w:t>超五年重新审核项目</w:t>
            </w:r>
          </w:p>
          <w:p w14:paraId="3AD2DB6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u w:val="none"/>
                <w:lang w:val="en-US" w:eastAsia="zh-CN"/>
              </w:rPr>
            </w:pPr>
            <w:r>
              <w:rPr>
                <w:rFonts w:hint="eastAsia" w:cs="Times New Roman"/>
                <w:lang w:val="en-US" w:eastAsia="zh-CN"/>
              </w:rPr>
              <w:t>□</w:t>
            </w:r>
            <w:r>
              <w:rPr>
                <w:rFonts w:hint="default" w:ascii="Times New Roman" w:hAnsi="Times New Roman" w:cs="Times New Roman"/>
                <w:lang w:val="en-US" w:eastAsia="zh-CN"/>
              </w:rPr>
              <w:t>重大变动重新报批项目</w:t>
            </w:r>
          </w:p>
        </w:tc>
      </w:tr>
      <w:tr w14:paraId="4B13D0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7" w:hRule="atLeast"/>
        </w:trPr>
        <w:tc>
          <w:tcPr>
            <w:tcW w:w="1650" w:type="dxa"/>
            <w:gridSpan w:val="2"/>
            <w:noWrap w:val="0"/>
            <w:tcMar>
              <w:top w:w="16" w:type="dxa"/>
              <w:left w:w="16" w:type="dxa"/>
              <w:right w:w="16" w:type="dxa"/>
            </w:tcMar>
            <w:vAlign w:val="center"/>
          </w:tcPr>
          <w:p w14:paraId="07CF138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项目审批（核准/备案）部门（选填）</w:t>
            </w:r>
          </w:p>
        </w:tc>
        <w:tc>
          <w:tcPr>
            <w:tcW w:w="2311" w:type="dxa"/>
            <w:noWrap w:val="0"/>
            <w:vAlign w:val="center"/>
          </w:tcPr>
          <w:p w14:paraId="011C928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南岳区发展和改革局</w:t>
            </w:r>
          </w:p>
        </w:tc>
        <w:tc>
          <w:tcPr>
            <w:tcW w:w="1844" w:type="dxa"/>
            <w:noWrap w:val="0"/>
            <w:vAlign w:val="center"/>
          </w:tcPr>
          <w:p w14:paraId="4DF8FBC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项目审批（核准/备案）文号（选填）</w:t>
            </w:r>
          </w:p>
        </w:tc>
        <w:tc>
          <w:tcPr>
            <w:tcW w:w="3065" w:type="dxa"/>
            <w:noWrap w:val="0"/>
            <w:vAlign w:val="center"/>
          </w:tcPr>
          <w:p w14:paraId="728915B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eastAsia" w:cs="Times New Roman"/>
                <w:highlight w:val="none"/>
                <w:u w:val="none"/>
                <w:lang w:val="en-US" w:eastAsia="zh-CN"/>
              </w:rPr>
              <w:t>/</w:t>
            </w:r>
          </w:p>
        </w:tc>
      </w:tr>
      <w:tr w14:paraId="0F5734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3" w:hRule="atLeast"/>
        </w:trPr>
        <w:tc>
          <w:tcPr>
            <w:tcW w:w="1650" w:type="dxa"/>
            <w:gridSpan w:val="2"/>
            <w:noWrap w:val="0"/>
            <w:tcMar>
              <w:top w:w="16" w:type="dxa"/>
              <w:left w:w="16" w:type="dxa"/>
              <w:right w:w="16" w:type="dxa"/>
            </w:tcMar>
            <w:vAlign w:val="center"/>
          </w:tcPr>
          <w:p w14:paraId="575E71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总投资（万元）</w:t>
            </w:r>
          </w:p>
        </w:tc>
        <w:tc>
          <w:tcPr>
            <w:tcW w:w="2311" w:type="dxa"/>
            <w:noWrap w:val="0"/>
            <w:vAlign w:val="center"/>
          </w:tcPr>
          <w:p w14:paraId="29FA5F8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600</w:t>
            </w:r>
          </w:p>
        </w:tc>
        <w:tc>
          <w:tcPr>
            <w:tcW w:w="1844" w:type="dxa"/>
            <w:noWrap w:val="0"/>
            <w:tcMar>
              <w:top w:w="16" w:type="dxa"/>
              <w:left w:w="16" w:type="dxa"/>
              <w:right w:w="16" w:type="dxa"/>
            </w:tcMar>
            <w:vAlign w:val="center"/>
          </w:tcPr>
          <w:p w14:paraId="40FD2EE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环保投资（万元）</w:t>
            </w:r>
          </w:p>
        </w:tc>
        <w:tc>
          <w:tcPr>
            <w:tcW w:w="3065" w:type="dxa"/>
            <w:noWrap w:val="0"/>
            <w:vAlign w:val="center"/>
          </w:tcPr>
          <w:p w14:paraId="460F8AF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eastAsia" w:cs="Times New Roman"/>
                <w:highlight w:val="none"/>
                <w:u w:val="none"/>
                <w:lang w:val="en-US" w:eastAsia="zh-CN"/>
              </w:rPr>
              <w:t>35万元</w:t>
            </w:r>
          </w:p>
        </w:tc>
      </w:tr>
      <w:tr w14:paraId="5D27C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650" w:type="dxa"/>
            <w:gridSpan w:val="2"/>
            <w:noWrap w:val="0"/>
            <w:tcMar>
              <w:top w:w="16" w:type="dxa"/>
              <w:left w:w="16" w:type="dxa"/>
              <w:right w:w="16" w:type="dxa"/>
            </w:tcMar>
            <w:vAlign w:val="center"/>
          </w:tcPr>
          <w:p w14:paraId="7D3E891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环保投资占比（%）</w:t>
            </w:r>
          </w:p>
        </w:tc>
        <w:tc>
          <w:tcPr>
            <w:tcW w:w="2311" w:type="dxa"/>
            <w:noWrap w:val="0"/>
            <w:vAlign w:val="center"/>
          </w:tcPr>
          <w:p w14:paraId="4DC2C87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eastAsia" w:cs="Times New Roman"/>
                <w:highlight w:val="none"/>
                <w:u w:val="none"/>
                <w:lang w:val="en-US" w:eastAsia="zh-CN"/>
              </w:rPr>
              <w:t>1.7%</w:t>
            </w:r>
          </w:p>
        </w:tc>
        <w:tc>
          <w:tcPr>
            <w:tcW w:w="1844" w:type="dxa"/>
            <w:noWrap w:val="0"/>
            <w:tcMar>
              <w:top w:w="16" w:type="dxa"/>
              <w:left w:w="16" w:type="dxa"/>
              <w:right w:w="16" w:type="dxa"/>
            </w:tcMar>
            <w:vAlign w:val="center"/>
          </w:tcPr>
          <w:p w14:paraId="2856A3A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施工工期</w:t>
            </w:r>
          </w:p>
        </w:tc>
        <w:tc>
          <w:tcPr>
            <w:tcW w:w="3065" w:type="dxa"/>
            <w:noWrap w:val="0"/>
            <w:vAlign w:val="center"/>
          </w:tcPr>
          <w:p w14:paraId="02A292C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3个月</w:t>
            </w:r>
          </w:p>
        </w:tc>
      </w:tr>
      <w:tr w14:paraId="15B15A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650" w:type="dxa"/>
            <w:gridSpan w:val="2"/>
            <w:noWrap w:val="0"/>
            <w:tcMar>
              <w:top w:w="16" w:type="dxa"/>
              <w:left w:w="16" w:type="dxa"/>
              <w:right w:w="16" w:type="dxa"/>
            </w:tcMar>
            <w:vAlign w:val="center"/>
          </w:tcPr>
          <w:p w14:paraId="53D27CF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是否开工建设</w:t>
            </w:r>
          </w:p>
        </w:tc>
        <w:tc>
          <w:tcPr>
            <w:tcW w:w="2311" w:type="dxa"/>
            <w:noWrap w:val="0"/>
            <w:vAlign w:val="center"/>
          </w:tcPr>
          <w:p w14:paraId="3A40E0DD">
            <w:pPr>
              <w:spacing w:line="240" w:lineRule="auto"/>
              <w:rPr>
                <w:rFonts w:hint="default" w:ascii="Times New Roman" w:hAnsi="Times New Roman" w:cs="Times New Roman"/>
                <w:lang w:val="en-US" w:eastAsia="zh-CN"/>
              </w:rPr>
            </w:pPr>
            <w:r>
              <w:rPr>
                <w:rFonts w:hint="default" w:ascii="Times New Roman" w:hAnsi="Times New Roman" w:cs="Times New Roman"/>
                <w:lang w:val="en-US" w:eastAsia="zh-CN"/>
              </w:rPr>
              <w:t>☑否</w:t>
            </w:r>
          </w:p>
          <w:p w14:paraId="7264367C">
            <w:pPr>
              <w:spacing w:line="240" w:lineRule="auto"/>
              <w:rPr>
                <w:rFonts w:hint="default" w:ascii="Times New Roman" w:hAnsi="Times New Roman" w:cs="Times New Roman"/>
                <w:highlight w:val="none"/>
                <w:u w:val="none"/>
                <w:lang w:val="en-US" w:eastAsia="zh-CN"/>
              </w:rPr>
            </w:pPr>
            <w:r>
              <w:rPr>
                <w:rFonts w:hint="eastAsia" w:cs="Times New Roman"/>
                <w:lang w:val="en-US" w:eastAsia="zh-CN"/>
              </w:rPr>
              <w:t>□</w:t>
            </w:r>
            <w:r>
              <w:rPr>
                <w:rFonts w:hint="default" w:ascii="Times New Roman" w:hAnsi="Times New Roman" w:cs="Times New Roman"/>
                <w:lang w:val="en-US" w:eastAsia="zh-CN"/>
              </w:rPr>
              <w:t>是</w:t>
            </w:r>
          </w:p>
        </w:tc>
        <w:tc>
          <w:tcPr>
            <w:tcW w:w="1844" w:type="dxa"/>
            <w:noWrap w:val="0"/>
            <w:tcMar>
              <w:top w:w="16" w:type="dxa"/>
              <w:left w:w="16" w:type="dxa"/>
              <w:right w:w="16" w:type="dxa"/>
            </w:tcMar>
            <w:vAlign w:val="center"/>
          </w:tcPr>
          <w:p w14:paraId="06D2406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用地（用海）</w:t>
            </w:r>
          </w:p>
          <w:p w14:paraId="515D6C1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面积（m</w:t>
            </w:r>
            <w:r>
              <w:rPr>
                <w:rFonts w:hint="default" w:ascii="Times New Roman" w:hAnsi="Times New Roman" w:cs="Times New Roman"/>
                <w:highlight w:val="none"/>
                <w:u w:val="none"/>
                <w:vertAlign w:val="superscript"/>
                <w:lang w:val="en-US" w:eastAsia="zh-CN"/>
              </w:rPr>
              <w:t>2</w:t>
            </w:r>
            <w:r>
              <w:rPr>
                <w:rFonts w:hint="default" w:ascii="Times New Roman" w:hAnsi="Times New Roman" w:cs="Times New Roman"/>
                <w:highlight w:val="none"/>
                <w:u w:val="none"/>
                <w:lang w:val="en-US" w:eastAsia="zh-CN"/>
              </w:rPr>
              <w:t>）</w:t>
            </w:r>
          </w:p>
        </w:tc>
        <w:tc>
          <w:tcPr>
            <w:tcW w:w="3065" w:type="dxa"/>
            <w:noWrap w:val="0"/>
            <w:vAlign w:val="center"/>
          </w:tcPr>
          <w:p w14:paraId="647EE0B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3985.29</w:t>
            </w:r>
          </w:p>
        </w:tc>
      </w:tr>
      <w:tr w14:paraId="455C1D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650" w:type="dxa"/>
            <w:gridSpan w:val="2"/>
            <w:noWrap w:val="0"/>
            <w:vAlign w:val="center"/>
          </w:tcPr>
          <w:p w14:paraId="12EAD78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专项评价设置情况</w:t>
            </w:r>
          </w:p>
        </w:tc>
        <w:tc>
          <w:tcPr>
            <w:tcW w:w="7220" w:type="dxa"/>
            <w:gridSpan w:val="3"/>
            <w:noWrap w:val="0"/>
            <w:vAlign w:val="center"/>
          </w:tcPr>
          <w:p w14:paraId="42BE480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无</w:t>
            </w:r>
          </w:p>
        </w:tc>
      </w:tr>
      <w:tr w14:paraId="3BBB82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1650" w:type="dxa"/>
            <w:gridSpan w:val="2"/>
            <w:noWrap w:val="0"/>
            <w:vAlign w:val="center"/>
          </w:tcPr>
          <w:p w14:paraId="346080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规划情况</w:t>
            </w:r>
          </w:p>
        </w:tc>
        <w:tc>
          <w:tcPr>
            <w:tcW w:w="7220" w:type="dxa"/>
            <w:gridSpan w:val="3"/>
            <w:noWrap w:val="0"/>
            <w:vAlign w:val="center"/>
          </w:tcPr>
          <w:p w14:paraId="173FC42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无</w:t>
            </w:r>
          </w:p>
        </w:tc>
      </w:tr>
      <w:tr w14:paraId="35EBC4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1" w:hRule="atLeast"/>
        </w:trPr>
        <w:tc>
          <w:tcPr>
            <w:tcW w:w="1650" w:type="dxa"/>
            <w:gridSpan w:val="2"/>
            <w:noWrap w:val="0"/>
            <w:vAlign w:val="center"/>
          </w:tcPr>
          <w:p w14:paraId="548B1CB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规划环境影响</w:t>
            </w:r>
          </w:p>
          <w:p w14:paraId="535B27A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评价情况</w:t>
            </w:r>
          </w:p>
        </w:tc>
        <w:tc>
          <w:tcPr>
            <w:tcW w:w="7220" w:type="dxa"/>
            <w:gridSpan w:val="3"/>
            <w:noWrap w:val="0"/>
            <w:vAlign w:val="center"/>
          </w:tcPr>
          <w:p w14:paraId="73704DB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无</w:t>
            </w:r>
          </w:p>
        </w:tc>
      </w:tr>
      <w:tr w14:paraId="18B970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1650" w:type="dxa"/>
            <w:gridSpan w:val="2"/>
            <w:noWrap w:val="0"/>
            <w:vAlign w:val="center"/>
          </w:tcPr>
          <w:p w14:paraId="56AE68B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规划及规划环境影响评价符合性分析</w:t>
            </w:r>
          </w:p>
        </w:tc>
        <w:tc>
          <w:tcPr>
            <w:tcW w:w="7220" w:type="dxa"/>
            <w:gridSpan w:val="3"/>
            <w:noWrap w:val="0"/>
            <w:vAlign w:val="center"/>
          </w:tcPr>
          <w:p w14:paraId="01D72FF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无</w:t>
            </w:r>
          </w:p>
        </w:tc>
      </w:tr>
      <w:tr w14:paraId="74FAF5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90" w:hRule="atLeast"/>
        </w:trPr>
        <w:tc>
          <w:tcPr>
            <w:tcW w:w="519" w:type="dxa"/>
            <w:noWrap w:val="0"/>
            <w:vAlign w:val="center"/>
          </w:tcPr>
          <w:p w14:paraId="0859A65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其他符合性分析</w:t>
            </w:r>
          </w:p>
        </w:tc>
        <w:tc>
          <w:tcPr>
            <w:tcW w:w="8351" w:type="dxa"/>
            <w:gridSpan w:val="4"/>
            <w:noWrap w:val="0"/>
            <w:vAlign w:val="top"/>
          </w:tcPr>
          <w:p w14:paraId="2540CDDD">
            <w:pPr>
              <w:keepNext w:val="0"/>
              <w:keepLines w:val="0"/>
              <w:pageBreakBefore w:val="0"/>
              <w:widowControl w:val="0"/>
              <w:numPr>
                <w:ilvl w:val="0"/>
                <w:numId w:val="0"/>
              </w:numPr>
              <w:kinsoku/>
              <w:wordWrap/>
              <w:overflowPunct/>
              <w:topLinePunct w:val="0"/>
              <w:bidi w:val="0"/>
              <w:adjustRightInd/>
              <w:snapToGrid/>
              <w:spacing w:beforeAutospacing="0" w:afterAutospacing="0" w:line="360" w:lineRule="auto"/>
              <w:ind w:left="0" w:leftChars="0" w:right="0" w:firstLine="482" w:firstLineChars="200"/>
              <w:jc w:val="both"/>
              <w:textAlignment w:val="auto"/>
              <w:rPr>
                <w:rFonts w:hint="default" w:ascii="Times New Roman" w:hAnsi="Times New Roman" w:cs="Times New Roman"/>
                <w:b/>
                <w:bCs/>
                <w:u w:val="none"/>
                <w:lang w:val="en-US" w:eastAsia="zh-CN"/>
              </w:rPr>
            </w:pPr>
            <w:r>
              <w:rPr>
                <w:rFonts w:hint="default" w:ascii="Times New Roman" w:hAnsi="Times New Roman" w:eastAsia="宋体" w:cs="Times New Roman"/>
                <w:b/>
                <w:bCs/>
                <w:kern w:val="2"/>
                <w:sz w:val="24"/>
                <w:szCs w:val="24"/>
                <w:lang w:val="en-US" w:eastAsia="zh-CN" w:bidi="ar-SA"/>
              </w:rPr>
              <w:t>1、</w:t>
            </w:r>
            <w:r>
              <w:rPr>
                <w:rFonts w:hint="default" w:ascii="Times New Roman" w:hAnsi="Times New Roman" w:cs="Times New Roman"/>
                <w:b/>
                <w:bCs/>
                <w:u w:val="none"/>
                <w:lang w:val="en-US" w:eastAsia="zh-CN"/>
              </w:rPr>
              <w:t>“三线一单”符合性分析</w:t>
            </w:r>
          </w:p>
          <w:p w14:paraId="07758BDD">
            <w:pPr>
              <w:keepNext w:val="0"/>
              <w:keepLines w:val="0"/>
              <w:pageBreakBefore w:val="0"/>
              <w:widowControl w:val="0"/>
              <w:numPr>
                <w:ilvl w:val="0"/>
                <w:numId w:val="0"/>
              </w:numPr>
              <w:kinsoku/>
              <w:wordWrap/>
              <w:overflowPunct/>
              <w:topLinePunct w:val="0"/>
              <w:bidi w:val="0"/>
              <w:adjustRightInd/>
              <w:snapToGrid/>
              <w:spacing w:beforeAutospacing="0" w:afterAutospacing="0" w:line="360" w:lineRule="auto"/>
              <w:ind w:left="0" w:leftChars="0" w:right="0" w:firstLine="482" w:firstLineChars="200"/>
              <w:jc w:val="both"/>
              <w:textAlignment w:val="auto"/>
              <w:rPr>
                <w:rFonts w:hint="default" w:ascii="Times New Roman" w:hAnsi="Times New Roman" w:cs="Times New Roman"/>
                <w:b/>
                <w:bCs/>
                <w:u w:val="none"/>
                <w:lang w:val="en-US" w:eastAsia="zh-CN"/>
              </w:rPr>
            </w:pPr>
            <w:r>
              <w:rPr>
                <w:rFonts w:hint="default" w:ascii="Times New Roman" w:hAnsi="Times New Roman" w:cs="Times New Roman"/>
                <w:b/>
                <w:bCs/>
                <w:u w:val="none"/>
                <w:lang w:val="en-US" w:eastAsia="zh-CN"/>
              </w:rPr>
              <w:t>（1）生态保护红线</w:t>
            </w:r>
          </w:p>
          <w:p w14:paraId="3CA931B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lang w:val="en-US" w:eastAsia="zh-CN"/>
              </w:rPr>
            </w:pPr>
            <w:r>
              <w:rPr>
                <w:rFonts w:hint="default" w:ascii="Times New Roman" w:hAnsi="Times New Roman" w:cs="Times New Roman"/>
                <w:kern w:val="0"/>
                <w:sz w:val="24"/>
                <w:lang w:val="en-US" w:eastAsia="zh-CN"/>
              </w:rPr>
              <w:t>本项目位于南岳镇烧田村上粮组。根据南岳区南岳镇人民政府出具《关于南岳定点屠宰场项目选址的审查意见》（见附件</w:t>
            </w:r>
            <w:r>
              <w:rPr>
                <w:rFonts w:hint="eastAsia" w:ascii="Times New Roman" w:hAnsi="Times New Roman" w:cs="Times New Roman"/>
                <w:kern w:val="0"/>
                <w:sz w:val="24"/>
                <w:lang w:val="en-US" w:eastAsia="zh-CN"/>
              </w:rPr>
              <w:t>2</w:t>
            </w:r>
            <w:r>
              <w:rPr>
                <w:rFonts w:hint="default" w:ascii="Times New Roman" w:hAnsi="Times New Roman" w:cs="Times New Roman"/>
                <w:kern w:val="0"/>
                <w:sz w:val="24"/>
                <w:lang w:val="en-US" w:eastAsia="zh-CN"/>
              </w:rPr>
              <w:t>），本项目不在生态保护红线内。</w:t>
            </w:r>
          </w:p>
          <w:p w14:paraId="2632399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kern w:val="0"/>
                <w:sz w:val="24"/>
                <w:lang w:val="en-US" w:eastAsia="zh-CN"/>
              </w:rPr>
            </w:pPr>
            <w:r>
              <w:rPr>
                <w:rFonts w:hint="default" w:ascii="Times New Roman" w:hAnsi="Times New Roman" w:cs="Times New Roman"/>
                <w:b/>
                <w:bCs/>
                <w:kern w:val="0"/>
                <w:sz w:val="24"/>
                <w:lang w:val="en-US" w:eastAsia="zh-CN"/>
              </w:rPr>
              <w:t xml:space="preserve">（2）环境质量底线 </w:t>
            </w:r>
          </w:p>
          <w:p w14:paraId="41EDE8E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项目区域环境空气质量满足《环境空气质量标准》（GB3095-2012）二级标准要求，地表水能满足《地表水环境质量标准》（GB3838-2002）中</w:t>
            </w:r>
            <w:r>
              <w:rPr>
                <w:rFonts w:hint="default" w:ascii="Times New Roman" w:hAnsi="Times New Roman" w:eastAsia="宋体" w:cs="Times New Roman"/>
                <w:kern w:val="0"/>
                <w:sz w:val="24"/>
                <w:lang w:val="en-US" w:eastAsia="zh-CN"/>
              </w:rPr>
              <w:t>Ⅲ</w:t>
            </w:r>
            <w:r>
              <w:rPr>
                <w:rFonts w:hint="default" w:ascii="Times New Roman" w:hAnsi="Times New Roman" w:cs="Times New Roman"/>
                <w:kern w:val="0"/>
                <w:sz w:val="24"/>
                <w:lang w:val="en-US" w:eastAsia="zh-CN"/>
              </w:rPr>
              <w:t>水质要求；声环境质量达到《声环境质量标准》（GB3096-2008）2类标准要求。项目建成后不会改变周边环境功能，不突破环境质量底线。</w:t>
            </w:r>
          </w:p>
          <w:p w14:paraId="56AC257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kern w:val="0"/>
                <w:sz w:val="24"/>
                <w:lang w:val="en-US" w:eastAsia="zh-CN"/>
              </w:rPr>
            </w:pPr>
            <w:r>
              <w:rPr>
                <w:rFonts w:hint="default" w:ascii="Times New Roman" w:hAnsi="Times New Roman" w:cs="Times New Roman"/>
                <w:b/>
                <w:bCs/>
                <w:kern w:val="0"/>
                <w:sz w:val="24"/>
                <w:lang w:val="en-US" w:eastAsia="zh-CN"/>
              </w:rPr>
              <w:t>（3）项目与资源利用上线相符性分析</w:t>
            </w:r>
            <w:r>
              <w:rPr>
                <w:rFonts w:hint="default" w:ascii="Times New Roman" w:hAnsi="Times New Roman" w:cs="Times New Roman"/>
                <w:kern w:val="0"/>
                <w:sz w:val="24"/>
                <w:lang w:val="en-US" w:eastAsia="zh-CN"/>
              </w:rPr>
              <w:t xml:space="preserve"> </w:t>
            </w:r>
          </w:p>
          <w:p w14:paraId="76E99066">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本项目位于南岳镇烧田村上粮组，根据南岳区南岳镇人民政府出具</w:t>
            </w:r>
            <w:r>
              <w:rPr>
                <w:rFonts w:hint="eastAsia" w:cs="Times New Roman"/>
                <w:kern w:val="0"/>
                <w:sz w:val="24"/>
                <w:lang w:val="en-US" w:eastAsia="zh-CN"/>
              </w:rPr>
              <w:t>的</w:t>
            </w:r>
            <w:r>
              <w:rPr>
                <w:rFonts w:hint="default" w:ascii="Times New Roman" w:hAnsi="Times New Roman" w:cs="Times New Roman"/>
                <w:kern w:val="0"/>
                <w:sz w:val="24"/>
                <w:lang w:val="en-US" w:eastAsia="zh-CN"/>
              </w:rPr>
              <w:t>《关于南岳定点屠宰场项目选址的审查意见》（见附件</w:t>
            </w:r>
            <w:r>
              <w:rPr>
                <w:rFonts w:hint="eastAsia" w:ascii="Times New Roman" w:hAnsi="Times New Roman" w:cs="Times New Roman"/>
                <w:kern w:val="0"/>
                <w:sz w:val="24"/>
                <w:lang w:val="en-US" w:eastAsia="zh-CN"/>
              </w:rPr>
              <w:t>2</w:t>
            </w:r>
            <w:r>
              <w:rPr>
                <w:rFonts w:hint="default" w:ascii="Times New Roman" w:hAnsi="Times New Roman" w:cs="Times New Roman"/>
                <w:kern w:val="0"/>
                <w:sz w:val="24"/>
                <w:lang w:val="en-US" w:eastAsia="zh-CN"/>
              </w:rPr>
              <w:t>）以及衡阳市生态环境局</w:t>
            </w:r>
            <w:r>
              <w:rPr>
                <w:rFonts w:hint="eastAsia" w:cs="Times New Roman"/>
                <w:kern w:val="0"/>
                <w:sz w:val="24"/>
                <w:lang w:val="en-US" w:eastAsia="zh-CN"/>
              </w:rPr>
              <w:t>南岳</w:t>
            </w:r>
            <w:r>
              <w:rPr>
                <w:rFonts w:hint="default" w:ascii="Times New Roman" w:hAnsi="Times New Roman" w:cs="Times New Roman"/>
                <w:kern w:val="0"/>
                <w:sz w:val="24"/>
                <w:lang w:val="en-US" w:eastAsia="zh-CN"/>
              </w:rPr>
              <w:t>分局</w:t>
            </w:r>
            <w:r>
              <w:rPr>
                <w:rFonts w:hint="default" w:ascii="Times New Roman" w:hAnsi="Times New Roman" w:eastAsia="宋体" w:cs="Times New Roman"/>
                <w:kern w:val="0"/>
                <w:sz w:val="24"/>
                <w:lang w:val="en-US" w:eastAsia="zh-CN"/>
              </w:rPr>
              <w:t>《关于南岳镇生猪定点B类屠宰场建设项目的选址审查意见》（附件</w:t>
            </w:r>
            <w:r>
              <w:rPr>
                <w:rFonts w:hint="eastAsia" w:ascii="Times New Roman" w:hAnsi="Times New Roman" w:cs="Times New Roman"/>
                <w:kern w:val="0"/>
                <w:sz w:val="24"/>
                <w:lang w:val="en-US" w:eastAsia="zh-CN"/>
              </w:rPr>
              <w:t>3</w:t>
            </w:r>
            <w:r>
              <w:rPr>
                <w:rFonts w:hint="default" w:ascii="Times New Roman" w:hAnsi="Times New Roman" w:eastAsia="宋体" w:cs="Times New Roman"/>
                <w:kern w:val="0"/>
                <w:sz w:val="24"/>
                <w:lang w:val="en-US" w:eastAsia="zh-CN"/>
              </w:rPr>
              <w:t>）</w:t>
            </w:r>
            <w:r>
              <w:rPr>
                <w:rFonts w:hint="default" w:ascii="Times New Roman" w:hAnsi="Times New Roman" w:cs="Times New Roman"/>
                <w:kern w:val="0"/>
                <w:sz w:val="24"/>
                <w:lang w:val="en-US" w:eastAsia="zh-CN"/>
              </w:rPr>
              <w:t>，建设用地不涉及各类自然保护地、生态保护红线和永久基本农田。项目消耗能源为电能，项目用电量相对较少，占区域总用电比例较少。项目用水为自来水，通过自来水公司管</w:t>
            </w:r>
            <w:r>
              <w:rPr>
                <w:rFonts w:hint="eastAsia" w:ascii="宋体" w:hAnsi="宋体" w:eastAsia="宋体" w:cs="宋体"/>
                <w:kern w:val="0"/>
                <w:sz w:val="24"/>
                <w:lang w:val="en-US" w:eastAsia="zh-CN"/>
              </w:rPr>
              <w:t>网提供用水。项目不开采地下水，不会和区域水资源供给产生明显矛盾。项目以“节能、降耗、减污”为目</w:t>
            </w:r>
            <w:r>
              <w:rPr>
                <w:rFonts w:hint="default" w:ascii="Times New Roman" w:hAnsi="Times New Roman" w:cs="Times New Roman"/>
                <w:kern w:val="0"/>
                <w:sz w:val="24"/>
                <w:lang w:val="en-US" w:eastAsia="zh-CN"/>
              </w:rPr>
              <w:t>标，资源消耗量相对区域资源利用量较少，符合资源利用上</w:t>
            </w:r>
            <w:r>
              <w:rPr>
                <w:rFonts w:hint="eastAsia" w:cs="Times New Roman"/>
                <w:kern w:val="0"/>
                <w:sz w:val="24"/>
                <w:lang w:val="en-US" w:eastAsia="zh-CN"/>
              </w:rPr>
              <w:t>限</w:t>
            </w:r>
            <w:r>
              <w:rPr>
                <w:rFonts w:hint="default" w:ascii="Times New Roman" w:hAnsi="Times New Roman" w:cs="Times New Roman"/>
                <w:kern w:val="0"/>
                <w:sz w:val="24"/>
                <w:lang w:val="en-US" w:eastAsia="zh-CN"/>
              </w:rPr>
              <w:t>的要求。</w:t>
            </w:r>
          </w:p>
          <w:p w14:paraId="2CD5F1A1">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kern w:val="0"/>
                <w:sz w:val="24"/>
                <w:lang w:val="en-US" w:eastAsia="zh-CN"/>
              </w:rPr>
            </w:pPr>
            <w:r>
              <w:rPr>
                <w:rFonts w:hint="default" w:ascii="Times New Roman" w:hAnsi="Times New Roman" w:eastAsia="宋体" w:cs="Times New Roman"/>
                <w:b/>
                <w:bCs/>
                <w:kern w:val="0"/>
                <w:sz w:val="24"/>
                <w:szCs w:val="24"/>
                <w:lang w:val="en-US" w:eastAsia="zh-CN" w:bidi="ar-SA"/>
              </w:rPr>
              <w:t>（4）</w:t>
            </w:r>
            <w:r>
              <w:rPr>
                <w:rFonts w:hint="default" w:ascii="Times New Roman" w:hAnsi="Times New Roman" w:cs="Times New Roman"/>
                <w:b/>
                <w:bCs/>
                <w:kern w:val="0"/>
                <w:sz w:val="24"/>
                <w:lang w:val="en-US" w:eastAsia="zh-CN"/>
              </w:rPr>
              <w:t>生态环境准入清单相符性分析</w:t>
            </w:r>
          </w:p>
          <w:p w14:paraId="349690B4">
            <w:pPr>
              <w:keepNext w:val="0"/>
              <w:keepLines w:val="0"/>
              <w:pageBreakBefore w:val="0"/>
              <w:widowControl w:val="0"/>
              <w:numPr>
                <w:ilvl w:val="0"/>
                <w:numId w:val="0"/>
              </w:numPr>
              <w:kinsoku/>
              <w:wordWrap/>
              <w:overflowPunct/>
              <w:topLinePunct w:val="0"/>
              <w:autoSpaceDE w:val="0"/>
              <w:autoSpaceDN w:val="0"/>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根据《衡阳市生态环境局关于发布衡阳市生态环境分区管控更新成果</w:t>
            </w:r>
            <w:r>
              <w:rPr>
                <w:rFonts w:hint="eastAsia" w:cs="Times New Roman"/>
                <w:kern w:val="0"/>
                <w:sz w:val="24"/>
                <w:lang w:val="en-US" w:eastAsia="zh-CN"/>
              </w:rPr>
              <w:t>（</w:t>
            </w:r>
            <w:r>
              <w:rPr>
                <w:rFonts w:hint="default" w:ascii="Times New Roman" w:hAnsi="Times New Roman" w:cs="Times New Roman"/>
                <w:kern w:val="0"/>
                <w:sz w:val="24"/>
                <w:lang w:val="en-US" w:eastAsia="zh-CN"/>
              </w:rPr>
              <w:t>2023年版</w:t>
            </w:r>
            <w:r>
              <w:rPr>
                <w:rFonts w:hint="eastAsia" w:cs="Times New Roman"/>
                <w:kern w:val="0"/>
                <w:sz w:val="24"/>
                <w:lang w:val="en-US" w:eastAsia="zh-CN"/>
              </w:rPr>
              <w:t>）</w:t>
            </w:r>
            <w:r>
              <w:rPr>
                <w:rFonts w:hint="default" w:ascii="Times New Roman" w:hAnsi="Times New Roman" w:cs="Times New Roman"/>
                <w:kern w:val="0"/>
                <w:sz w:val="24"/>
                <w:lang w:val="en-US" w:eastAsia="zh-CN"/>
              </w:rPr>
              <w:t>的通知》（衡环发〔2023〕194号）中衡阳市生态环境准入清单，本项目所属管控单位为南岳镇/寿岳乡，环境管控单元编码为ZH43041210001，属优先保护单元，本项目与其相符性分析见下表1-1。</w:t>
            </w:r>
          </w:p>
          <w:p w14:paraId="585EBD50">
            <w:pPr>
              <w:pageBreakBefore w:val="0"/>
              <w:numPr>
                <w:ilvl w:val="0"/>
                <w:numId w:val="0"/>
              </w:numPr>
              <w:wordWrap/>
              <w:overflowPunct/>
              <w:autoSpaceDE w:val="0"/>
              <w:autoSpaceDN w:val="0"/>
              <w:spacing w:beforeAutospacing="0" w:afterAutospacing="0" w:line="360" w:lineRule="auto"/>
              <w:ind w:left="0" w:leftChars="0" w:right="0"/>
              <w:jc w:val="center"/>
              <w:rPr>
                <w:rFonts w:hint="default" w:ascii="Times New Roman" w:hAnsi="Times New Roman" w:cs="Times New Roman"/>
                <w:b/>
                <w:bCs/>
                <w:kern w:val="0"/>
                <w:sz w:val="21"/>
                <w:szCs w:val="21"/>
                <w:lang w:val="en-US" w:eastAsia="zh-CN"/>
              </w:rPr>
            </w:pPr>
            <w:r>
              <w:rPr>
                <w:rFonts w:hint="default" w:ascii="Times New Roman" w:hAnsi="Times New Roman" w:cs="Times New Roman"/>
                <w:b/>
                <w:bCs/>
                <w:kern w:val="0"/>
                <w:sz w:val="21"/>
                <w:szCs w:val="21"/>
                <w:lang w:val="en-US" w:eastAsia="zh-CN"/>
              </w:rPr>
              <w:t>表1-1 本项目与衡阳市生态环境准入清单对比</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1"/>
              <w:gridCol w:w="3755"/>
              <w:gridCol w:w="3344"/>
              <w:gridCol w:w="465"/>
            </w:tblGrid>
            <w:tr w14:paraId="4BA98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5" w:type="pct"/>
                  <w:noWrap w:val="0"/>
                  <w:vAlign w:val="center"/>
                </w:tcPr>
                <w:p w14:paraId="714818CC">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管控维度</w:t>
                  </w:r>
                </w:p>
              </w:tc>
              <w:tc>
                <w:tcPr>
                  <w:tcW w:w="2310" w:type="pct"/>
                  <w:noWrap w:val="0"/>
                  <w:vAlign w:val="center"/>
                </w:tcPr>
                <w:p w14:paraId="49AD0CAE">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管控要求</w:t>
                  </w:r>
                </w:p>
              </w:tc>
              <w:tc>
                <w:tcPr>
                  <w:tcW w:w="2057" w:type="pct"/>
                  <w:noWrap w:val="0"/>
                  <w:vAlign w:val="center"/>
                </w:tcPr>
                <w:p w14:paraId="7A06AB10">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本项目情况</w:t>
                  </w:r>
                </w:p>
              </w:tc>
              <w:tc>
                <w:tcPr>
                  <w:tcW w:w="286" w:type="pct"/>
                  <w:noWrap w:val="0"/>
                  <w:vAlign w:val="center"/>
                </w:tcPr>
                <w:p w14:paraId="7EE78B95">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符合性</w:t>
                  </w:r>
                </w:p>
              </w:tc>
            </w:tr>
            <w:tr w14:paraId="0B88E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5" w:type="pct"/>
                  <w:noWrap w:val="0"/>
                  <w:vAlign w:val="center"/>
                </w:tcPr>
                <w:p w14:paraId="3B504056">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空间布局约束</w:t>
                  </w:r>
                </w:p>
              </w:tc>
              <w:tc>
                <w:tcPr>
                  <w:tcW w:w="2310" w:type="pct"/>
                  <w:noWrap w:val="0"/>
                  <w:vAlign w:val="center"/>
                </w:tcPr>
                <w:p w14:paraId="5CD68328">
                  <w:pPr>
                    <w:keepNext w:val="0"/>
                    <w:keepLines w:val="0"/>
                    <w:pageBreakBefore w:val="0"/>
                    <w:widowControl w:val="0"/>
                    <w:numPr>
                      <w:ilvl w:val="1"/>
                      <w:numId w:val="0"/>
                    </w:numPr>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（1.1）构建稳定的市域森林生态系统，实施南岳衡山山体治理，构筑衡阳盆地外围生态屏障。（1.2）优化县域产业发展布局，南岳区严禁高耗能、高排放等产业转入，维护和加强生态安全屏障</w:t>
                  </w:r>
                </w:p>
              </w:tc>
              <w:tc>
                <w:tcPr>
                  <w:tcW w:w="2057" w:type="pct"/>
                  <w:noWrap w:val="0"/>
                  <w:vAlign w:val="center"/>
                </w:tcPr>
                <w:p w14:paraId="5FCC319C">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both"/>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（1.1）项目用地未占用林地，不影响市域森林生态系统的构建。</w:t>
                  </w:r>
                </w:p>
                <w:p w14:paraId="6EB450D0">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both"/>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（1.2）该项目不属于高耗能、高排放项目。</w:t>
                  </w:r>
                </w:p>
              </w:tc>
              <w:tc>
                <w:tcPr>
                  <w:tcW w:w="286" w:type="pct"/>
                  <w:noWrap w:val="0"/>
                  <w:vAlign w:val="center"/>
                </w:tcPr>
                <w:p w14:paraId="1E168949">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符合</w:t>
                  </w:r>
                </w:p>
              </w:tc>
            </w:tr>
            <w:tr w14:paraId="65EFE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5" w:type="pct"/>
                  <w:noWrap w:val="0"/>
                  <w:vAlign w:val="center"/>
                </w:tcPr>
                <w:p w14:paraId="11C75B04">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污染物排放管控</w:t>
                  </w:r>
                </w:p>
              </w:tc>
              <w:tc>
                <w:tcPr>
                  <w:tcW w:w="2310" w:type="pct"/>
                  <w:noWrap w:val="0"/>
                  <w:vAlign w:val="center"/>
                </w:tcPr>
                <w:p w14:paraId="19973A32">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2.1）推进农村生活污水治理规划与设施建设、运行、监管相统一，基本消除较大面积的农村黑臭水体。推进城乡环境基础设施建设，提高污水、垃圾、固体废物、危险废物等处理处置、监测监管水平。建立健全乡镇污水处理设施运营长效机制。加强自然保护地污染防治。持续开展南岳自然保护区、风景名胜区、地质公园等自然保护地强化监管，全面完成风景区生活污水处理设施提标改造，实现全山生活污水稳定达标排放。</w:t>
                  </w:r>
                </w:p>
                <w:p w14:paraId="50719C8E">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持续推进龙荫港流域水环境保护和水生态文明建设，确保龙荫港干流水质稳定达到Ⅲ类标准并逐年改善。（2.2）加强汽修行业VOCs综合治理，落实</w:t>
                  </w:r>
                  <w:r>
                    <w:rPr>
                      <w:rFonts w:hint="eastAsia" w:ascii="宋体" w:hAnsi="宋体" w:eastAsia="宋体" w:cs="宋体"/>
                      <w:kern w:val="0"/>
                      <w:sz w:val="21"/>
                      <w:szCs w:val="21"/>
                      <w:vertAlign w:val="baseline"/>
                      <w:lang w:val="en-US" w:eastAsia="zh-CN"/>
                    </w:rPr>
                    <w:t>“</w:t>
                  </w:r>
                  <w:r>
                    <w:rPr>
                      <w:rFonts w:hint="default" w:ascii="Times New Roman" w:hAnsi="Times New Roman" w:cs="Times New Roman"/>
                      <w:kern w:val="0"/>
                      <w:sz w:val="21"/>
                      <w:szCs w:val="21"/>
                      <w:vertAlign w:val="baseline"/>
                      <w:lang w:val="en-US" w:eastAsia="zh-CN"/>
                    </w:rPr>
                    <w:t>源头</w:t>
                  </w:r>
                  <w:r>
                    <w:rPr>
                      <w:rFonts w:hint="eastAsia" w:cs="Times New Roman"/>
                      <w:kern w:val="0"/>
                      <w:sz w:val="21"/>
                      <w:szCs w:val="21"/>
                      <w:vertAlign w:val="baseline"/>
                      <w:lang w:val="en-US" w:eastAsia="zh-CN"/>
                    </w:rPr>
                    <w:t>—</w:t>
                  </w:r>
                  <w:r>
                    <w:rPr>
                      <w:rFonts w:hint="default" w:ascii="Times New Roman" w:hAnsi="Times New Roman" w:cs="Times New Roman"/>
                      <w:kern w:val="0"/>
                      <w:sz w:val="21"/>
                      <w:szCs w:val="21"/>
                      <w:vertAlign w:val="baseline"/>
                      <w:lang w:val="en-US" w:eastAsia="zh-CN"/>
                    </w:rPr>
                    <w:t>过程</w:t>
                  </w:r>
                  <w:r>
                    <w:rPr>
                      <w:rFonts w:hint="eastAsia" w:cs="Times New Roman"/>
                      <w:kern w:val="0"/>
                      <w:sz w:val="21"/>
                      <w:szCs w:val="21"/>
                      <w:vertAlign w:val="baseline"/>
                      <w:lang w:val="en-US" w:eastAsia="zh-CN"/>
                    </w:rPr>
                    <w:t>—</w:t>
                  </w:r>
                  <w:r>
                    <w:rPr>
                      <w:rFonts w:hint="default" w:ascii="Times New Roman" w:hAnsi="Times New Roman" w:cs="Times New Roman"/>
                      <w:kern w:val="0"/>
                      <w:sz w:val="21"/>
                      <w:szCs w:val="21"/>
                      <w:vertAlign w:val="baseline"/>
                      <w:lang w:val="en-US" w:eastAsia="zh-CN"/>
                    </w:rPr>
                    <w:t>末端</w:t>
                  </w:r>
                  <w:r>
                    <w:rPr>
                      <w:rFonts w:hint="eastAsia" w:cs="Times New Roman"/>
                      <w:kern w:val="0"/>
                      <w:sz w:val="21"/>
                      <w:szCs w:val="21"/>
                      <w:vertAlign w:val="baseline"/>
                      <w:lang w:val="en-US" w:eastAsia="zh-CN"/>
                    </w:rPr>
                    <w:t>—</w:t>
                  </w:r>
                  <w:r>
                    <w:rPr>
                      <w:rFonts w:hint="default" w:ascii="Times New Roman" w:hAnsi="Times New Roman" w:cs="Times New Roman"/>
                      <w:kern w:val="0"/>
                      <w:sz w:val="21"/>
                      <w:szCs w:val="21"/>
                      <w:vertAlign w:val="baseline"/>
                      <w:lang w:val="en-US" w:eastAsia="zh-CN"/>
                    </w:rPr>
                    <w:t>运维</w:t>
                  </w:r>
                  <w:r>
                    <w:rPr>
                      <w:rFonts w:hint="eastAsia" w:ascii="宋体" w:hAnsi="宋体" w:eastAsia="宋体" w:cs="宋体"/>
                      <w:kern w:val="0"/>
                      <w:sz w:val="21"/>
                      <w:szCs w:val="21"/>
                      <w:vertAlign w:val="baseline"/>
                      <w:lang w:val="en-US" w:eastAsia="zh-CN"/>
                    </w:rPr>
                    <w:t>”</w:t>
                  </w:r>
                  <w:r>
                    <w:rPr>
                      <w:rFonts w:hint="default" w:ascii="Times New Roman" w:hAnsi="Times New Roman" w:cs="Times New Roman"/>
                      <w:kern w:val="0"/>
                      <w:sz w:val="21"/>
                      <w:szCs w:val="21"/>
                      <w:vertAlign w:val="baseline"/>
                      <w:lang w:val="en-US" w:eastAsia="zh-CN"/>
                    </w:rPr>
                    <w:t>全过程管控。禁止建设生产VOCs含量限制不符合国家标准的涂料、油墨、胶粘剂、清洗剂等项目，大力推行低VOCs含量原辅材料源头替代和生产工艺设备改进提升，减少源头排放。加强VOCs无组织排放控制，实行重点排放源排放浓度与去除效率双重控制。</w:t>
                  </w:r>
                </w:p>
              </w:tc>
              <w:tc>
                <w:tcPr>
                  <w:tcW w:w="2057" w:type="pct"/>
                  <w:noWrap w:val="0"/>
                  <w:vAlign w:val="center"/>
                </w:tcPr>
                <w:p w14:paraId="6B8C12F5">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FF0000"/>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（2.1）该项目污水经自建污水处理站处理，</w:t>
                  </w:r>
                  <w:r>
                    <w:rPr>
                      <w:rFonts w:hint="default" w:ascii="Times New Roman" w:hAnsi="Times New Roman" w:cs="Times New Roman"/>
                      <w:color w:val="000000" w:themeColor="text1"/>
                      <w:kern w:val="0"/>
                      <w:sz w:val="21"/>
                      <w:szCs w:val="21"/>
                      <w:vertAlign w:val="baseline"/>
                      <w:lang w:val="en-US" w:eastAsia="zh-CN"/>
                      <w14:textFill>
                        <w14:solidFill>
                          <w14:schemeClr w14:val="tx1"/>
                        </w14:solidFill>
                      </w14:textFill>
                    </w:rPr>
                    <w:t>达到《肉类加工工业水污染排放标准》（GB13457-92）与污水处理厂纳管标准，再经南岳区污水处理厂处理后达标排放；</w:t>
                  </w:r>
                  <w:r>
                    <w:rPr>
                      <w:rFonts w:hint="default" w:ascii="Times New Roman" w:hAnsi="Times New Roman" w:cs="Times New Roman"/>
                      <w:kern w:val="0"/>
                      <w:sz w:val="21"/>
                      <w:szCs w:val="21"/>
                      <w:vertAlign w:val="baseline"/>
                      <w:lang w:val="en-US" w:eastAsia="zh-CN"/>
                    </w:rPr>
                    <w:t>项目生活垃圾交由环卫部门处理；项目一般固体废物收集后外售或作农肥。</w:t>
                  </w:r>
                  <w:r>
                    <w:rPr>
                      <w:rFonts w:hint="eastAsia" w:cs="Times New Roman"/>
                      <w:kern w:val="0"/>
                      <w:sz w:val="21"/>
                      <w:szCs w:val="21"/>
                      <w:vertAlign w:val="baseline"/>
                      <w:lang w:val="en-US" w:eastAsia="zh-CN"/>
                    </w:rPr>
                    <w:t>病死猪及不合格病肉等产品</w:t>
                  </w:r>
                  <w:r>
                    <w:rPr>
                      <w:rFonts w:hint="default" w:ascii="Times New Roman" w:hAnsi="Times New Roman" w:cs="Times New Roman"/>
                      <w:kern w:val="0"/>
                      <w:sz w:val="21"/>
                      <w:szCs w:val="21"/>
                      <w:vertAlign w:val="baseline"/>
                      <w:lang w:val="en-US" w:eastAsia="zh-CN"/>
                    </w:rPr>
                    <w:t>收集后交由有资质单位处理。</w:t>
                  </w:r>
                  <w:r>
                    <w:rPr>
                      <w:rFonts w:hint="default" w:ascii="Times New Roman" w:hAnsi="Times New Roman" w:cs="Times New Roman"/>
                      <w:color w:val="000000" w:themeColor="text1"/>
                      <w:kern w:val="0"/>
                      <w:sz w:val="21"/>
                      <w:szCs w:val="21"/>
                      <w:vertAlign w:val="baseline"/>
                      <w:lang w:val="en-US" w:eastAsia="zh-CN"/>
                      <w14:textFill>
                        <w14:solidFill>
                          <w14:schemeClr w14:val="tx1"/>
                        </w14:solidFill>
                      </w14:textFill>
                    </w:rPr>
                    <w:t>本项目外排废水为间接排放，不直排，对龙荫港水质影响较小。</w:t>
                  </w:r>
                </w:p>
                <w:p w14:paraId="078B0828">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（2.2）项目不涉及VOCs产生。</w:t>
                  </w:r>
                </w:p>
              </w:tc>
              <w:tc>
                <w:tcPr>
                  <w:tcW w:w="286" w:type="pct"/>
                  <w:noWrap w:val="0"/>
                  <w:vAlign w:val="center"/>
                </w:tcPr>
                <w:p w14:paraId="075D13F3">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符合</w:t>
                  </w:r>
                </w:p>
              </w:tc>
            </w:tr>
            <w:tr w14:paraId="36696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5" w:type="pct"/>
                  <w:noWrap w:val="0"/>
                  <w:vAlign w:val="center"/>
                </w:tcPr>
                <w:p w14:paraId="040C0D66">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环境风险防控</w:t>
                  </w:r>
                </w:p>
              </w:tc>
              <w:tc>
                <w:tcPr>
                  <w:tcW w:w="2310" w:type="pct"/>
                  <w:noWrap w:val="0"/>
                  <w:vAlign w:val="center"/>
                </w:tcPr>
                <w:p w14:paraId="5CAB32F7">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3.1）以动态预警为切入点，加强环境风险监控预警应急体系建设，建立健全重污染天气、饮用水源监测预警预报和应急响应体系，切实提升应对突发环境事件的风险防控和处置能力。（3.2）强化农用投入品管控，推广可降解地膜及农产品包装、环保高效肥料、绿色环保农药、昆虫诱食剂等绿色投入品使用。</w:t>
                  </w:r>
                </w:p>
              </w:tc>
              <w:tc>
                <w:tcPr>
                  <w:tcW w:w="2057" w:type="pct"/>
                  <w:noWrap w:val="0"/>
                  <w:vAlign w:val="center"/>
                </w:tcPr>
                <w:p w14:paraId="6F076E8F">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（3.1）为了加强环境风险防控和应急管理，项目建成后根据企业实际情况，编制突发环境应急预案并备案。</w:t>
                  </w:r>
                </w:p>
                <w:p w14:paraId="084A679A">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（3.2）项目不涉及农用投入品。</w:t>
                  </w:r>
                </w:p>
              </w:tc>
              <w:tc>
                <w:tcPr>
                  <w:tcW w:w="286" w:type="pct"/>
                  <w:noWrap w:val="0"/>
                  <w:vAlign w:val="center"/>
                </w:tcPr>
                <w:p w14:paraId="3DEEEE1C">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符合</w:t>
                  </w:r>
                </w:p>
              </w:tc>
            </w:tr>
            <w:tr w14:paraId="04797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5" w:type="pct"/>
                  <w:noWrap w:val="0"/>
                  <w:vAlign w:val="center"/>
                </w:tcPr>
                <w:p w14:paraId="79A07902">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资源开发效率要求</w:t>
                  </w:r>
                </w:p>
              </w:tc>
              <w:tc>
                <w:tcPr>
                  <w:tcW w:w="2310" w:type="pct"/>
                  <w:noWrap w:val="0"/>
                  <w:vAlign w:val="center"/>
                </w:tcPr>
                <w:p w14:paraId="4E5FB0CB">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4.1）能源：鼓励企业使用清洁能源，营造全社会节能减排和保护环境的良好氛围。激发用户侧可再生能源电力需求，鼓励用户绿色出行。（4.2）水资源：落实水资源消耗总量和强度双控行动，推动经济社会发展布局与水资源承载能力相适应。</w:t>
                  </w:r>
                </w:p>
              </w:tc>
              <w:tc>
                <w:tcPr>
                  <w:tcW w:w="2057" w:type="pct"/>
                  <w:noWrap w:val="0"/>
                  <w:vAlign w:val="center"/>
                </w:tcPr>
                <w:p w14:paraId="188C8557">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（4.1）企业使用电能，属于清洁能源。</w:t>
                  </w:r>
                </w:p>
                <w:p w14:paraId="285D99FC">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（4.2）</w:t>
                  </w:r>
                  <w:r>
                    <w:rPr>
                      <w:rFonts w:hint="default" w:ascii="Times New Roman" w:hAnsi="Times New Roman" w:cs="Times New Roman"/>
                      <w:color w:val="000000" w:themeColor="text1"/>
                      <w:kern w:val="0"/>
                      <w:sz w:val="21"/>
                      <w:szCs w:val="21"/>
                      <w:vertAlign w:val="baseline"/>
                      <w:lang w:val="en-US" w:eastAsia="zh-CN"/>
                      <w14:textFill>
                        <w14:solidFill>
                          <w14:schemeClr w14:val="tx1"/>
                        </w14:solidFill>
                      </w14:textFill>
                    </w:rPr>
                    <w:t>企业用水来自于市政自来水管网供水，本项目采取节水工艺，水资源消耗总量小、强度低。</w:t>
                  </w:r>
                </w:p>
              </w:tc>
              <w:tc>
                <w:tcPr>
                  <w:tcW w:w="286" w:type="pct"/>
                  <w:noWrap w:val="0"/>
                  <w:vAlign w:val="center"/>
                </w:tcPr>
                <w:p w14:paraId="18A05ECE">
                  <w:pPr>
                    <w:keepNext w:val="0"/>
                    <w:keepLines w:val="0"/>
                    <w:pageBreakBefore w:val="0"/>
                    <w:widowControl w:val="0"/>
                    <w:kinsoku/>
                    <w:wordWrap/>
                    <w:overflowPunct/>
                    <w:topLinePunct w:val="0"/>
                    <w:autoSpaceDE w:val="0"/>
                    <w:autoSpaceDN w:val="0"/>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vertAlign w:val="baseline"/>
                      <w:lang w:val="en-US" w:eastAsia="zh-CN"/>
                    </w:rPr>
                  </w:pPr>
                  <w:r>
                    <w:rPr>
                      <w:rFonts w:hint="default" w:ascii="Times New Roman" w:hAnsi="Times New Roman" w:cs="Times New Roman"/>
                      <w:kern w:val="0"/>
                      <w:sz w:val="21"/>
                      <w:szCs w:val="21"/>
                      <w:vertAlign w:val="baseline"/>
                      <w:lang w:val="en-US" w:eastAsia="zh-CN"/>
                    </w:rPr>
                    <w:t>符合</w:t>
                  </w:r>
                </w:p>
              </w:tc>
            </w:tr>
          </w:tbl>
          <w:p w14:paraId="522A6A6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综上所述，本项目符合国家及地方有关环境保护的政策、法规和管理文件要求，符合地方规划及环境功能区划，满足</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落实</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生态保护红线、环境质量底线、资源利用上线</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约束</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的要求，满足生态环境准入清单要求。</w:t>
            </w:r>
          </w:p>
          <w:p w14:paraId="2AA09049">
            <w:pPr>
              <w:keepNext w:val="0"/>
              <w:keepLines w:val="0"/>
              <w:pageBreakBefore w:val="0"/>
              <w:kinsoku/>
              <w:wordWrap/>
              <w:overflowPunct/>
              <w:topLinePunct w:val="0"/>
              <w:autoSpaceDE w:val="0"/>
              <w:autoSpaceDN w:val="0"/>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kern w:val="0"/>
                <w:sz w:val="24"/>
                <w:lang w:val="en-US" w:eastAsia="zh-CN"/>
              </w:rPr>
            </w:pPr>
            <w:r>
              <w:rPr>
                <w:rFonts w:hint="default" w:ascii="Times New Roman" w:hAnsi="Times New Roman" w:cs="Times New Roman"/>
                <w:b/>
                <w:bCs/>
                <w:kern w:val="0"/>
                <w:sz w:val="24"/>
                <w:lang w:val="en-US" w:eastAsia="zh-CN"/>
              </w:rPr>
              <w:t>2、产业政策符合性分析</w:t>
            </w:r>
          </w:p>
          <w:p w14:paraId="3C5A93F3">
            <w:pPr>
              <w:keepNext w:val="0"/>
              <w:keepLines w:val="0"/>
              <w:pageBreakBefore w:val="0"/>
              <w:widowControl/>
              <w:suppressLineNumbers w:val="0"/>
              <w:kinsoku/>
              <w:wordWrap/>
              <w:overflowPunct/>
              <w:topLinePunct w:val="0"/>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本项目属于牲畜屠宰项目，根据《产业结构调整指导目录（2024年本）》第二类</w:t>
            </w:r>
            <w:r>
              <w:rPr>
                <w:rFonts w:hint="eastAsia" w:ascii="宋体" w:hAnsi="宋体" w:eastAsia="宋体" w:cs="宋体"/>
                <w:kern w:val="0"/>
                <w:sz w:val="24"/>
                <w:lang w:val="en-US" w:eastAsia="zh-CN"/>
              </w:rPr>
              <w:t>“限制类”第十二条“轻工”第</w:t>
            </w:r>
            <w:r>
              <w:rPr>
                <w:rFonts w:hint="default" w:ascii="Times New Roman" w:hAnsi="Times New Roman" w:cs="Times New Roman"/>
                <w:kern w:val="0"/>
                <w:sz w:val="24"/>
                <w:lang w:val="en-US" w:eastAsia="zh-CN"/>
              </w:rPr>
              <w:t>二十四款</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年屠宰生猪 15 万头及以下、肉牛1万头及以下、肉羊 15万只及以下、活禽 1000万只及以下的屠宰建设项目(少数民族地区除外）</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。故本项目属于限制类建设项目。根据</w:t>
            </w:r>
            <w:r>
              <w:rPr>
                <w:rFonts w:hint="default" w:ascii="Times New Roman" w:hAnsi="Times New Roman" w:eastAsia="宋体" w:cs="Times New Roman"/>
                <w:kern w:val="0"/>
                <w:sz w:val="24"/>
                <w:lang w:val="en-US" w:eastAsia="zh-CN"/>
              </w:rPr>
              <w:t>《</w:t>
            </w:r>
            <w:r>
              <w:rPr>
                <w:rFonts w:hint="default" w:ascii="Times New Roman" w:hAnsi="Times New Roman" w:cs="Times New Roman"/>
                <w:kern w:val="0"/>
                <w:sz w:val="24"/>
                <w:lang w:val="en-US" w:eastAsia="zh-CN"/>
              </w:rPr>
              <w:t>生猪屠宰管理条例</w:t>
            </w:r>
            <w:r>
              <w:rPr>
                <w:rFonts w:hint="default" w:ascii="Times New Roman" w:hAnsi="Times New Roman" w:eastAsia="宋体" w:cs="Times New Roman"/>
                <w:kern w:val="0"/>
                <w:sz w:val="24"/>
                <w:lang w:val="en-US" w:eastAsia="zh-CN"/>
              </w:rPr>
              <w:t>》</w:t>
            </w:r>
            <w:r>
              <w:rPr>
                <w:rFonts w:hint="default" w:ascii="Times New Roman" w:hAnsi="Times New Roman" w:cs="Times New Roman"/>
                <w:kern w:val="0"/>
                <w:sz w:val="24"/>
                <w:lang w:val="en-US" w:eastAsia="zh-CN"/>
              </w:rPr>
              <w:t>（20</w:t>
            </w:r>
            <w:r>
              <w:rPr>
                <w:rFonts w:hint="eastAsia" w:cs="Times New Roman"/>
                <w:kern w:val="0"/>
                <w:sz w:val="24"/>
                <w:lang w:val="en-US" w:eastAsia="zh-CN"/>
              </w:rPr>
              <w:t>21年</w:t>
            </w:r>
            <w:r>
              <w:rPr>
                <w:rFonts w:hint="default" w:ascii="Times New Roman" w:hAnsi="Times New Roman" w:cs="Times New Roman"/>
                <w:kern w:val="0"/>
                <w:sz w:val="24"/>
                <w:lang w:val="en-US" w:eastAsia="zh-CN"/>
              </w:rPr>
              <w:t>修订）中</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第二条，</w:t>
            </w:r>
            <w:r>
              <w:rPr>
                <w:rFonts w:hint="default" w:ascii="Times New Roman" w:hAnsi="Times New Roman" w:cs="Times New Roman"/>
                <w:kern w:val="0"/>
                <w:sz w:val="24"/>
                <w:highlight w:val="yellow"/>
                <w:lang w:val="en-US" w:eastAsia="zh-CN"/>
              </w:rPr>
              <w:t>在边远和交通不便的农村地区</w:t>
            </w:r>
            <w:r>
              <w:rPr>
                <w:rFonts w:hint="default" w:ascii="Times New Roman" w:hAnsi="Times New Roman" w:cs="Times New Roman"/>
                <w:kern w:val="0"/>
                <w:sz w:val="24"/>
                <w:lang w:val="en-US" w:eastAsia="zh-CN"/>
              </w:rPr>
              <w:t>，可以设置仅限于本地市场供应生猪产品的小型生猪屠宰点，具体管理办法由省、自治区、直辖市制定</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以及湖南省农业农村厅于2022年1月24日制定发布的</w:t>
            </w:r>
            <w:r>
              <w:rPr>
                <w:rFonts w:hint="default" w:ascii="Times New Roman" w:hAnsi="Times New Roman" w:eastAsia="宋体" w:cs="Times New Roman"/>
                <w:kern w:val="0"/>
                <w:sz w:val="24"/>
                <w:lang w:val="en-US" w:eastAsia="zh-CN"/>
              </w:rPr>
              <w:t>《关于进一步规范小型生猪屠宰场点设置的意见》</w:t>
            </w:r>
            <w:r>
              <w:rPr>
                <w:rFonts w:hint="eastAsia" w:ascii="宋体" w:hAnsi="宋体" w:eastAsia="宋体" w:cs="宋体"/>
                <w:kern w:val="0"/>
                <w:sz w:val="24"/>
                <w:lang w:val="en-US" w:eastAsia="zh-CN"/>
              </w:rPr>
              <w:t>“</w:t>
            </w:r>
            <w:r>
              <w:rPr>
                <w:rFonts w:hint="default" w:ascii="Times New Roman" w:hAnsi="Times New Roman" w:eastAsia="宋体" w:cs="Times New Roman"/>
                <w:kern w:val="0"/>
                <w:sz w:val="24"/>
                <w:lang w:val="en-US" w:eastAsia="zh-CN"/>
              </w:rPr>
              <w:t>一、坚持科学规划。边远和交通不便的农村地区可设置小型生猪定点屠宰场点。各地应按照《生猪屠宰管理条例》规定</w:t>
            </w:r>
            <w:r>
              <w:rPr>
                <w:rFonts w:hint="eastAsia" w:ascii="宋体" w:hAnsi="宋体" w:eastAsia="宋体" w:cs="宋体"/>
                <w:kern w:val="0"/>
                <w:sz w:val="24"/>
                <w:lang w:val="en-US" w:eastAsia="zh-CN"/>
              </w:rPr>
              <w:t>,</w:t>
            </w:r>
            <w:r>
              <w:rPr>
                <w:rFonts w:hint="default" w:ascii="Times New Roman" w:hAnsi="Times New Roman" w:eastAsia="宋体" w:cs="Times New Roman"/>
                <w:kern w:val="0"/>
                <w:sz w:val="24"/>
                <w:lang w:val="en-US" w:eastAsia="zh-CN"/>
              </w:rPr>
              <w:t>本着便民、科学、合理的原则</w:t>
            </w:r>
            <w:r>
              <w:rPr>
                <w:rFonts w:hint="eastAsia" w:ascii="宋体" w:hAnsi="宋体" w:eastAsia="宋体" w:cs="宋体"/>
                <w:kern w:val="0"/>
                <w:sz w:val="24"/>
                <w:lang w:val="en-US" w:eastAsia="zh-CN"/>
              </w:rPr>
              <w:t>,</w:t>
            </w:r>
            <w:r>
              <w:rPr>
                <w:rFonts w:hint="default" w:ascii="Times New Roman" w:hAnsi="Times New Roman" w:eastAsia="宋体" w:cs="Times New Roman"/>
                <w:kern w:val="0"/>
                <w:sz w:val="24"/>
                <w:lang w:val="en-US" w:eastAsia="zh-CN"/>
              </w:rPr>
              <w:t>制定小型生猪定点屠宰场点设置规划,经县级人民政府批准后组织实施。</w:t>
            </w:r>
            <w:r>
              <w:rPr>
                <w:rFonts w:hint="eastAsia" w:ascii="宋体" w:hAnsi="宋体" w:eastAsia="宋体" w:cs="宋体"/>
                <w:kern w:val="0"/>
                <w:sz w:val="24"/>
                <w:lang w:val="en-US" w:eastAsia="zh-CN"/>
              </w:rPr>
              <w:t>”</w:t>
            </w:r>
            <w:r>
              <w:rPr>
                <w:rFonts w:hint="default" w:ascii="Times New Roman" w:hAnsi="Times New Roman" w:cs="Times New Roman"/>
                <w:kern w:val="0"/>
                <w:sz w:val="24"/>
                <w:lang w:val="en-US" w:eastAsia="zh-CN"/>
              </w:rPr>
              <w:t>，由于南岳</w:t>
            </w:r>
            <w:r>
              <w:rPr>
                <w:rFonts w:hint="eastAsia" w:cs="Times New Roman"/>
                <w:kern w:val="0"/>
                <w:sz w:val="24"/>
                <w:lang w:val="en-US" w:eastAsia="zh-CN"/>
              </w:rPr>
              <w:t>镇</w:t>
            </w:r>
            <w:r>
              <w:rPr>
                <w:rFonts w:hint="default" w:ascii="Times New Roman" w:hAnsi="Times New Roman" w:cs="Times New Roman"/>
                <w:kern w:val="0"/>
                <w:sz w:val="24"/>
                <w:lang w:val="en-US" w:eastAsia="zh-CN"/>
              </w:rPr>
              <w:t>未建立屠宰场，为了</w:t>
            </w:r>
            <w:r>
              <w:rPr>
                <w:rFonts w:hint="eastAsia" w:cs="Times New Roman"/>
                <w:kern w:val="0"/>
                <w:sz w:val="24"/>
                <w:lang w:val="en-US" w:eastAsia="zh-CN"/>
              </w:rPr>
              <w:t>满足</w:t>
            </w:r>
            <w:r>
              <w:rPr>
                <w:rFonts w:hint="default" w:ascii="Times New Roman" w:hAnsi="Times New Roman" w:cs="Times New Roman"/>
                <w:kern w:val="0"/>
                <w:sz w:val="24"/>
                <w:lang w:val="en-US" w:eastAsia="zh-CN"/>
              </w:rPr>
              <w:t>南岳</w:t>
            </w:r>
            <w:r>
              <w:rPr>
                <w:rFonts w:hint="eastAsia" w:cs="Times New Roman"/>
                <w:kern w:val="0"/>
                <w:sz w:val="24"/>
                <w:lang w:val="en-US" w:eastAsia="zh-CN"/>
              </w:rPr>
              <w:t>镇</w:t>
            </w:r>
            <w:r>
              <w:rPr>
                <w:rFonts w:hint="default" w:ascii="Times New Roman" w:hAnsi="Times New Roman" w:cs="Times New Roman"/>
                <w:kern w:val="0"/>
                <w:sz w:val="24"/>
                <w:lang w:val="en-US" w:eastAsia="zh-CN"/>
              </w:rPr>
              <w:t>居民生活需求，南岳区农业农村局特向湖南省畜牧水产事务中心申请建设1个小型生猪定点屠宰场。</w:t>
            </w:r>
            <w:r>
              <w:rPr>
                <w:rFonts w:hint="default" w:ascii="Times New Roman" w:hAnsi="Times New Roman" w:eastAsia="宋体" w:cs="Times New Roman"/>
                <w:highlight w:val="none"/>
                <w:u w:val="none"/>
                <w:lang w:val="en-US" w:eastAsia="zh-CN"/>
              </w:rPr>
              <w:t>湖南省畜牧水产事务中心</w:t>
            </w:r>
            <w:r>
              <w:rPr>
                <w:rFonts w:hint="default" w:ascii="Times New Roman" w:hAnsi="Times New Roman" w:cs="Times New Roman"/>
                <w:highlight w:val="none"/>
                <w:u w:val="none"/>
                <w:lang w:val="en-US" w:eastAsia="zh-CN"/>
              </w:rPr>
              <w:t>复函</w:t>
            </w:r>
            <w:r>
              <w:rPr>
                <w:rFonts w:hint="default" w:ascii="Times New Roman" w:hAnsi="Times New Roman" w:eastAsia="宋体" w:cs="Times New Roman"/>
                <w:highlight w:val="none"/>
                <w:u w:val="none"/>
                <w:lang w:val="en-US" w:eastAsia="zh-CN"/>
              </w:rPr>
              <w:t>《关于南岳区建设1个小型生猪定点屠宰点的复函》</w:t>
            </w:r>
            <w:r>
              <w:rPr>
                <w:rFonts w:hint="default" w:ascii="Times New Roman" w:hAnsi="Times New Roman" w:cs="Times New Roman"/>
                <w:highlight w:val="none"/>
                <w:u w:val="none"/>
                <w:lang w:val="en-US" w:eastAsia="zh-CN"/>
              </w:rPr>
              <w:t>（见附件</w:t>
            </w:r>
            <w:r>
              <w:rPr>
                <w:rFonts w:hint="eastAsia" w:ascii="Times New Roman" w:hAnsi="Times New Roman" w:cs="Times New Roman"/>
                <w:highlight w:val="none"/>
                <w:u w:val="none"/>
                <w:lang w:val="en-US" w:eastAsia="zh-CN"/>
              </w:rPr>
              <w:t>4</w:t>
            </w:r>
            <w:r>
              <w:rPr>
                <w:rFonts w:hint="default" w:ascii="Times New Roman" w:hAnsi="Times New Roman" w:cs="Times New Roman"/>
                <w:highlight w:val="none"/>
                <w:u w:val="none"/>
                <w:lang w:val="en-US" w:eastAsia="zh-CN"/>
              </w:rPr>
              <w:t>）内容</w:t>
            </w:r>
            <w:r>
              <w:rPr>
                <w:rFonts w:hint="default" w:ascii="Times New Roman" w:hAnsi="Times New Roman" w:cs="Times New Roman"/>
                <w:kern w:val="0"/>
                <w:sz w:val="24"/>
                <w:lang w:val="en-US" w:eastAsia="zh-CN"/>
              </w:rPr>
              <w:t>，允许南岳</w:t>
            </w:r>
            <w:r>
              <w:rPr>
                <w:rFonts w:hint="eastAsia" w:cs="Times New Roman"/>
                <w:kern w:val="0"/>
                <w:sz w:val="24"/>
                <w:lang w:val="en-US" w:eastAsia="zh-CN"/>
              </w:rPr>
              <w:t>镇</w:t>
            </w:r>
            <w:r>
              <w:rPr>
                <w:rFonts w:hint="default" w:ascii="Times New Roman" w:hAnsi="Times New Roman" w:cs="Times New Roman"/>
                <w:kern w:val="0"/>
                <w:sz w:val="24"/>
                <w:lang w:val="en-US" w:eastAsia="zh-CN"/>
              </w:rPr>
              <w:t>建设1个小型生猪定点屠宰场。根据《产业结构调整指导目录（2024年本）》第三</w:t>
            </w:r>
            <w:r>
              <w:rPr>
                <w:rFonts w:hint="eastAsia" w:ascii="宋体" w:hAnsi="宋体" w:eastAsia="宋体" w:cs="宋体"/>
                <w:kern w:val="0"/>
                <w:sz w:val="24"/>
                <w:lang w:val="en-US" w:eastAsia="zh-CN"/>
              </w:rPr>
              <w:t>类“淘汰类”第十二条“轻工”第二十八款“桥式劈半锯、敞式生猪烫毛机等生猪屠宰设备”和第二十九款“猪、牛、羊、禽手工屠宰工艺”</w:t>
            </w:r>
            <w:r>
              <w:rPr>
                <w:rFonts w:hint="default" w:ascii="Times New Roman" w:hAnsi="Times New Roman" w:cs="Times New Roman"/>
                <w:kern w:val="0"/>
                <w:sz w:val="24"/>
                <w:lang w:val="en-US" w:eastAsia="zh-CN"/>
              </w:rPr>
              <w:t>。本项目不采用桥式劈半锯、敞式生猪烫毛机等生猪屠宰设备和手工屠宰工艺。</w:t>
            </w:r>
          </w:p>
          <w:p w14:paraId="0B3A097D">
            <w:pPr>
              <w:keepNext w:val="0"/>
              <w:keepLines w:val="0"/>
              <w:pageBreakBefore w:val="0"/>
              <w:widowControl/>
              <w:suppressLineNumbers w:val="0"/>
              <w:kinsoku/>
              <w:wordWrap/>
              <w:overflowPunct/>
              <w:topLinePunct w:val="0"/>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因此，本项目符合国家相关产业政策。</w:t>
            </w:r>
          </w:p>
          <w:p w14:paraId="2D376085">
            <w:pPr>
              <w:keepNext w:val="0"/>
              <w:keepLines w:val="0"/>
              <w:pageBreakBefore w:val="0"/>
              <w:numPr>
                <w:ilvl w:val="0"/>
                <w:numId w:val="0"/>
              </w:numPr>
              <w:kinsoku/>
              <w:wordWrap/>
              <w:overflowPunct/>
              <w:topLinePunct w:val="0"/>
              <w:autoSpaceDE w:val="0"/>
              <w:autoSpaceDN w:val="0"/>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3、</w:t>
            </w:r>
            <w:r>
              <w:rPr>
                <w:rFonts w:hint="eastAsia" w:ascii="宋体" w:hAnsi="宋体" w:eastAsia="宋体" w:cs="宋体"/>
                <w:b/>
                <w:bCs/>
                <w:color w:val="000000"/>
                <w:kern w:val="0"/>
                <w:sz w:val="24"/>
                <w:szCs w:val="24"/>
                <w:lang w:val="en-US" w:eastAsia="zh-CN" w:bidi="ar"/>
              </w:rPr>
              <w:t>《市场准入负面清单》（</w:t>
            </w:r>
            <w:r>
              <w:rPr>
                <w:rFonts w:hint="default" w:ascii="Times New Roman" w:hAnsi="Times New Roman" w:eastAsia="宋体" w:cs="Times New Roman"/>
                <w:b/>
                <w:bCs/>
                <w:color w:val="000000"/>
                <w:kern w:val="0"/>
                <w:sz w:val="24"/>
                <w:szCs w:val="24"/>
                <w:lang w:val="en-US" w:eastAsia="zh-CN" w:bidi="ar"/>
              </w:rPr>
              <w:t>2025</w:t>
            </w:r>
            <w:r>
              <w:rPr>
                <w:rFonts w:hint="eastAsia" w:ascii="宋体" w:hAnsi="宋体" w:eastAsia="宋体" w:cs="宋体"/>
                <w:b/>
                <w:bCs/>
                <w:color w:val="000000"/>
                <w:kern w:val="0"/>
                <w:sz w:val="24"/>
                <w:szCs w:val="24"/>
                <w:lang w:val="en-US" w:eastAsia="zh-CN" w:bidi="ar"/>
              </w:rPr>
              <w:t>年版）</w:t>
            </w:r>
            <w:r>
              <w:rPr>
                <w:rFonts w:hint="default" w:ascii="Times New Roman" w:hAnsi="Times New Roman" w:eastAsia="宋体" w:cs="Times New Roman"/>
                <w:b/>
                <w:bCs/>
                <w:color w:val="000000"/>
                <w:kern w:val="0"/>
                <w:sz w:val="24"/>
                <w:szCs w:val="24"/>
                <w:lang w:val="en-US" w:eastAsia="zh-CN" w:bidi="ar"/>
              </w:rPr>
              <w:t>符合性分析</w:t>
            </w:r>
          </w:p>
          <w:p w14:paraId="247A3007">
            <w:pPr>
              <w:keepNext w:val="0"/>
              <w:keepLines w:val="0"/>
              <w:pageBreakBefore w:val="0"/>
              <w:numPr>
                <w:ilvl w:val="0"/>
                <w:numId w:val="0"/>
              </w:numPr>
              <w:kinsoku/>
              <w:wordWrap/>
              <w:overflowPunct/>
              <w:topLinePunct w:val="0"/>
              <w:autoSpaceDE w:val="0"/>
              <w:autoSpaceDN w:val="0"/>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根据《市场准入负面清单》（202</w:t>
            </w:r>
            <w:r>
              <w:rPr>
                <w:rFonts w:hint="default" w:ascii="Times New Roman" w:hAnsi="Times New Roman"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年版），本项目不属于其中的禁止或许可事项，不属于市场准入负面清单范围。</w:t>
            </w:r>
          </w:p>
          <w:p w14:paraId="6BAAFF66">
            <w:pPr>
              <w:keepNext w:val="0"/>
              <w:keepLines w:val="0"/>
              <w:pageBreakBefore w:val="0"/>
              <w:kinsoku/>
              <w:wordWrap/>
              <w:overflowPunct/>
              <w:topLinePunct w:val="0"/>
              <w:autoSpaceDE w:val="0"/>
              <w:autoSpaceDN w:val="0"/>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kern w:val="0"/>
                <w:sz w:val="24"/>
                <w:lang w:val="en-US" w:eastAsia="zh-CN"/>
              </w:rPr>
            </w:pPr>
            <w:r>
              <w:rPr>
                <w:rFonts w:hint="default" w:ascii="Times New Roman" w:hAnsi="Times New Roman" w:cs="Times New Roman"/>
                <w:b/>
                <w:bCs/>
                <w:kern w:val="0"/>
                <w:sz w:val="24"/>
                <w:lang w:val="en-US" w:eastAsia="zh-CN"/>
              </w:rPr>
              <w:t>4、选址合理性分析</w:t>
            </w:r>
          </w:p>
          <w:p w14:paraId="3C791AD2">
            <w:pPr>
              <w:keepNext w:val="0"/>
              <w:keepLines w:val="0"/>
              <w:pageBreakBefore w:val="0"/>
              <w:kinsoku/>
              <w:wordWrap/>
              <w:overflowPunct/>
              <w:topLinePunct w:val="0"/>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highlight w:val="none"/>
                <w:u w:val="none"/>
                <w:lang w:val="en-US" w:eastAsia="zh-CN"/>
              </w:rPr>
            </w:pPr>
            <w:r>
              <w:rPr>
                <w:rFonts w:hint="default" w:ascii="Times New Roman" w:hAnsi="Times New Roman" w:cs="Times New Roman"/>
                <w:u w:val="none"/>
                <w:lang w:val="en-US" w:eastAsia="zh-CN"/>
              </w:rPr>
              <w:t>本项目选址位于衡阳市南岳区南岳镇烧田村上粮组，</w:t>
            </w:r>
            <w:r>
              <w:rPr>
                <w:rFonts w:hint="default" w:ascii="Times New Roman" w:hAnsi="Times New Roman" w:cs="Times New Roman"/>
                <w:highlight w:val="none"/>
                <w:u w:val="none"/>
                <w:lang w:val="en-US" w:eastAsia="zh-CN"/>
              </w:rPr>
              <w:t>项目选址于城镇开发边界区。</w:t>
            </w:r>
            <w:r>
              <w:rPr>
                <w:rFonts w:hint="default" w:ascii="Times New Roman" w:hAnsi="Times New Roman" w:eastAsia="宋体" w:cs="Times New Roman"/>
                <w:highlight w:val="none"/>
                <w:u w:val="none"/>
                <w:lang w:val="en-US" w:eastAsia="zh-CN"/>
              </w:rPr>
              <w:t>该项目选址位于城镇开发边界区外，位于村庄建设区。项目不涉及各类自然保护地、生态保护红线和永久基本农田。</w:t>
            </w:r>
            <w:r>
              <w:rPr>
                <w:rFonts w:hint="default" w:ascii="Times New Roman" w:hAnsi="Times New Roman" w:eastAsia="宋体" w:cs="Times New Roman"/>
                <w:highlight w:val="yellow"/>
                <w:u w:val="none"/>
                <w:lang w:val="en-US" w:eastAsia="zh-CN"/>
              </w:rPr>
              <w:t>项目用地性质为村庄建设区</w:t>
            </w:r>
            <w:r>
              <w:rPr>
                <w:rFonts w:hint="default" w:ascii="Times New Roman" w:hAnsi="Times New Roman" w:eastAsia="宋体" w:cs="Times New Roman"/>
                <w:highlight w:val="none"/>
                <w:u w:val="none"/>
                <w:lang w:val="en-US" w:eastAsia="zh-CN"/>
              </w:rPr>
              <w:t>，</w:t>
            </w:r>
            <w:r>
              <w:rPr>
                <w:rFonts w:hint="default" w:ascii="Times New Roman" w:hAnsi="Times New Roman" w:eastAsia="宋体" w:cs="Times New Roman"/>
                <w:highlight w:val="yellow"/>
                <w:u w:val="none"/>
                <w:lang w:val="en-US" w:eastAsia="zh-CN"/>
              </w:rPr>
              <w:t>拟规划为屠宰场的建设用地</w:t>
            </w:r>
            <w:r>
              <w:rPr>
                <w:rFonts w:hint="default" w:ascii="Times New Roman" w:hAnsi="Times New Roman" w:eastAsia="宋体" w:cs="Times New Roman"/>
                <w:highlight w:val="none"/>
                <w:u w:val="none"/>
                <w:lang w:val="en-US" w:eastAsia="zh-CN"/>
              </w:rPr>
              <w:t>，项目不涉及各类自然保护地、生态保护红线和永久基本农田，</w:t>
            </w:r>
            <w:r>
              <w:rPr>
                <w:rFonts w:hint="eastAsia" w:cs="Times New Roman"/>
                <w:highlight w:val="none"/>
                <w:u w:val="none"/>
                <w:lang w:val="en-US" w:eastAsia="zh-CN"/>
              </w:rPr>
              <w:t>经现场调查，</w:t>
            </w:r>
            <w:r>
              <w:rPr>
                <w:rFonts w:hint="default" w:ascii="Times New Roman" w:hAnsi="Times New Roman" w:eastAsia="宋体" w:cs="Times New Roman"/>
                <w:highlight w:val="none"/>
                <w:u w:val="none"/>
                <w:lang w:val="en-US" w:eastAsia="zh-CN"/>
              </w:rPr>
              <w:t>项目用地范围内无古树古木、珍稀濒危物种和国家保护植物，用地符合规划。</w:t>
            </w:r>
          </w:p>
          <w:p w14:paraId="74F8E92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highlight w:val="none"/>
                <w:u w:val="none"/>
                <w:lang w:val="en-US" w:eastAsia="zh-CN"/>
              </w:rPr>
            </w:pPr>
            <w:r>
              <w:rPr>
                <w:rFonts w:hint="default" w:ascii="Times New Roman" w:hAnsi="Times New Roman" w:cs="Times New Roman"/>
                <w:highlight w:val="none"/>
                <w:u w:val="none"/>
                <w:lang w:val="en-US" w:eastAsia="zh-CN"/>
              </w:rPr>
              <w:t>根据</w:t>
            </w:r>
            <w:r>
              <w:rPr>
                <w:rFonts w:hint="default" w:ascii="Times New Roman" w:hAnsi="Times New Roman" w:eastAsia="宋体" w:cs="Times New Roman"/>
                <w:highlight w:val="none"/>
                <w:u w:val="none"/>
                <w:lang w:val="en-US" w:eastAsia="zh-CN"/>
              </w:rPr>
              <w:t>《猪屠宰与分割车间设计规范》（GB50317-2009）中提到：“猪屠宰与分割车间应远离供水水源地和自来水取水口。厂区应远离受污染的水体，并避开产生有害气体、烟雾、粉尘等污染源的工业企业或其他产生污染源的地区或场所。厂址必须具备符合要求的水源和电源，其位置应选择在交通运输方便、货源流向合理的地方，根据节约用地和不占农田的原则，结合加工工艺要求因地制宜地确定，并应符合规划的要求。”本项目远离各水源地与取水用地，用水为自来水，市政供电，交通便利，远离工业企业且有树木阻挡，符合规范要求。</w:t>
            </w:r>
          </w:p>
          <w:p w14:paraId="746ABC9C">
            <w:pPr>
              <w:keepNext w:val="0"/>
              <w:keepLines w:val="0"/>
              <w:pageBreakBefore w:val="0"/>
              <w:kinsoku/>
              <w:wordWrap/>
              <w:overflowPunct/>
              <w:topLinePunct w:val="0"/>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highlight w:val="none"/>
                <w:u w:val="none"/>
                <w:lang w:val="en-US" w:eastAsia="zh-CN"/>
              </w:rPr>
            </w:pPr>
            <w:r>
              <w:rPr>
                <w:rFonts w:hint="default" w:ascii="Times New Roman" w:hAnsi="Times New Roman" w:eastAsia="宋体" w:cs="Times New Roman"/>
                <w:highlight w:val="none"/>
                <w:u w:val="none"/>
                <w:lang w:val="en-US" w:eastAsia="zh-CN"/>
              </w:rPr>
              <w:t>根据</w:t>
            </w:r>
            <w:r>
              <w:rPr>
                <w:rFonts w:hint="default" w:ascii="Times New Roman" w:hAnsi="Times New Roman" w:eastAsia="宋体" w:cs="Times New Roman"/>
                <w:highlight w:val="yellow"/>
                <w:u w:val="none"/>
                <w:lang w:val="en-US" w:eastAsia="zh-CN"/>
              </w:rPr>
              <w:t>《湖南省生猪屠宰管理条例》中的选址要求，生猪屠宰场所的选址，应当符合生猪屠宰行业发展规划、国土空间规划，进行动物防疫条件和环境影响风险评估，与居民生活区、生活饮用水水源地以及学校、医院等公共场所保持安全距离。县级以上人民政府自然资源主管部门在对生猪屠宰建设项目依法进行</w:t>
            </w:r>
            <w:r>
              <w:rPr>
                <w:rFonts w:hint="default" w:ascii="Times New Roman" w:hAnsi="Times New Roman" w:eastAsia="宋体" w:cs="Times New Roman"/>
                <w:highlight w:val="green"/>
                <w:u w:val="none"/>
                <w:lang w:val="en-US" w:eastAsia="zh-CN"/>
              </w:rPr>
              <w:t>规划选址</w:t>
            </w:r>
            <w:r>
              <w:rPr>
                <w:rFonts w:hint="default" w:ascii="Times New Roman" w:hAnsi="Times New Roman" w:eastAsia="宋体" w:cs="Times New Roman"/>
                <w:highlight w:val="yellow"/>
                <w:u w:val="none"/>
                <w:lang w:val="en-US" w:eastAsia="zh-CN"/>
              </w:rPr>
              <w:t>和</w:t>
            </w:r>
            <w:r>
              <w:rPr>
                <w:rFonts w:hint="default" w:ascii="Times New Roman" w:hAnsi="Times New Roman" w:eastAsia="宋体" w:cs="Times New Roman"/>
                <w:highlight w:val="green"/>
                <w:u w:val="none"/>
                <w:lang w:val="en-US" w:eastAsia="zh-CN"/>
              </w:rPr>
              <w:t>用地规划许可</w:t>
            </w:r>
            <w:r>
              <w:rPr>
                <w:rFonts w:hint="default" w:ascii="Times New Roman" w:hAnsi="Times New Roman" w:eastAsia="宋体" w:cs="Times New Roman"/>
                <w:highlight w:val="yellow"/>
                <w:u w:val="none"/>
                <w:lang w:val="en-US" w:eastAsia="zh-CN"/>
              </w:rPr>
              <w:t>时，应当征求农业农村、生态环境等有关部门的意见。</w:t>
            </w:r>
            <w:r>
              <w:rPr>
                <w:rFonts w:hint="default" w:ascii="Times New Roman" w:hAnsi="Times New Roman" w:cs="Times New Roman"/>
                <w:color w:val="000000" w:themeColor="text1"/>
                <w:highlight w:val="none"/>
                <w:u w:val="none"/>
                <w:lang w:val="en-US" w:eastAsia="zh-CN"/>
                <w14:textFill>
                  <w14:solidFill>
                    <w14:schemeClr w14:val="tx1"/>
                  </w14:solidFill>
                </w14:textFill>
              </w:rPr>
              <w:t>项目周边50m范围居民点分布较少，</w:t>
            </w:r>
            <w:r>
              <w:rPr>
                <w:rFonts w:hint="eastAsia" w:cs="Times New Roman"/>
                <w:color w:val="000000" w:themeColor="text1"/>
                <w:highlight w:val="none"/>
                <w:u w:val="none"/>
                <w:lang w:val="en-US" w:eastAsia="zh-CN"/>
                <w14:textFill>
                  <w14:solidFill>
                    <w14:schemeClr w14:val="tx1"/>
                  </w14:solidFill>
                </w14:textFill>
              </w:rPr>
              <w:t>西北侧37m处有一户居民，西南侧120m处垃圾中转站，垃圾中转站与本项目中间有植被和山体阻隔，且本项目屠宰及分割过程均在封闭车间内完成，垃圾中转站对项目影响有限。</w:t>
            </w:r>
            <w:r>
              <w:rPr>
                <w:rFonts w:hint="default" w:ascii="Times New Roman" w:hAnsi="Times New Roman" w:cs="Times New Roman"/>
                <w:highlight w:val="none"/>
                <w:u w:val="none"/>
                <w:lang w:val="en-US" w:eastAsia="zh-CN"/>
              </w:rPr>
              <w:t>项目所处地交通便利，本项目与周边外环境相容，不存在明显的环境制约因素。</w:t>
            </w:r>
          </w:p>
          <w:p w14:paraId="5807C035">
            <w:pPr>
              <w:keepNext w:val="0"/>
              <w:keepLines w:val="0"/>
              <w:pageBreakBefore w:val="0"/>
              <w:kinsoku/>
              <w:wordWrap/>
              <w:overflowPunct/>
              <w:topLinePunct w:val="0"/>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项目污水经</w:t>
            </w:r>
            <w:r>
              <w:rPr>
                <w:rFonts w:hint="eastAsia" w:cs="Times New Roman"/>
                <w:highlight w:val="yellow"/>
                <w:u w:val="none"/>
                <w:lang w:val="en-US" w:eastAsia="zh-CN"/>
              </w:rPr>
              <w:t>“格栅-隔油-调节池-气浮-厌氧处理（水解酸化）”</w:t>
            </w:r>
            <w:r>
              <w:rPr>
                <w:rFonts w:hint="default" w:ascii="Times New Roman" w:hAnsi="Times New Roman" w:cs="Times New Roman"/>
                <w:color w:val="000000" w:themeColor="text1"/>
                <w:highlight w:val="yellow"/>
                <w:u w:val="none"/>
                <w:lang w:val="en-US" w:eastAsia="zh-CN"/>
                <w14:textFill>
                  <w14:solidFill>
                    <w14:schemeClr w14:val="tx1"/>
                  </w14:solidFill>
                </w14:textFill>
              </w:rPr>
              <w:t>预处理</w:t>
            </w:r>
            <w:r>
              <w:rPr>
                <w:rFonts w:hint="default" w:ascii="Times New Roman" w:hAnsi="Times New Roman" w:cs="Times New Roman"/>
                <w:color w:val="000000" w:themeColor="text1"/>
                <w:highlight w:val="none"/>
                <w:u w:val="none"/>
                <w:lang w:val="en-US" w:eastAsia="zh-CN"/>
                <w14:textFill>
                  <w14:solidFill>
                    <w14:schemeClr w14:val="tx1"/>
                  </w14:solidFill>
                </w14:textFill>
              </w:rPr>
              <w:t>后通过槽罐车运输至南岳区污水处理厂达标处理。待市政污水管网接通后，</w:t>
            </w:r>
            <w:r>
              <w:rPr>
                <w:rFonts w:hint="eastAsia" w:cs="Times New Roman"/>
                <w:color w:val="000000" w:themeColor="text1"/>
                <w:highlight w:val="none"/>
                <w:u w:val="none"/>
                <w:lang w:val="en-US" w:eastAsia="zh-CN"/>
                <w14:textFill>
                  <w14:solidFill>
                    <w14:schemeClr w14:val="tx1"/>
                  </w14:solidFill>
                </w14:textFill>
              </w:rPr>
              <w:t>通过</w:t>
            </w:r>
            <w:r>
              <w:rPr>
                <w:rFonts w:hint="default" w:ascii="Times New Roman" w:hAnsi="Times New Roman" w:cs="Times New Roman"/>
                <w:color w:val="000000" w:themeColor="text1"/>
                <w:highlight w:val="none"/>
                <w:u w:val="none"/>
                <w:lang w:val="en-US" w:eastAsia="zh-CN"/>
                <w14:textFill>
                  <w14:solidFill>
                    <w14:schemeClr w14:val="tx1"/>
                  </w14:solidFill>
                </w14:textFill>
              </w:rPr>
              <w:t>市政污水管网</w:t>
            </w:r>
            <w:r>
              <w:rPr>
                <w:rFonts w:hint="eastAsia" w:cs="Times New Roman"/>
                <w:color w:val="000000" w:themeColor="text1"/>
                <w:highlight w:val="none"/>
                <w:u w:val="none"/>
                <w:lang w:val="en-US" w:eastAsia="zh-CN"/>
                <w14:textFill>
                  <w14:solidFill>
                    <w14:schemeClr w14:val="tx1"/>
                  </w14:solidFill>
                </w14:textFill>
              </w:rPr>
              <w:t>排入南岳区污水处理厂处理</w:t>
            </w:r>
            <w:r>
              <w:rPr>
                <w:rFonts w:hint="default" w:ascii="Times New Roman" w:hAnsi="Times New Roman" w:cs="Times New Roman"/>
                <w:color w:val="000000" w:themeColor="text1"/>
                <w:highlight w:val="none"/>
                <w:u w:val="none"/>
                <w:lang w:val="en-US" w:eastAsia="zh-CN"/>
                <w14:textFill>
                  <w14:solidFill>
                    <w14:schemeClr w14:val="tx1"/>
                  </w14:solidFill>
                </w14:textFill>
              </w:rPr>
              <w:t>。</w:t>
            </w:r>
            <w:r>
              <w:rPr>
                <w:rFonts w:hint="default" w:ascii="Times New Roman" w:hAnsi="Times New Roman" w:cs="Times New Roman"/>
                <w:highlight w:val="none"/>
                <w:u w:val="none"/>
                <w:lang w:val="en-US" w:eastAsia="zh-CN"/>
              </w:rPr>
              <w:t>本项目及周边居民用水均采用</w:t>
            </w:r>
            <w:r>
              <w:rPr>
                <w:rFonts w:hint="eastAsia" w:cs="Times New Roman"/>
                <w:highlight w:val="none"/>
                <w:u w:val="none"/>
                <w:lang w:val="en-US" w:eastAsia="zh-CN"/>
              </w:rPr>
              <w:t>自来水</w:t>
            </w:r>
            <w:r>
              <w:rPr>
                <w:rFonts w:hint="default" w:ascii="Times New Roman" w:hAnsi="Times New Roman" w:cs="Times New Roman"/>
                <w:highlight w:val="none"/>
                <w:u w:val="none"/>
                <w:lang w:val="en-US" w:eastAsia="zh-CN"/>
              </w:rPr>
              <w:t>作为供水水源，本项目周边无农村安全取水点，故项目运营不会对饮用水源产生影响。环评要求项目做好厂区地地面硬化防渗处理，以及污水处理设施防渗措施的基础，从而减轻对地下水影响。</w:t>
            </w:r>
          </w:p>
          <w:p w14:paraId="6733338B">
            <w:pPr>
              <w:keepNext w:val="0"/>
              <w:keepLines w:val="0"/>
              <w:pageBreakBefore w:val="0"/>
              <w:kinsoku/>
              <w:wordWrap/>
              <w:overflowPunct/>
              <w:topLinePunct w:val="0"/>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u w:val="none"/>
                <w:lang w:val="en-US" w:eastAsia="zh-CN"/>
              </w:rPr>
            </w:pPr>
            <w:r>
              <w:rPr>
                <w:rFonts w:hint="default" w:ascii="Times New Roman" w:hAnsi="Times New Roman" w:cs="Times New Roman"/>
                <w:highlight w:val="none"/>
                <w:u w:val="none"/>
                <w:lang w:val="en-US" w:eastAsia="zh-CN"/>
              </w:rPr>
              <w:t>通过上述分析</w:t>
            </w:r>
            <w:r>
              <w:rPr>
                <w:rFonts w:hint="eastAsia" w:ascii="宋体" w:hAnsi="宋体" w:eastAsia="宋体" w:cs="宋体"/>
                <w:highlight w:val="none"/>
                <w:u w:val="none"/>
                <w:lang w:val="en-US" w:eastAsia="zh-CN"/>
              </w:rPr>
              <w:t>，</w:t>
            </w:r>
            <w:r>
              <w:rPr>
                <w:rFonts w:hint="default" w:ascii="Times New Roman" w:hAnsi="Times New Roman" w:cs="Times New Roman"/>
                <w:highlight w:val="none"/>
                <w:u w:val="none"/>
                <w:lang w:val="en-US" w:eastAsia="zh-CN"/>
              </w:rPr>
              <w:t>本项目选址符合当地环境功能区划，交通便利。项目选址从环保角度而言是可行的。</w:t>
            </w:r>
          </w:p>
          <w:p w14:paraId="403C6C07">
            <w:pPr>
              <w:keepNext w:val="0"/>
              <w:keepLines w:val="0"/>
              <w:pageBreakBefore w:val="0"/>
              <w:numPr>
                <w:ilvl w:val="0"/>
                <w:numId w:val="0"/>
              </w:numPr>
              <w:kinsoku/>
              <w:wordWrap/>
              <w:overflowPunct/>
              <w:topLinePunct w:val="0"/>
              <w:bidi w:val="0"/>
              <w:adjustRightInd/>
              <w:snapToGrid/>
              <w:spacing w:beforeAutospacing="0" w:afterAutospacing="0" w:line="360" w:lineRule="auto"/>
              <w:ind w:left="0" w:leftChars="0" w:right="0" w:firstLine="482" w:firstLineChars="200"/>
              <w:jc w:val="both"/>
              <w:textAlignment w:val="auto"/>
              <w:rPr>
                <w:rFonts w:hint="default" w:ascii="Times New Roman" w:hAnsi="Times New Roman" w:cs="Times New Roman"/>
                <w:b/>
                <w:bCs/>
                <w:u w:val="none"/>
                <w:lang w:val="en-US" w:eastAsia="zh-CN"/>
              </w:rPr>
            </w:pPr>
            <w:r>
              <w:rPr>
                <w:rFonts w:hint="default" w:ascii="Times New Roman" w:hAnsi="Times New Roman" w:cs="Times New Roman"/>
                <w:b/>
                <w:bCs/>
                <w:u w:val="none"/>
                <w:lang w:val="en-US" w:eastAsia="zh-CN"/>
              </w:rPr>
              <w:t>5、</w:t>
            </w:r>
            <w:r>
              <w:rPr>
                <w:rFonts w:hint="eastAsia" w:cs="Times New Roman"/>
                <w:b/>
                <w:bCs/>
                <w:u w:val="none"/>
                <w:lang w:val="en-US" w:eastAsia="zh-CN"/>
              </w:rPr>
              <w:t>其他</w:t>
            </w:r>
            <w:r>
              <w:rPr>
                <w:rFonts w:hint="default" w:ascii="Times New Roman" w:hAnsi="Times New Roman" w:cs="Times New Roman"/>
                <w:b/>
                <w:bCs/>
                <w:u w:val="none"/>
                <w:lang w:val="en-US" w:eastAsia="zh-CN"/>
              </w:rPr>
              <w:t>相符性分析</w:t>
            </w:r>
          </w:p>
          <w:p w14:paraId="38D4B029">
            <w:pPr>
              <w:keepNext w:val="0"/>
              <w:keepLines w:val="0"/>
              <w:pageBreakBefore w:val="0"/>
              <w:numPr>
                <w:ilvl w:val="0"/>
                <w:numId w:val="0"/>
              </w:numPr>
              <w:kinsoku/>
              <w:wordWrap/>
              <w:overflowPunct/>
              <w:topLinePunct w:val="0"/>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u w:val="none"/>
                <w:lang w:val="en-US" w:eastAsia="zh-CN"/>
              </w:rPr>
            </w:pPr>
            <w:r>
              <w:rPr>
                <w:rFonts w:hint="default" w:ascii="Times New Roman" w:hAnsi="Times New Roman" w:eastAsia="宋体" w:cs="Times New Roman"/>
                <w:u w:val="none"/>
                <w:lang w:val="en-US" w:eastAsia="zh-CN"/>
              </w:rPr>
              <w:t>①</w:t>
            </w:r>
            <w:r>
              <w:rPr>
                <w:rFonts w:hint="default" w:ascii="Times New Roman" w:hAnsi="Times New Roman" w:cs="Times New Roman"/>
                <w:u w:val="none"/>
                <w:lang w:val="en-US" w:eastAsia="zh-CN"/>
              </w:rPr>
              <w:t>与</w:t>
            </w:r>
            <w:r>
              <w:rPr>
                <w:rFonts w:hint="default" w:ascii="Times New Roman" w:hAnsi="Times New Roman" w:eastAsia="宋体" w:cs="Times New Roman"/>
                <w:u w:val="none"/>
                <w:lang w:val="en-US" w:eastAsia="zh-CN"/>
              </w:rPr>
              <w:t>《生猪屠宰管理条例》</w:t>
            </w:r>
            <w:r>
              <w:rPr>
                <w:rFonts w:hint="eastAsia" w:cs="Times New Roman"/>
                <w:u w:val="none"/>
                <w:lang w:val="en-US" w:eastAsia="zh-CN"/>
              </w:rPr>
              <w:t>（2021年修订）</w:t>
            </w:r>
            <w:r>
              <w:rPr>
                <w:rFonts w:hint="default" w:ascii="Times New Roman" w:hAnsi="Times New Roman" w:eastAsia="宋体" w:cs="Times New Roman"/>
                <w:u w:val="none"/>
                <w:lang w:val="en-US" w:eastAsia="zh-CN"/>
              </w:rPr>
              <w:t>的</w:t>
            </w:r>
            <w:r>
              <w:rPr>
                <w:rFonts w:hint="eastAsia" w:cs="Times New Roman"/>
                <w:u w:val="none"/>
                <w:lang w:val="en-US" w:eastAsia="zh-CN"/>
              </w:rPr>
              <w:t>相符</w:t>
            </w:r>
            <w:r>
              <w:rPr>
                <w:rFonts w:hint="default" w:ascii="Times New Roman" w:hAnsi="Times New Roman" w:eastAsia="宋体" w:cs="Times New Roman"/>
                <w:u w:val="none"/>
                <w:lang w:val="en-US" w:eastAsia="zh-CN"/>
              </w:rPr>
              <w:t>性分析</w:t>
            </w:r>
          </w:p>
          <w:p w14:paraId="0F07BFFA">
            <w:pPr>
              <w:pStyle w:val="6"/>
              <w:pageBreakBefore w:val="0"/>
              <w:numPr>
                <w:ilvl w:val="0"/>
                <w:numId w:val="0"/>
              </w:numPr>
              <w:wordWrap/>
              <w:overflowPunct/>
              <w:spacing w:beforeAutospacing="0" w:afterAutospacing="0" w:line="360" w:lineRule="auto"/>
              <w:ind w:left="0" w:leftChars="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表1-2  本项目与《生猪屠宰管理条例》</w:t>
            </w:r>
            <w:r>
              <w:rPr>
                <w:rFonts w:hint="eastAsia" w:cs="Times New Roman"/>
                <w:b/>
                <w:bCs/>
                <w:sz w:val="21"/>
                <w:szCs w:val="21"/>
                <w:lang w:val="en-US" w:eastAsia="zh-CN"/>
              </w:rPr>
              <w:t>（2021修订）</w:t>
            </w:r>
            <w:r>
              <w:rPr>
                <w:rFonts w:hint="default" w:ascii="Times New Roman" w:hAnsi="Times New Roman" w:eastAsia="宋体" w:cs="Times New Roman"/>
                <w:b/>
                <w:bCs/>
                <w:sz w:val="21"/>
                <w:szCs w:val="21"/>
                <w:lang w:val="en-US" w:eastAsia="zh-CN"/>
              </w:rPr>
              <w:t>相符性分析</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44"/>
              <w:gridCol w:w="3698"/>
              <w:gridCol w:w="483"/>
            </w:tblGrid>
            <w:tr w14:paraId="02A61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27" w:type="pct"/>
                  <w:vAlign w:val="center"/>
                </w:tcPr>
                <w:p w14:paraId="390D3810">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条例要求</w:t>
                  </w:r>
                </w:p>
              </w:tc>
              <w:tc>
                <w:tcPr>
                  <w:tcW w:w="2275" w:type="pct"/>
                  <w:vAlign w:val="center"/>
                </w:tcPr>
                <w:p w14:paraId="13EBB2BF">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项目情况</w:t>
                  </w:r>
                </w:p>
              </w:tc>
              <w:tc>
                <w:tcPr>
                  <w:tcW w:w="297" w:type="pct"/>
                  <w:vAlign w:val="top"/>
                </w:tcPr>
                <w:p w14:paraId="50AA08AD">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是否相符</w:t>
                  </w:r>
                </w:p>
              </w:tc>
            </w:tr>
            <w:tr w14:paraId="6318B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27" w:type="pct"/>
                  <w:vAlign w:val="top"/>
                </w:tcPr>
                <w:p w14:paraId="19156B42">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设区的市级人民政府应当将其确定的生猪定点屠宰厂（场）名单及时向社会公布，并报省、自治区、直辖市人民政府备案。</w:t>
                  </w:r>
                </w:p>
              </w:tc>
              <w:tc>
                <w:tcPr>
                  <w:tcW w:w="2275" w:type="pct"/>
                  <w:vAlign w:val="top"/>
                </w:tcPr>
                <w:p w14:paraId="47DA7FDD">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企业按要求进行公示</w:t>
                  </w:r>
                  <w:r>
                    <w:rPr>
                      <w:rFonts w:hint="eastAsia" w:ascii="宋体" w:hAnsi="宋体" w:eastAsia="宋体" w:cs="宋体"/>
                      <w:sz w:val="21"/>
                      <w:szCs w:val="21"/>
                      <w:vertAlign w:val="baseline"/>
                      <w:lang w:val="en-US" w:eastAsia="zh-CN"/>
                    </w:rPr>
                    <w:t>，</w:t>
                  </w:r>
                  <w:r>
                    <w:rPr>
                      <w:rFonts w:hint="default" w:ascii="Times New Roman" w:hAnsi="Times New Roman" w:eastAsia="宋体" w:cs="Times New Roman"/>
                      <w:sz w:val="21"/>
                      <w:szCs w:val="21"/>
                      <w:vertAlign w:val="baseline"/>
                      <w:lang w:val="en-US" w:eastAsia="zh-CN"/>
                    </w:rPr>
                    <w:t>同时向南岳区</w:t>
                  </w:r>
                  <w:r>
                    <w:rPr>
                      <w:rFonts w:hint="default" w:ascii="Times New Roman" w:hAnsi="Times New Roman" w:cs="Times New Roman"/>
                      <w:sz w:val="21"/>
                      <w:szCs w:val="21"/>
                      <w:vertAlign w:val="baseline"/>
                      <w:lang w:val="en-US" w:eastAsia="zh-CN"/>
                    </w:rPr>
                    <w:t>人民政府、</w:t>
                  </w:r>
                  <w:r>
                    <w:rPr>
                      <w:rFonts w:hint="default" w:ascii="Times New Roman" w:hAnsi="Times New Roman" w:eastAsia="宋体" w:cs="Times New Roman"/>
                      <w:sz w:val="21"/>
                      <w:szCs w:val="21"/>
                      <w:vertAlign w:val="baseline"/>
                      <w:lang w:val="en-US" w:eastAsia="zh-CN"/>
                    </w:rPr>
                    <w:t>南岳镇人民政府和南岳区发展和改革局</w:t>
                  </w:r>
                  <w:r>
                    <w:rPr>
                      <w:rFonts w:hint="default" w:ascii="Times New Roman" w:hAnsi="Times New Roman" w:cs="Times New Roman"/>
                      <w:sz w:val="21"/>
                      <w:szCs w:val="21"/>
                      <w:vertAlign w:val="baseline"/>
                      <w:lang w:val="en-US" w:eastAsia="zh-CN"/>
                    </w:rPr>
                    <w:t>进行备案。</w:t>
                  </w:r>
                </w:p>
              </w:tc>
              <w:tc>
                <w:tcPr>
                  <w:tcW w:w="297" w:type="pct"/>
                  <w:vAlign w:val="center"/>
                </w:tcPr>
                <w:p w14:paraId="7E1662BB">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r w14:paraId="598A8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27" w:type="pct"/>
                  <w:vAlign w:val="top"/>
                </w:tcPr>
                <w:p w14:paraId="267A877F">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生猪定点屠宰厂（场）应当具备下列条件：</w:t>
                  </w:r>
                </w:p>
                <w:p w14:paraId="2B7FC309">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kern w:val="2"/>
                      <w:sz w:val="21"/>
                      <w:szCs w:val="21"/>
                      <w:vertAlign w:val="baseline"/>
                      <w:lang w:val="en-US" w:eastAsia="zh-CN" w:bidi="ar-SA"/>
                    </w:rPr>
                    <w:t>（一）</w:t>
                  </w:r>
                  <w:r>
                    <w:rPr>
                      <w:rFonts w:hint="default" w:ascii="Times New Roman" w:hAnsi="Times New Roman" w:eastAsia="宋体" w:cs="Times New Roman"/>
                      <w:sz w:val="21"/>
                      <w:szCs w:val="21"/>
                      <w:vertAlign w:val="baseline"/>
                      <w:lang w:val="en-US" w:eastAsia="zh-CN"/>
                    </w:rPr>
                    <w:t>有与屠宰规模相适应、水质符合国家规定标准的水源条件；</w:t>
                  </w:r>
                </w:p>
                <w:p w14:paraId="63F9092A">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（二）有符合国家规定要求的待宰间、屠宰间、急宰间、检验室以及生猪屠宰设备和运载工具；</w:t>
                  </w:r>
                </w:p>
                <w:p w14:paraId="7123F83B">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（三</w:t>
                  </w:r>
                  <w:r>
                    <w:rPr>
                      <w:rFonts w:hint="eastAsia" w:ascii="宋体" w:hAnsi="宋体" w:eastAsia="宋体" w:cs="宋体"/>
                      <w:sz w:val="21"/>
                      <w:szCs w:val="21"/>
                      <w:vertAlign w:val="baseline"/>
                      <w:lang w:val="en-US" w:eastAsia="zh-CN"/>
                    </w:rPr>
                    <w:t>）</w:t>
                  </w:r>
                  <w:r>
                    <w:rPr>
                      <w:rFonts w:hint="default" w:ascii="Times New Roman" w:hAnsi="Times New Roman" w:eastAsia="宋体" w:cs="Times New Roman"/>
                      <w:sz w:val="21"/>
                      <w:szCs w:val="21"/>
                      <w:vertAlign w:val="baseline"/>
                      <w:lang w:val="en-US" w:eastAsia="zh-CN"/>
                    </w:rPr>
                    <w:t>有依法取得健康证明的屠宰技术人员；</w:t>
                  </w:r>
                </w:p>
                <w:p w14:paraId="6776F492">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（四</w:t>
                  </w:r>
                  <w:r>
                    <w:rPr>
                      <w:rFonts w:hint="eastAsia" w:cs="Times New Roman"/>
                      <w:sz w:val="21"/>
                      <w:szCs w:val="21"/>
                      <w:vertAlign w:val="baseline"/>
                      <w:lang w:val="en-US" w:eastAsia="zh-CN"/>
                    </w:rPr>
                    <w:t>）</w:t>
                  </w:r>
                  <w:r>
                    <w:rPr>
                      <w:rFonts w:hint="default" w:ascii="Times New Roman" w:hAnsi="Times New Roman" w:eastAsia="宋体" w:cs="Times New Roman"/>
                      <w:sz w:val="21"/>
                      <w:szCs w:val="21"/>
                      <w:vertAlign w:val="baseline"/>
                      <w:lang w:val="en-US" w:eastAsia="zh-CN"/>
                    </w:rPr>
                    <w:t>有经考核合格的兽医卫生检验人员；</w:t>
                  </w:r>
                </w:p>
                <w:p w14:paraId="1E1C3D4D">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（五）有符合国家规定要求的检验设备、消毒设施以及符合环境保护要求的污染防治设施；</w:t>
                  </w:r>
                </w:p>
                <w:p w14:paraId="65FE897B">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firstLine="0" w:firstLineChars="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（六）有病害生猪及生猪产品无害化处理设施或者无害化处理委托协议；</w:t>
                  </w:r>
                </w:p>
                <w:p w14:paraId="7BE904D6">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（七）依法取得动物防疫条件合格证。</w:t>
                  </w:r>
                </w:p>
              </w:tc>
              <w:tc>
                <w:tcPr>
                  <w:tcW w:w="2275" w:type="pct"/>
                  <w:vAlign w:val="top"/>
                </w:tcPr>
                <w:p w14:paraId="255969B5">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根据平面布置图，项目布置有待宰间、屠宰间、急宰间、检疫以及生猪屠宰设备和运载工具；相关屠宰人员、检疫人员应取得相关行业资质或健康证明材料；企业配备建设相应的检疫设备、消毒设施以及符合环境保护要求的污染防治设施以及符合环境保护要求的污染防治设施；后续将签订病死猪无害化处理委托协议。</w:t>
                  </w:r>
                </w:p>
              </w:tc>
              <w:tc>
                <w:tcPr>
                  <w:tcW w:w="297" w:type="pct"/>
                  <w:vAlign w:val="center"/>
                </w:tcPr>
                <w:p w14:paraId="7BEBDB61">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r w14:paraId="31CB4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27" w:type="pct"/>
                  <w:vAlign w:val="top"/>
                </w:tcPr>
                <w:p w14:paraId="3BB9041C">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生猪定点屠宰厂（场）应当建立生猪进厂（场）查验登记制度。</w:t>
                  </w:r>
                </w:p>
                <w:p w14:paraId="2D60715F">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猪定点屠宰厂（场）应当依法查验检疫证明等文件，利用信息化手段核实相关信息，如实记录屠宰生猪的来源、数量、检疫证明号和供货者名称、地址、联系方式等内容，并保存相关凭证。发现伪造、变造检疫证明的，应当及时报告农业农村主管部门。发生动物疫情时，还应当查验、记录运输车辆基本情况。记录、凭证保存期限不得少于2年。</w:t>
                  </w:r>
                </w:p>
                <w:p w14:paraId="0B4EEB1A">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生猪定点屠宰厂（场）接受委托屠宰的，应当与委托人签订委托屠宰协议，明确生猪产品质量安全责任。委托屠宰协议自协议期满后保存期限不得少于2年。</w:t>
                  </w:r>
                </w:p>
              </w:tc>
              <w:tc>
                <w:tcPr>
                  <w:tcW w:w="2275" w:type="pct"/>
                  <w:vAlign w:val="top"/>
                </w:tcPr>
                <w:p w14:paraId="0A8BC063">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建设单位设置查验登记制度，厂内建立台账管理制度，相关记录、凭证应按有关规定进行保存。</w:t>
                  </w:r>
                </w:p>
              </w:tc>
              <w:tc>
                <w:tcPr>
                  <w:tcW w:w="297" w:type="pct"/>
                  <w:vAlign w:val="center"/>
                </w:tcPr>
                <w:p w14:paraId="43B4429B">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r w14:paraId="4DE2B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27" w:type="pct"/>
                  <w:vAlign w:val="top"/>
                </w:tcPr>
                <w:p w14:paraId="2CBAB5A1">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猪定点屠宰厂（场）应当建立生猪产品出厂（场）记录制度，如实记录出厂（场）生猪产品的名称、规格、数量、检疫证明号、肉品品质检验合格证号、屠宰日期、出厂（场）日期以及购货者名称、地址、联系方式等内容，并保存相关凭证。记录、凭证保存期限不得少于2年。</w:t>
                  </w:r>
                </w:p>
              </w:tc>
              <w:tc>
                <w:tcPr>
                  <w:tcW w:w="2275" w:type="pct"/>
                  <w:vAlign w:val="top"/>
                </w:tcPr>
                <w:p w14:paraId="015AF54E">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建设单位应按照有关规定要求，建立生猪产品出厂（场）记录制度。</w:t>
                  </w:r>
                </w:p>
              </w:tc>
              <w:tc>
                <w:tcPr>
                  <w:tcW w:w="297" w:type="pct"/>
                  <w:vAlign w:val="center"/>
                </w:tcPr>
                <w:p w14:paraId="369E8F64">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r w14:paraId="798CB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27" w:type="pct"/>
                  <w:vAlign w:val="top"/>
                </w:tcPr>
                <w:p w14:paraId="51CACA15">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猪定点屠宰厂（场）对其生产的生猪产品质量安全负责，发现其生产的生猪产品不符合食品安全标准、有证据证明可能危害人体健康、染疫或者疑似染疫的，应当立即停止屠宰，报告农业农村主管部门，通知销售者或者委托人，召回已经销售的生猪产品，并记录通知和召回情况。</w:t>
                  </w:r>
                </w:p>
              </w:tc>
              <w:tc>
                <w:tcPr>
                  <w:tcW w:w="2275" w:type="pct"/>
                  <w:vAlign w:val="top"/>
                </w:tcPr>
                <w:p w14:paraId="2BCDC977">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both"/>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建设单位</w:t>
                  </w:r>
                  <w:r>
                    <w:rPr>
                      <w:rFonts w:hint="default" w:ascii="Times New Roman" w:hAnsi="Times New Roman" w:cs="Times New Roman"/>
                      <w:sz w:val="21"/>
                      <w:szCs w:val="21"/>
                      <w:vertAlign w:val="baseline"/>
                      <w:lang w:val="en-US" w:eastAsia="zh-CN"/>
                    </w:rPr>
                    <w:t>应严格落实产品质量安全管理制度，严格按照有关要求执行。</w:t>
                  </w:r>
                </w:p>
              </w:tc>
              <w:tc>
                <w:tcPr>
                  <w:tcW w:w="297" w:type="pct"/>
                  <w:vAlign w:val="center"/>
                </w:tcPr>
                <w:p w14:paraId="1A0DA526">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相符</w:t>
                  </w:r>
                </w:p>
              </w:tc>
            </w:tr>
          </w:tbl>
          <w:p w14:paraId="10FAF94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b w:val="0"/>
                <w:bCs w:val="0"/>
                <w:u w:val="none"/>
                <w:lang w:val="en-US" w:eastAsia="zh-CN"/>
              </w:rPr>
              <w:t>②</w:t>
            </w:r>
            <w:r>
              <w:rPr>
                <w:rFonts w:hint="default" w:ascii="Times New Roman" w:hAnsi="Times New Roman" w:cs="Times New Roman"/>
                <w:b w:val="0"/>
                <w:bCs w:val="0"/>
                <w:u w:val="none"/>
                <w:lang w:val="en-US" w:eastAsia="zh-CN"/>
              </w:rPr>
              <w:t>与《关于进一步规范小型生猪定点屠宰场点设置的意见》（湘农发〔2022〕3号）</w:t>
            </w:r>
            <w:r>
              <w:rPr>
                <w:rFonts w:hint="default" w:ascii="Times New Roman" w:hAnsi="Times New Roman" w:eastAsia="宋体" w:cs="Times New Roman"/>
                <w:b w:val="0"/>
                <w:bCs w:val="0"/>
                <w:u w:val="none"/>
                <w:lang w:val="en-US" w:eastAsia="zh-CN"/>
              </w:rPr>
              <w:t>的相符性分析</w:t>
            </w:r>
            <w:r>
              <w:rPr>
                <w:rFonts w:hint="eastAsia" w:cs="Times New Roman"/>
                <w:sz w:val="24"/>
                <w:szCs w:val="24"/>
                <w:lang w:val="en-US" w:eastAsia="zh-CN"/>
              </w:rPr>
              <w:t>：</w:t>
            </w:r>
          </w:p>
          <w:p w14:paraId="18663861">
            <w:pPr>
              <w:pStyle w:val="11"/>
              <w:pageBreakBefore w:val="0"/>
              <w:wordWrap/>
              <w:overflowPunct/>
              <w:spacing w:before="0" w:beforeAutospacing="0" w:after="0" w:afterAutospacing="0" w:line="360" w:lineRule="auto"/>
              <w:ind w:left="0" w:leftChars="0" w:right="0"/>
              <w:jc w:val="center"/>
              <w:rPr>
                <w:rFonts w:hint="default" w:ascii="Times New Roman" w:hAnsi="Times New Roman" w:cs="Times New Roman"/>
                <w:b/>
                <w:bCs/>
                <w:sz w:val="21"/>
                <w:szCs w:val="21"/>
                <w:lang w:val="en-US" w:eastAsia="zh-CN"/>
              </w:rPr>
            </w:pPr>
            <w:r>
              <w:rPr>
                <w:rFonts w:hint="default" w:ascii="Times New Roman" w:hAnsi="Times New Roman" w:eastAsia="宋体" w:cs="Times New Roman"/>
                <w:b/>
                <w:bCs/>
                <w:sz w:val="21"/>
                <w:szCs w:val="21"/>
                <w:u w:val="none"/>
                <w:lang w:val="en-US" w:eastAsia="zh-CN"/>
              </w:rPr>
              <w:t>表1-3 本项目与《关于进一步规范小型生猪定点屠宰场点设置的意见》</w:t>
            </w:r>
            <w:r>
              <w:rPr>
                <w:rFonts w:hint="eastAsia" w:cs="Times New Roman"/>
                <w:b/>
                <w:bCs/>
                <w:sz w:val="21"/>
                <w:szCs w:val="21"/>
                <w:u w:val="none"/>
                <w:lang w:val="en-US" w:eastAsia="zh-CN"/>
              </w:rPr>
              <w:t>（湘农发〔2022〕）</w:t>
            </w:r>
            <w:r>
              <w:rPr>
                <w:rFonts w:hint="default" w:ascii="Times New Roman" w:hAnsi="Times New Roman" w:eastAsia="宋体" w:cs="Times New Roman"/>
                <w:b/>
                <w:bCs/>
                <w:sz w:val="21"/>
                <w:szCs w:val="21"/>
                <w:u w:val="none"/>
                <w:lang w:val="en-US" w:eastAsia="zh-CN"/>
              </w:rPr>
              <w:t>的相符性分析</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76"/>
              <w:gridCol w:w="2323"/>
              <w:gridCol w:w="626"/>
            </w:tblGrid>
            <w:tr w14:paraId="58457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85" w:type="pct"/>
                  <w:vAlign w:val="center"/>
                </w:tcPr>
                <w:p w14:paraId="603C1BD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意见要求</w:t>
                  </w:r>
                </w:p>
              </w:tc>
              <w:tc>
                <w:tcPr>
                  <w:tcW w:w="1429" w:type="pct"/>
                  <w:vAlign w:val="center"/>
                </w:tcPr>
                <w:p w14:paraId="0372E4E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项目情况</w:t>
                  </w:r>
                </w:p>
              </w:tc>
              <w:tc>
                <w:tcPr>
                  <w:tcW w:w="385" w:type="pct"/>
                  <w:vAlign w:val="center"/>
                </w:tcPr>
                <w:p w14:paraId="380C2C9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是否相符</w:t>
                  </w:r>
                </w:p>
              </w:tc>
            </w:tr>
            <w:tr w14:paraId="62FB1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85" w:type="pct"/>
                  <w:vAlign w:val="center"/>
                </w:tcPr>
                <w:p w14:paraId="62B99A3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边远和交通不便的农村地区可设置小型生猪定点屠宰场点。各地应按照《生猪屠宰管理条例》规定,本着便民、科学、合理的原则,制定小型生猪定点屠宰场点设置规划,经县级人民政府批准后组织实施。小型生猪定点屠宰场点设置应明确建设地点、屠宰规模、生猪产品供应范围。</w:t>
                  </w:r>
                </w:p>
              </w:tc>
              <w:tc>
                <w:tcPr>
                  <w:tcW w:w="1429" w:type="pct"/>
                  <w:vAlign w:val="center"/>
                </w:tcPr>
                <w:p w14:paraId="0462173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本项目位于农村，已经过南岳区人民政府批准，建设地点、屠宰规模明确，生猪产品主要提供给南岳镇镇区以及周边农村居民。</w:t>
                  </w:r>
                </w:p>
              </w:tc>
              <w:tc>
                <w:tcPr>
                  <w:tcW w:w="385" w:type="pct"/>
                  <w:vAlign w:val="center"/>
                </w:tcPr>
                <w:p w14:paraId="53AEF8F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相符</w:t>
                  </w:r>
                </w:p>
              </w:tc>
            </w:tr>
            <w:tr w14:paraId="2EB15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85" w:type="pct"/>
                  <w:vAlign w:val="center"/>
                </w:tcPr>
                <w:p w14:paraId="228EAC3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交通便利、配送体系健全的地区应逐步减少直至取消小型生猪定点屠宰场点。山区、林区等交通不便地区的设置数量应严格控制。县域内小型生猪定点屠宰场点的设置数量,原则上不超过该县乡镇数量的</w:t>
                  </w:r>
                  <w:r>
                    <w:rPr>
                      <w:rFonts w:hint="default" w:ascii="Times New Roman" w:hAnsi="Times New Roman" w:eastAsia="宋体" w:cs="Times New Roman"/>
                      <w:sz w:val="21"/>
                      <w:szCs w:val="21"/>
                      <w:vertAlign w:val="baseline"/>
                      <w:lang w:val="en-US" w:eastAsia="zh-CN"/>
                    </w:rPr>
                    <w:t>25%</w:t>
                  </w:r>
                  <w:r>
                    <w:rPr>
                      <w:rFonts w:hint="eastAsia" w:ascii="宋体" w:hAnsi="宋体" w:eastAsia="宋体" w:cs="宋体"/>
                      <w:sz w:val="21"/>
                      <w:szCs w:val="21"/>
                      <w:vertAlign w:val="baseline"/>
                      <w:lang w:val="en-US" w:eastAsia="zh-CN"/>
                    </w:rPr>
                    <w:t>。已超过设置数量的,应合理撤并,逐步减少。未达到设置数量的,应从严控制。</w:t>
                  </w:r>
                </w:p>
              </w:tc>
              <w:tc>
                <w:tcPr>
                  <w:tcW w:w="1429" w:type="pct"/>
                  <w:vAlign w:val="center"/>
                </w:tcPr>
                <w:p w14:paraId="17BFAAD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本项目所在地区并未设置生猪屠宰点。</w:t>
                  </w:r>
                </w:p>
              </w:tc>
              <w:tc>
                <w:tcPr>
                  <w:tcW w:w="385" w:type="pct"/>
                  <w:vAlign w:val="center"/>
                </w:tcPr>
                <w:p w14:paraId="2ABDD26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相符</w:t>
                  </w:r>
                </w:p>
              </w:tc>
            </w:tr>
            <w:tr w14:paraId="4BAB3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85" w:type="pct"/>
                  <w:vAlign w:val="center"/>
                </w:tcPr>
                <w:p w14:paraId="7ECBB6C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小型生猪定点屠宰场</w:t>
                  </w:r>
                  <w:r>
                    <w:rPr>
                      <w:rFonts w:hint="eastAsia" w:ascii="宋体" w:hAnsi="宋体" w:cs="宋体"/>
                      <w:sz w:val="21"/>
                      <w:szCs w:val="21"/>
                      <w:vertAlign w:val="baseline"/>
                      <w:lang w:val="en-US" w:eastAsia="zh-CN"/>
                    </w:rPr>
                    <w:t>点</w:t>
                  </w:r>
                  <w:r>
                    <w:rPr>
                      <w:rFonts w:hint="eastAsia" w:ascii="宋体" w:hAnsi="宋体" w:eastAsia="宋体" w:cs="宋体"/>
                      <w:sz w:val="21"/>
                      <w:szCs w:val="21"/>
                      <w:vertAlign w:val="baseline"/>
                      <w:lang w:val="en-US" w:eastAsia="zh-CN"/>
                    </w:rPr>
                    <w:t>生猪产品的供应范围原则上限于所在乡镇及其相邻周边乡镇,具体范围由县级人民政府进行明确。支持小型生猪定点屠宰场</w:t>
                  </w:r>
                  <w:r>
                    <w:rPr>
                      <w:rFonts w:hint="eastAsia" w:ascii="宋体" w:hAnsi="宋体" w:cs="宋体"/>
                      <w:sz w:val="21"/>
                      <w:szCs w:val="21"/>
                      <w:vertAlign w:val="baseline"/>
                      <w:lang w:val="en-US" w:eastAsia="zh-CN"/>
                    </w:rPr>
                    <w:t>点</w:t>
                  </w:r>
                  <w:r>
                    <w:rPr>
                      <w:rFonts w:hint="eastAsia" w:ascii="宋体" w:hAnsi="宋体" w:eastAsia="宋体" w:cs="宋体"/>
                      <w:sz w:val="21"/>
                      <w:szCs w:val="21"/>
                      <w:vertAlign w:val="baseline"/>
                      <w:lang w:val="en-US" w:eastAsia="zh-CN"/>
                    </w:rPr>
                    <w:t>延伸产业链条,推进养宰销一体化发展。对实行地方猪养殖、特色化养殖、品牌化经营的跨区域年养宰销</w:t>
                  </w:r>
                  <w:r>
                    <w:rPr>
                      <w:rFonts w:hint="default" w:ascii="Times New Roman" w:hAnsi="Times New Roman" w:eastAsia="宋体" w:cs="Times New Roman"/>
                      <w:sz w:val="21"/>
                      <w:szCs w:val="21"/>
                      <w:vertAlign w:val="baseline"/>
                      <w:lang w:val="en-US" w:eastAsia="zh-CN"/>
                    </w:rPr>
                    <w:t>2</w:t>
                  </w:r>
                  <w:r>
                    <w:rPr>
                      <w:rFonts w:hint="eastAsia" w:ascii="宋体" w:hAnsi="宋体" w:eastAsia="宋体" w:cs="宋体"/>
                      <w:sz w:val="21"/>
                      <w:szCs w:val="21"/>
                      <w:vertAlign w:val="baseline"/>
                      <w:lang w:val="en-US" w:eastAsia="zh-CN"/>
                    </w:rPr>
                    <w:t>万头以上的一体化企业,其小型生猪定点屠宰场的生猪产品可在自有肉品专卖店内销售。</w:t>
                  </w:r>
                </w:p>
              </w:tc>
              <w:tc>
                <w:tcPr>
                  <w:tcW w:w="1429" w:type="pct"/>
                  <w:vAlign w:val="center"/>
                </w:tcPr>
                <w:p w14:paraId="56A890F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本项目生猪产品提供范围为南岳镇镇区以及周边农村居民</w:t>
                  </w:r>
                </w:p>
              </w:tc>
              <w:tc>
                <w:tcPr>
                  <w:tcW w:w="385" w:type="pct"/>
                  <w:vAlign w:val="center"/>
                </w:tcPr>
                <w:p w14:paraId="680DA26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相符</w:t>
                  </w:r>
                </w:p>
              </w:tc>
            </w:tr>
          </w:tbl>
          <w:p w14:paraId="67BEF8B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③与《关于进一步规范畜禽屠宰行业管理的意见》</w:t>
            </w:r>
            <w:r>
              <w:rPr>
                <w:rFonts w:hint="eastAsia" w:cs="Times New Roman"/>
                <w:sz w:val="24"/>
                <w:szCs w:val="24"/>
                <w:lang w:val="en-US" w:eastAsia="zh-CN"/>
              </w:rPr>
              <w:t>（湘农联</w:t>
            </w:r>
            <w:r>
              <w:rPr>
                <w:rFonts w:hint="eastAsia" w:ascii="宋体" w:hAnsi="宋体" w:eastAsia="宋体" w:cs="宋体"/>
                <w:sz w:val="24"/>
                <w:szCs w:val="24"/>
                <w:lang w:val="en-US" w:eastAsia="zh-CN"/>
              </w:rPr>
              <w:t>〔2021〕17号）</w:t>
            </w:r>
            <w:r>
              <w:rPr>
                <w:rFonts w:hint="default" w:ascii="Times New Roman" w:hAnsi="Times New Roman" w:eastAsia="宋体" w:cs="Times New Roman"/>
                <w:sz w:val="24"/>
                <w:szCs w:val="24"/>
                <w:lang w:val="en-US" w:eastAsia="zh-CN"/>
              </w:rPr>
              <w:t>相符性分析</w:t>
            </w:r>
            <w:r>
              <w:rPr>
                <w:rFonts w:hint="eastAsia" w:cs="Times New Roman"/>
                <w:sz w:val="24"/>
                <w:szCs w:val="24"/>
                <w:lang w:val="en-US" w:eastAsia="zh-CN"/>
              </w:rPr>
              <w:t>：</w:t>
            </w:r>
          </w:p>
          <w:p w14:paraId="31CA0A0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b w:val="0"/>
                <w:bCs w:val="0"/>
                <w:u w:val="none"/>
                <w:lang w:val="en-US" w:eastAsia="zh-CN"/>
              </w:rPr>
            </w:pPr>
            <w:r>
              <w:rPr>
                <w:rFonts w:hint="default" w:ascii="Times New Roman" w:hAnsi="Times New Roman" w:cs="Times New Roman"/>
                <w:b w:val="0"/>
                <w:bCs w:val="0"/>
                <w:u w:val="none"/>
                <w:lang w:val="en-US" w:eastAsia="zh-CN"/>
              </w:rPr>
              <w:t>2021年5月28日，湖南省农业农村厅等4部门发布了</w:t>
            </w:r>
            <w:r>
              <w:rPr>
                <w:rFonts w:hint="default" w:ascii="Times New Roman" w:hAnsi="Times New Roman" w:eastAsia="宋体" w:cs="Times New Roman"/>
                <w:b w:val="0"/>
                <w:bCs w:val="0"/>
                <w:u w:val="none"/>
                <w:lang w:val="en-US" w:eastAsia="zh-CN"/>
              </w:rPr>
              <w:t>《关于进一步规范畜禽屠宰行业管理的意见》</w:t>
            </w:r>
            <w:r>
              <w:rPr>
                <w:rFonts w:hint="eastAsia" w:cs="Times New Roman"/>
                <w:sz w:val="24"/>
                <w:szCs w:val="24"/>
                <w:lang w:val="en-US" w:eastAsia="zh-CN"/>
              </w:rPr>
              <w:t>（湘农联</w:t>
            </w:r>
            <w:r>
              <w:rPr>
                <w:rFonts w:hint="eastAsia" w:ascii="宋体" w:hAnsi="宋体" w:eastAsia="宋体" w:cs="宋体"/>
                <w:sz w:val="24"/>
                <w:szCs w:val="24"/>
                <w:lang w:val="en-US" w:eastAsia="zh-CN"/>
              </w:rPr>
              <w:t>〔2021〕17号）</w:t>
            </w:r>
            <w:r>
              <w:rPr>
                <w:rFonts w:hint="default" w:ascii="Times New Roman" w:hAnsi="Times New Roman" w:eastAsia="宋体" w:cs="Times New Roman"/>
                <w:b w:val="0"/>
                <w:bCs w:val="0"/>
                <w:u w:val="none"/>
                <w:lang w:val="en-US" w:eastAsia="zh-CN"/>
              </w:rPr>
              <w:t>，本项目与《关于进一步规范畜禽屠宰行业管理的意见》</w:t>
            </w:r>
            <w:r>
              <w:rPr>
                <w:rFonts w:hint="eastAsia" w:cs="Times New Roman"/>
                <w:sz w:val="24"/>
                <w:szCs w:val="24"/>
                <w:lang w:val="en-US" w:eastAsia="zh-CN"/>
              </w:rPr>
              <w:t>（湘农联</w:t>
            </w:r>
            <w:r>
              <w:rPr>
                <w:rFonts w:hint="eastAsia" w:ascii="宋体" w:hAnsi="宋体" w:eastAsia="宋体" w:cs="宋体"/>
                <w:sz w:val="24"/>
                <w:szCs w:val="24"/>
                <w:lang w:val="en-US" w:eastAsia="zh-CN"/>
              </w:rPr>
              <w:t>〔2021〕17号）</w:t>
            </w:r>
            <w:r>
              <w:rPr>
                <w:rFonts w:hint="default" w:ascii="Times New Roman" w:hAnsi="Times New Roman" w:cs="Times New Roman"/>
                <w:b w:val="0"/>
                <w:bCs w:val="0"/>
                <w:u w:val="none"/>
                <w:lang w:val="en-US" w:eastAsia="zh-CN"/>
              </w:rPr>
              <w:t>的相符性分析见表1-4：</w:t>
            </w:r>
          </w:p>
          <w:p w14:paraId="5B55B69C">
            <w:pPr>
              <w:pStyle w:val="11"/>
              <w:pageBreakBefore w:val="0"/>
              <w:wordWrap/>
              <w:overflowPunct/>
              <w:spacing w:before="0" w:beforeAutospacing="0" w:after="0" w:afterAutospacing="0" w:line="360" w:lineRule="auto"/>
              <w:ind w:left="0" w:leftChars="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表1-4 本项目与《关于进一步规范畜禽屠宰行业管理的意见》（湘农联〔2021〕17号）的相符性分析</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0"/>
              <w:gridCol w:w="4226"/>
              <w:gridCol w:w="559"/>
            </w:tblGrid>
            <w:tr w14:paraId="4342F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30B389E6">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意见要求</w:t>
                  </w:r>
                </w:p>
              </w:tc>
              <w:tc>
                <w:tcPr>
                  <w:tcW w:w="0" w:type="auto"/>
                  <w:vAlign w:val="center"/>
                </w:tcPr>
                <w:p w14:paraId="109AC05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项目情况</w:t>
                  </w:r>
                </w:p>
              </w:tc>
              <w:tc>
                <w:tcPr>
                  <w:tcW w:w="0" w:type="auto"/>
                  <w:vAlign w:val="center"/>
                </w:tcPr>
                <w:p w14:paraId="4C03B17C">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是否相符</w:t>
                  </w:r>
                </w:p>
              </w:tc>
            </w:tr>
            <w:tr w14:paraId="57A57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696809E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力争用5年时间，全省创建50家标准化屠宰场。</w:t>
                  </w:r>
                </w:p>
                <w:p w14:paraId="0AC8565F">
                  <w:pPr>
                    <w:pStyle w:val="11"/>
                    <w:keepNext w:val="0"/>
                    <w:keepLines w:val="0"/>
                    <w:pageBreakBefore w:val="0"/>
                    <w:kinsoku/>
                    <w:wordWrap/>
                    <w:overflowPunct/>
                    <w:topLinePunct w:val="0"/>
                    <w:autoSpaceDE/>
                    <w:autoSpaceDN/>
                    <w:bidi w:val="0"/>
                    <w:adjustRightInd/>
                    <w:spacing w:before="0" w:beforeAutospacing="0" w:after="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年出栏生猪100万头以下的县，原则上只设置1家生猪屠宰场；</w:t>
                  </w:r>
                </w:p>
                <w:p w14:paraId="70CA40DF">
                  <w:pPr>
                    <w:pStyle w:val="11"/>
                    <w:keepNext w:val="0"/>
                    <w:keepLines w:val="0"/>
                    <w:pageBreakBefore w:val="0"/>
                    <w:kinsoku/>
                    <w:wordWrap/>
                    <w:overflowPunct/>
                    <w:topLinePunct w:val="0"/>
                    <w:autoSpaceDE/>
                    <w:autoSpaceDN/>
                    <w:bidi w:val="0"/>
                    <w:adjustRightInd/>
                    <w:spacing w:before="0" w:beforeAutospacing="0" w:after="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年出栏100万头以上的养殖大县，可设2家生猪屠宰场。</w:t>
                  </w:r>
                </w:p>
              </w:tc>
              <w:tc>
                <w:tcPr>
                  <w:tcW w:w="0" w:type="auto"/>
                  <w:vAlign w:val="center"/>
                </w:tcPr>
                <w:p w14:paraId="3DEE2D5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本项目选址建设符合当地规划要求。</w:t>
                  </w:r>
                </w:p>
              </w:tc>
              <w:tc>
                <w:tcPr>
                  <w:tcW w:w="0" w:type="auto"/>
                  <w:vAlign w:val="center"/>
                </w:tcPr>
                <w:p w14:paraId="7DA04C6B">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相符</w:t>
                  </w:r>
                </w:p>
              </w:tc>
            </w:tr>
            <w:tr w14:paraId="27EC9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2A006F2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规范乡镇小型生猪屠宰</w:t>
                  </w:r>
                  <w:r>
                    <w:rPr>
                      <w:rFonts w:hint="eastAsia" w:cs="Times New Roman"/>
                      <w:b w:val="0"/>
                      <w:bCs w:val="0"/>
                      <w:sz w:val="21"/>
                      <w:szCs w:val="21"/>
                      <w:u w:val="none"/>
                      <w:vertAlign w:val="baseline"/>
                      <w:lang w:val="en-US" w:eastAsia="zh-CN"/>
                    </w:rPr>
                    <w:t>场</w:t>
                  </w:r>
                  <w:r>
                    <w:rPr>
                      <w:rFonts w:hint="default" w:ascii="Times New Roman" w:hAnsi="Times New Roman" w:eastAsia="宋体" w:cs="Times New Roman"/>
                      <w:b w:val="0"/>
                      <w:bCs w:val="0"/>
                      <w:sz w:val="21"/>
                      <w:szCs w:val="21"/>
                      <w:u w:val="none"/>
                      <w:vertAlign w:val="baseline"/>
                      <w:lang w:val="en-US" w:eastAsia="zh-CN"/>
                    </w:rPr>
                    <w:t>点设置，除边远和交通不便的农村地区外，原则上以县为单位按农业农村部现有批准备案数量，总量控制，只减不增。</w:t>
                  </w:r>
                </w:p>
              </w:tc>
              <w:tc>
                <w:tcPr>
                  <w:tcW w:w="0" w:type="auto"/>
                  <w:vAlign w:val="center"/>
                </w:tcPr>
                <w:p w14:paraId="70A7701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项目所在南岳区目前无生猪屠宰场，为了便于南岳区居民生活需求，南岳区农业农村局特向湖南省畜牧水产事务中心申请建设1个小型生猪定点屠宰场，并获得湖南省畜牧水产事务中心批准</w:t>
                  </w:r>
                </w:p>
              </w:tc>
              <w:tc>
                <w:tcPr>
                  <w:tcW w:w="0" w:type="auto"/>
                  <w:vAlign w:val="center"/>
                </w:tcPr>
                <w:p w14:paraId="3EEA855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相符</w:t>
                  </w:r>
                </w:p>
              </w:tc>
            </w:tr>
            <w:tr w14:paraId="24EFD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386517A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坚决淘汰桥式劈半锯、敞式烫毛机等落后屠宰设备以及手工屠宰等落后工艺和落后产能。</w:t>
                  </w:r>
                </w:p>
              </w:tc>
              <w:tc>
                <w:tcPr>
                  <w:tcW w:w="0" w:type="auto"/>
                  <w:vAlign w:val="center"/>
                </w:tcPr>
                <w:p w14:paraId="4972592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本项目无淘汰设备及工艺。</w:t>
                  </w:r>
                </w:p>
              </w:tc>
              <w:tc>
                <w:tcPr>
                  <w:tcW w:w="0" w:type="auto"/>
                  <w:vAlign w:val="center"/>
                </w:tcPr>
                <w:p w14:paraId="3EC104C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z w:val="21"/>
                      <w:szCs w:val="21"/>
                      <w:u w:val="none"/>
                      <w:vertAlign w:val="baseline"/>
                      <w:lang w:val="en-US" w:eastAsia="zh-CN"/>
                    </w:rPr>
                  </w:pPr>
                  <w:r>
                    <w:rPr>
                      <w:rFonts w:hint="default" w:ascii="Times New Roman" w:hAnsi="Times New Roman" w:eastAsia="宋体" w:cs="Times New Roman"/>
                      <w:b w:val="0"/>
                      <w:bCs w:val="0"/>
                      <w:sz w:val="21"/>
                      <w:szCs w:val="21"/>
                      <w:u w:val="none"/>
                      <w:vertAlign w:val="baseline"/>
                      <w:lang w:val="en-US" w:eastAsia="zh-CN"/>
                    </w:rPr>
                    <w:t>相符</w:t>
                  </w:r>
                </w:p>
              </w:tc>
            </w:tr>
          </w:tbl>
          <w:p w14:paraId="4D128F3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u w:val="none"/>
                <w:lang w:val="en-US" w:eastAsia="zh-CN"/>
              </w:rPr>
            </w:pPr>
            <w:r>
              <w:rPr>
                <w:rFonts w:hint="default" w:ascii="Times New Roman" w:hAnsi="Times New Roman" w:eastAsia="宋体" w:cs="Times New Roman"/>
                <w:b w:val="0"/>
                <w:bCs w:val="0"/>
                <w:u w:val="none"/>
                <w:lang w:val="en-US" w:eastAsia="zh-CN"/>
              </w:rPr>
              <w:t>④与《湖南省生猪屠宰管理条例》的相符性分析</w:t>
            </w:r>
          </w:p>
          <w:p w14:paraId="6994621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val="0"/>
                <w:bCs w:val="0"/>
                <w:sz w:val="24"/>
                <w:szCs w:val="24"/>
                <w:u w:val="none"/>
                <w:lang w:val="en-US" w:eastAsia="zh-CN"/>
              </w:rPr>
              <w:t>该条例指出：生猪屠宰场所的选址，应当符合生猪屠宰行业发展规划、国土空间规划，进行动物防疫条件和环境影响风险评估，与居民生活区、生活饮用水水源地以及学校、医院等公共场所保持安全距离。</w:t>
            </w:r>
          </w:p>
          <w:p w14:paraId="7A5824F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sz w:val="24"/>
                <w:szCs w:val="24"/>
                <w:u w:val="none"/>
                <w:lang w:val="en-US" w:eastAsia="zh-CN"/>
              </w:rPr>
            </w:pPr>
            <w:r>
              <w:rPr>
                <w:rFonts w:hint="default" w:ascii="Times New Roman" w:hAnsi="Times New Roman" w:eastAsia="宋体" w:cs="Times New Roman"/>
                <w:b w:val="0"/>
                <w:bCs w:val="0"/>
                <w:sz w:val="24"/>
                <w:szCs w:val="24"/>
                <w:u w:val="none"/>
                <w:lang w:val="en-US" w:eastAsia="zh-CN"/>
              </w:rPr>
              <w:t>本项目选址周边没有饮用水水源保护区，项目选址于农村山区，与周边居民由树木阻碍，生产经营不会对附近村民的生产生活造成明显影响。</w:t>
            </w:r>
          </w:p>
          <w:p w14:paraId="0B73C89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sz w:val="24"/>
                <w:szCs w:val="24"/>
                <w:u w:val="none"/>
                <w:lang w:val="en-US" w:eastAsia="zh-CN"/>
              </w:rPr>
            </w:pPr>
            <w:r>
              <w:rPr>
                <w:rFonts w:hint="default" w:ascii="Times New Roman" w:hAnsi="Times New Roman" w:cs="Times New Roman"/>
                <w:b w:val="0"/>
                <w:bCs w:val="0"/>
                <w:sz w:val="24"/>
                <w:szCs w:val="24"/>
                <w:u w:val="none"/>
                <w:lang w:val="en-US" w:eastAsia="zh-CN"/>
              </w:rPr>
              <w:t>在严格落实本环评的环保措施的前提下,其对周边居民区的影响是比较小的。</w:t>
            </w:r>
          </w:p>
          <w:p w14:paraId="72E76BB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2" w:firstLineChars="200"/>
              <w:textAlignment w:val="auto"/>
              <w:rPr>
                <w:rFonts w:hint="default"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6、屠宰环境卫生符合性</w:t>
            </w:r>
          </w:p>
          <w:p w14:paraId="79FE3BD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eastAsia" w:ascii="宋体" w:hAnsi="宋体" w:eastAsia="宋体" w:cs="宋体"/>
                <w:sz w:val="24"/>
                <w:szCs w:val="24"/>
                <w:u w:val="none"/>
                <w:lang w:val="en-US" w:eastAsia="zh-CN"/>
              </w:rPr>
            </w:pPr>
            <w:r>
              <w:rPr>
                <w:rFonts w:hint="default" w:ascii="Times New Roman" w:hAnsi="Times New Roman" w:cs="Times New Roman"/>
                <w:sz w:val="24"/>
                <w:szCs w:val="24"/>
                <w:u w:val="none"/>
                <w:lang w:val="en-US" w:eastAsia="zh-CN"/>
              </w:rPr>
              <w:t>本项目属于南岳区政府规划的南岳镇生猪定点屠宰场，按照《猪屠宰与分割车间设计规范》（GB50317-2009）建设要求规范进行项目基础设施建设。要求厂区为混凝土硬化路面，场地平整，无积水，厂区内能</w:t>
            </w:r>
            <w:r>
              <w:rPr>
                <w:rFonts w:hint="default" w:ascii="Times New Roman" w:hAnsi="Times New Roman" w:cs="Times New Roman"/>
                <w:sz w:val="24"/>
                <w:szCs w:val="24"/>
                <w:highlight w:val="yellow"/>
                <w:u w:val="none"/>
                <w:lang w:val="en-US" w:eastAsia="zh-CN"/>
              </w:rPr>
              <w:t>实现清洁区与非清洁区分开，生猪及废弃物进出厂时间错分开</w:t>
            </w:r>
            <w:r>
              <w:rPr>
                <w:rFonts w:hint="default" w:ascii="Times New Roman" w:hAnsi="Times New Roman" w:cs="Times New Roman"/>
                <w:sz w:val="24"/>
                <w:szCs w:val="24"/>
                <w:u w:val="none"/>
                <w:lang w:val="en-US" w:eastAsia="zh-CN"/>
              </w:rPr>
              <w:t>。</w:t>
            </w:r>
            <w:r>
              <w:rPr>
                <w:rFonts w:hint="eastAsia" w:cs="Times New Roman"/>
                <w:sz w:val="24"/>
                <w:szCs w:val="24"/>
                <w:u w:val="none"/>
                <w:lang w:val="en-US" w:eastAsia="zh-CN"/>
              </w:rPr>
              <w:t>根据</w:t>
            </w:r>
            <w:r>
              <w:rPr>
                <w:rFonts w:hint="eastAsia" w:ascii="宋体" w:hAnsi="宋体" w:eastAsia="宋体" w:cs="宋体"/>
                <w:sz w:val="24"/>
                <w:szCs w:val="24"/>
                <w:u w:val="none"/>
                <w:lang w:val="en-US" w:eastAsia="zh-CN"/>
              </w:rPr>
              <w:t>《食品安全国家标准 畜禽屠宰加工卫生规范》（GB12694-2016）要求，厂区应划分为生产区和非生产区。活畜禽、废弃物运送与成品出厂不得共用一个大门，场内不得共用一个通道。厂区应在车间入口处、卫生间及车间内适当的地点设置与生产能力相适应的，配有适宜温度的洗手设施及消毒、干手设施。洗手设施应采用非手动式开关，排水应直接接入下水管道。厂区应设有与生产能力相适应并与车间相接的更衣室、卫生间、淋浴间，其设施和布局不应对产品造成潜在的污染风险。不同清洁程度要求的区域应设有单独的更衣室，个人衣物与工作服应分开存放。厂区运输畜禽车辆出入口处应设置与门同宽，长4m、深0.3m以上的消毒池；生产车间人口及车间内必要处，应设置换鞋(穿戴鞋套)设施或工作鞋靴消消毒设施，其规格尺寸应能满足消毒需要。</w:t>
            </w:r>
          </w:p>
          <w:p w14:paraId="03616E9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highlight w:val="yellow"/>
                <w:u w:val="none"/>
                <w:lang w:val="en-US" w:eastAsia="zh-CN"/>
              </w:rPr>
              <w:t>本项目厂区地面均做硬化处理，避免污水渗漏。</w:t>
            </w:r>
            <w:r>
              <w:rPr>
                <w:rFonts w:hint="default" w:ascii="Times New Roman" w:hAnsi="Times New Roman" w:cs="Times New Roman"/>
                <w:sz w:val="24"/>
                <w:szCs w:val="24"/>
                <w:u w:val="none"/>
                <w:lang w:val="en-US" w:eastAsia="zh-CN"/>
              </w:rPr>
              <w:t>场地平整，厂区内废弃物定时清理，地面保持洁净无积水，清洁区与非清洁区分开，生猪与危废错开运输避免交叉污染。</w:t>
            </w:r>
            <w:r>
              <w:rPr>
                <w:rFonts w:hint="eastAsia" w:cs="Times New Roman"/>
                <w:sz w:val="24"/>
                <w:szCs w:val="24"/>
                <w:u w:val="none"/>
                <w:lang w:val="en-US" w:eastAsia="zh-CN"/>
              </w:rPr>
              <w:t>厂区设有更衣室、洗手和卫生间清洁消毒设施，并设有消毒池。</w:t>
            </w:r>
          </w:p>
          <w:p w14:paraId="4F34175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default" w:ascii="Times New Roman" w:hAnsi="Times New Roman" w:cs="Times New Roman"/>
                <w:sz w:val="24"/>
                <w:szCs w:val="24"/>
                <w:u w:val="none"/>
                <w:lang w:val="en-US" w:eastAsia="zh-CN"/>
              </w:rPr>
              <w:t>此外，项目所在区域的空气环境质量、声环境质量较好，项目不直接向地表水体排放废水，对地表水影响较小。据此，项目按环评要求进行建设的前提下，不存在重大环境制约因素</w:t>
            </w:r>
            <w:r>
              <w:rPr>
                <w:rFonts w:hint="default" w:ascii="Times New Roman" w:hAnsi="Times New Roman" w:cs="Times New Roman"/>
                <w:color w:val="000000" w:themeColor="text1"/>
                <w:sz w:val="24"/>
                <w:szCs w:val="24"/>
                <w:u w:val="none"/>
                <w:lang w:val="en-US" w:eastAsia="zh-CN"/>
                <w14:textFill>
                  <w14:solidFill>
                    <w14:schemeClr w14:val="tx1"/>
                  </w14:solidFill>
                </w14:textFill>
              </w:rPr>
              <w:t>。</w:t>
            </w:r>
          </w:p>
          <w:p w14:paraId="2400D888">
            <w:pPr>
              <w:pStyle w:val="11"/>
              <w:keepNext w:val="0"/>
              <w:keepLines w:val="0"/>
              <w:pageBreakBefore w:val="0"/>
              <w:widowControl/>
              <w:numPr>
                <w:ilvl w:val="0"/>
                <w:numId w:val="1"/>
              </w:numPr>
              <w:kinsoku/>
              <w:wordWrap/>
              <w:overflowPunct/>
              <w:topLinePunct w:val="0"/>
              <w:autoSpaceDE/>
              <w:autoSpaceDN/>
              <w:bidi w:val="0"/>
              <w:adjustRightInd/>
              <w:snapToGrid w:val="0"/>
              <w:spacing w:before="0" w:beforeAutospacing="0" w:after="0" w:afterAutospacing="0" w:line="360" w:lineRule="auto"/>
              <w:ind w:left="0" w:leftChars="0" w:right="0" w:firstLine="482" w:firstLineChars="200"/>
              <w:textAlignment w:val="auto"/>
              <w:rPr>
                <w:rFonts w:hint="default"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总平面布置图分析</w:t>
            </w:r>
          </w:p>
          <w:p w14:paraId="5A069A63">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Chars="0" w:right="0" w:rightChars="0" w:firstLine="480"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sz w:val="24"/>
                <w:szCs w:val="24"/>
                <w:u w:val="none"/>
                <w:lang w:val="en-US" w:eastAsia="zh-CN"/>
              </w:rPr>
              <w:t>本项目生产区按照生产工艺流程合理布置，总图布置在满足项目的工艺、运输、防火、卫生及安全要求的前提下，合理利用，功能分区明确、组织协作良好，方便联系和管理，避免人流、物流相互干扰，确保生产运输和安全，厂房总平面布置合理</w:t>
            </w:r>
            <w:r>
              <w:rPr>
                <w:rFonts w:hint="default" w:ascii="Times New Roman" w:hAnsi="Times New Roman" w:eastAsia="宋体" w:cs="Times New Roman"/>
                <w:u w:val="none"/>
                <w:lang w:val="en-US" w:eastAsia="zh-CN"/>
              </w:rPr>
              <w:t>。</w:t>
            </w:r>
          </w:p>
        </w:tc>
      </w:tr>
    </w:tbl>
    <w:p w14:paraId="20120BCC">
      <w:pPr>
        <w:pStyle w:val="2"/>
        <w:pageBreakBefore w:val="0"/>
        <w:numPr>
          <w:ilvl w:val="0"/>
          <w:numId w:val="0"/>
        </w:numPr>
        <w:wordWrap/>
        <w:overflowPunct/>
        <w:bidi w:val="0"/>
        <w:spacing w:beforeAutospacing="0" w:afterAutospacing="0" w:line="360" w:lineRule="auto"/>
        <w:ind w:left="0" w:leftChars="0" w:right="0" w:firstLine="0" w:firstLineChars="0"/>
        <w:rPr>
          <w:rFonts w:hint="default" w:ascii="Times New Roman" w:hAnsi="Times New Roman" w:cs="Times New Roman"/>
          <w:lang w:val="en-US" w:eastAsia="zh-CN"/>
        </w:rPr>
      </w:pPr>
      <w:bookmarkStart w:id="7" w:name="_Toc9069"/>
      <w:bookmarkStart w:id="8" w:name="_Toc19644"/>
      <w:bookmarkStart w:id="9" w:name="_Toc6617"/>
      <w:bookmarkStart w:id="10" w:name="_Toc16245"/>
      <w:r>
        <w:rPr>
          <w:rFonts w:hint="default" w:ascii="Times New Roman" w:hAnsi="Times New Roman" w:eastAsia="宋体" w:cs="Times New Roman"/>
          <w:b/>
          <w:kern w:val="44"/>
          <w:sz w:val="32"/>
          <w:szCs w:val="32"/>
          <w:lang w:val="en-US" w:eastAsia="zh-CN" w:bidi="ar-SA"/>
        </w:rPr>
        <w:t>二、</w:t>
      </w:r>
      <w:r>
        <w:rPr>
          <w:rFonts w:hint="default" w:ascii="Times New Roman" w:hAnsi="Times New Roman" w:cs="Times New Roman"/>
          <w:lang w:val="en-US" w:eastAsia="zh-CN"/>
        </w:rPr>
        <w:t>建设项目工程分析</w:t>
      </w:r>
      <w:bookmarkEnd w:id="7"/>
      <w:bookmarkEnd w:id="8"/>
      <w:bookmarkEnd w:id="9"/>
      <w:bookmarkEnd w:id="10"/>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069"/>
      </w:tblGrid>
      <w:tr w14:paraId="3C90D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9" w:type="dxa"/>
            <w:noWrap w:val="0"/>
            <w:vAlign w:val="center"/>
          </w:tcPr>
          <w:p w14:paraId="68F297B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cs="Times New Roman"/>
                <w:vertAlign w:val="baseline"/>
              </w:rPr>
            </w:pPr>
            <w:r>
              <w:rPr>
                <w:rFonts w:hint="default" w:ascii="Times New Roman" w:hAnsi="Times New Roman" w:cs="Times New Roman"/>
                <w:u w:val="none"/>
                <w:lang w:val="en-US" w:eastAsia="zh-CN"/>
              </w:rPr>
              <w:t>建设内容</w:t>
            </w:r>
          </w:p>
        </w:tc>
        <w:tc>
          <w:tcPr>
            <w:tcW w:w="8073" w:type="dxa"/>
            <w:noWrap w:val="0"/>
            <w:vAlign w:val="center"/>
          </w:tcPr>
          <w:p w14:paraId="03766CB9">
            <w:pPr>
              <w:pageBreakBefore w:val="0"/>
              <w:wordWrap/>
              <w:overflowPunct/>
              <w:bidi w:val="0"/>
              <w:spacing w:beforeAutospacing="0" w:afterAutospacing="0" w:line="360" w:lineRule="auto"/>
              <w:ind w:left="0" w:leftChars="0" w:right="0"/>
              <w:jc w:val="both"/>
              <w:rPr>
                <w:rFonts w:hint="default" w:ascii="Times New Roman" w:hAnsi="Times New Roman" w:cs="Times New Roman"/>
                <w:b/>
                <w:bCs/>
                <w:u w:val="none"/>
                <w:lang w:val="en-US" w:eastAsia="zh-CN"/>
              </w:rPr>
            </w:pPr>
            <w:r>
              <w:rPr>
                <w:rFonts w:hint="default" w:ascii="Times New Roman" w:hAnsi="Times New Roman" w:cs="Times New Roman"/>
                <w:b/>
                <w:bCs/>
                <w:u w:val="none"/>
                <w:lang w:val="en-US" w:eastAsia="zh-CN"/>
              </w:rPr>
              <w:t>1、项目概况</w:t>
            </w:r>
          </w:p>
          <w:p w14:paraId="28D7BA75">
            <w:pPr>
              <w:pageBreakBefore w:val="0"/>
              <w:wordWrap/>
              <w:overflowPunct/>
              <w:bidi w:val="0"/>
              <w:spacing w:beforeAutospacing="0" w:afterAutospacing="0" w:line="360" w:lineRule="auto"/>
              <w:ind w:left="0" w:leftChars="0" w:right="0"/>
              <w:jc w:val="both"/>
              <w:rPr>
                <w:rFonts w:hint="default" w:ascii="Times New Roman" w:hAnsi="Times New Roman" w:cs="Times New Roman"/>
                <w:u w:val="none"/>
                <w:lang w:val="en-US" w:eastAsia="zh-CN"/>
              </w:rPr>
            </w:pPr>
            <w:r>
              <w:rPr>
                <w:rFonts w:hint="default" w:ascii="Times New Roman" w:hAnsi="Times New Roman" w:cs="Times New Roman"/>
                <w:b/>
                <w:bCs/>
                <w:u w:val="none"/>
                <w:lang w:val="en-US" w:eastAsia="zh-CN"/>
              </w:rPr>
              <w:t>项目名称</w:t>
            </w:r>
            <w:r>
              <w:rPr>
                <w:rFonts w:hint="default" w:ascii="Times New Roman" w:hAnsi="Times New Roman" w:cs="Times New Roman"/>
                <w:u w:val="none"/>
                <w:lang w:val="en-US" w:eastAsia="zh-CN"/>
              </w:rPr>
              <w:t>：南岳区岳旺生猪定点屠宰场建设项目</w:t>
            </w:r>
          </w:p>
          <w:p w14:paraId="5D0395C3">
            <w:pPr>
              <w:pageBreakBefore w:val="0"/>
              <w:wordWrap/>
              <w:overflowPunct/>
              <w:bidi w:val="0"/>
              <w:spacing w:beforeAutospacing="0" w:afterAutospacing="0" w:line="360" w:lineRule="auto"/>
              <w:ind w:left="0" w:leftChars="0" w:right="0"/>
              <w:jc w:val="both"/>
              <w:rPr>
                <w:rFonts w:hint="default" w:ascii="Times New Roman" w:hAnsi="Times New Roman" w:cs="Times New Roman"/>
                <w:b w:val="0"/>
                <w:bCs w:val="0"/>
                <w:u w:val="none"/>
                <w:lang w:val="en-US" w:eastAsia="zh-CN"/>
              </w:rPr>
            </w:pPr>
            <w:r>
              <w:rPr>
                <w:rFonts w:hint="default" w:ascii="Times New Roman" w:hAnsi="Times New Roman" w:cs="Times New Roman"/>
                <w:b/>
                <w:bCs/>
                <w:u w:val="none"/>
                <w:lang w:val="en-US" w:eastAsia="zh-CN"/>
              </w:rPr>
              <w:t>建设单位</w:t>
            </w:r>
            <w:r>
              <w:rPr>
                <w:rFonts w:hint="default" w:ascii="Times New Roman" w:hAnsi="Times New Roman" w:cs="Times New Roman"/>
                <w:u w:val="none"/>
                <w:lang w:val="en-US" w:eastAsia="zh-CN"/>
              </w:rPr>
              <w:t>：衡阳市南岳区岳旺屠宰有限公司</w:t>
            </w:r>
          </w:p>
          <w:p w14:paraId="12137E62">
            <w:pPr>
              <w:pageBreakBefore w:val="0"/>
              <w:wordWrap/>
              <w:overflowPunct/>
              <w:bidi w:val="0"/>
              <w:spacing w:beforeAutospacing="0" w:afterAutospacing="0" w:line="360" w:lineRule="auto"/>
              <w:ind w:left="0" w:leftChars="0" w:right="0"/>
              <w:jc w:val="both"/>
              <w:rPr>
                <w:rFonts w:hint="default" w:ascii="Times New Roman" w:hAnsi="Times New Roman" w:cs="Times New Roman"/>
                <w:u w:val="none"/>
                <w:lang w:val="en-US" w:eastAsia="zh-CN"/>
              </w:rPr>
            </w:pPr>
            <w:r>
              <w:rPr>
                <w:rFonts w:hint="default" w:ascii="Times New Roman" w:hAnsi="Times New Roman" w:cs="Times New Roman"/>
                <w:b/>
                <w:bCs/>
                <w:u w:val="none"/>
                <w:lang w:val="en-US" w:eastAsia="zh-CN"/>
              </w:rPr>
              <w:t>建设性质</w:t>
            </w:r>
            <w:r>
              <w:rPr>
                <w:rFonts w:hint="default" w:ascii="Times New Roman" w:hAnsi="Times New Roman" w:cs="Times New Roman"/>
                <w:u w:val="none"/>
                <w:lang w:val="en-US" w:eastAsia="zh-CN"/>
              </w:rPr>
              <w:t>：</w:t>
            </w:r>
            <w:r>
              <w:rPr>
                <w:rFonts w:hint="default" w:ascii="Times New Roman" w:hAnsi="Times New Roman" w:eastAsia="宋体" w:cs="Times New Roman"/>
                <w:u w:val="none"/>
                <w:lang w:val="en-US" w:eastAsia="zh-CN"/>
              </w:rPr>
              <w:t>新建</w:t>
            </w:r>
          </w:p>
          <w:p w14:paraId="6FE6E001">
            <w:pPr>
              <w:pageBreakBefore w:val="0"/>
              <w:wordWrap/>
              <w:overflowPunct/>
              <w:bidi w:val="0"/>
              <w:spacing w:beforeAutospacing="0" w:afterAutospacing="0" w:line="360" w:lineRule="auto"/>
              <w:ind w:left="0" w:leftChars="0" w:right="0"/>
              <w:jc w:val="both"/>
              <w:rPr>
                <w:rFonts w:hint="default" w:ascii="Times New Roman" w:hAnsi="Times New Roman" w:cs="Times New Roman"/>
                <w:highlight w:val="yellow"/>
                <w:u w:val="none"/>
                <w:lang w:val="en-US" w:eastAsia="zh-CN"/>
              </w:rPr>
            </w:pPr>
            <w:r>
              <w:rPr>
                <w:rFonts w:hint="default" w:ascii="Times New Roman" w:hAnsi="Times New Roman" w:cs="Times New Roman"/>
                <w:b/>
                <w:bCs/>
                <w:u w:val="none"/>
                <w:lang w:val="en-US" w:eastAsia="zh-CN"/>
              </w:rPr>
              <w:t>建设地点</w:t>
            </w:r>
            <w:r>
              <w:rPr>
                <w:rFonts w:hint="default" w:ascii="Times New Roman" w:hAnsi="Times New Roman" w:cs="Times New Roman"/>
                <w:u w:val="none"/>
                <w:lang w:val="en-US" w:eastAsia="zh-CN"/>
              </w:rPr>
              <w:t>：南岳镇烧田村上粮组</w:t>
            </w:r>
            <w:r>
              <w:rPr>
                <w:rFonts w:hint="default" w:ascii="Times New Roman" w:hAnsi="Times New Roman" w:cs="Times New Roman"/>
                <w:highlight w:val="none"/>
                <w:u w:val="none"/>
                <w:lang w:val="en-US" w:eastAsia="zh-CN"/>
              </w:rPr>
              <w:t>（东经 112度42 分51.4802秒，北纬27 度 12分8.3564 秒）</w:t>
            </w:r>
          </w:p>
          <w:p w14:paraId="3F468A7D">
            <w:pPr>
              <w:pageBreakBefore w:val="0"/>
              <w:wordWrap/>
              <w:overflowPunct/>
              <w:bidi w:val="0"/>
              <w:spacing w:beforeAutospacing="0" w:afterAutospacing="0" w:line="360" w:lineRule="auto"/>
              <w:ind w:left="0" w:leftChars="0" w:right="0"/>
              <w:jc w:val="both"/>
              <w:rPr>
                <w:rFonts w:hint="default" w:ascii="Times New Roman" w:hAnsi="Times New Roman" w:cs="Times New Roman"/>
                <w:u w:val="none"/>
                <w:lang w:val="en-US" w:eastAsia="zh-CN"/>
              </w:rPr>
            </w:pPr>
            <w:r>
              <w:rPr>
                <w:rFonts w:hint="default" w:ascii="Times New Roman" w:hAnsi="Times New Roman" w:cs="Times New Roman"/>
                <w:b/>
                <w:bCs/>
                <w:u w:val="none"/>
                <w:lang w:val="en-US" w:eastAsia="zh-CN"/>
              </w:rPr>
              <w:t>项目投资</w:t>
            </w:r>
            <w:r>
              <w:rPr>
                <w:rFonts w:hint="default" w:ascii="Times New Roman" w:hAnsi="Times New Roman" w:cs="Times New Roman"/>
                <w:u w:val="none"/>
                <w:lang w:val="en-US" w:eastAsia="zh-CN"/>
              </w:rPr>
              <w:t>：</w:t>
            </w:r>
            <w:r>
              <w:rPr>
                <w:rFonts w:hint="default" w:ascii="Times New Roman" w:hAnsi="Times New Roman" w:cs="Times New Roman"/>
                <w:highlight w:val="none"/>
                <w:u w:val="none"/>
                <w:lang w:val="en-US" w:eastAsia="zh-CN"/>
              </w:rPr>
              <w:t>总投资600万元（其中环保投资为</w:t>
            </w:r>
            <w:r>
              <w:rPr>
                <w:rFonts w:hint="default" w:ascii="Times New Roman" w:hAnsi="Times New Roman" w:cs="Times New Roman"/>
                <w:color w:val="auto"/>
                <w:highlight w:val="none"/>
                <w:u w:val="none"/>
                <w:lang w:val="en-US" w:eastAsia="zh-CN"/>
              </w:rPr>
              <w:t>35万元，约占总投资的1.7%</w:t>
            </w:r>
            <w:r>
              <w:rPr>
                <w:rFonts w:hint="default" w:ascii="Times New Roman" w:hAnsi="Times New Roman" w:cs="Times New Roman"/>
                <w:highlight w:val="none"/>
                <w:u w:val="none"/>
                <w:lang w:val="en-US" w:eastAsia="zh-CN"/>
              </w:rPr>
              <w:t>）</w:t>
            </w:r>
          </w:p>
          <w:p w14:paraId="39C87EF0">
            <w:pPr>
              <w:pageBreakBefore w:val="0"/>
              <w:wordWrap/>
              <w:overflowPunct/>
              <w:bidi w:val="0"/>
              <w:spacing w:beforeAutospacing="0" w:afterAutospacing="0" w:line="360" w:lineRule="auto"/>
              <w:ind w:left="0" w:leftChars="0" w:right="0"/>
              <w:jc w:val="both"/>
              <w:rPr>
                <w:rFonts w:hint="default" w:ascii="Times New Roman" w:hAnsi="Times New Roman" w:cs="Times New Roman"/>
                <w:color w:val="000000"/>
                <w:kern w:val="0"/>
                <w:sz w:val="24"/>
                <w:szCs w:val="24"/>
                <w:highlight w:val="none"/>
                <w:lang w:val="en-US" w:eastAsia="zh-CN" w:bidi="ar"/>
              </w:rPr>
            </w:pPr>
            <w:r>
              <w:rPr>
                <w:rFonts w:hint="default" w:ascii="Times New Roman" w:hAnsi="Times New Roman" w:cs="Times New Roman"/>
                <w:b/>
                <w:bCs/>
                <w:u w:val="none"/>
                <w:lang w:val="en-US" w:eastAsia="zh-CN"/>
              </w:rPr>
              <w:t>项目由来</w:t>
            </w:r>
            <w:r>
              <w:rPr>
                <w:rFonts w:hint="default" w:ascii="Times New Roman" w:hAnsi="Times New Roman" w:cs="Times New Roman"/>
                <w:u w:val="none"/>
                <w:lang w:val="en-US" w:eastAsia="zh-CN"/>
              </w:rPr>
              <w:t>：随着我国经济快速发展，人民生活水平不断提高，人们对食品更加注重卫生、营养、健康、绿色。标准化屠宰场依据国家与地方相关法律法规建设，拥有完善的生产管理制度、设施设备以及技术工艺，能够在源头上控制肉类产品在生产到销售环节中可能存在的污染源。通过集中屠宰和规范化管理，可以有效防止不合格肉品流入市场，保障消费者的食品安全。由于南岳区目前无生猪屠宰场，为了便于南岳区居民生活需求，</w:t>
            </w:r>
            <w:r>
              <w:rPr>
                <w:rFonts w:hint="default" w:ascii="Times New Roman" w:hAnsi="Times New Roman" w:cs="Times New Roman"/>
                <w:highlight w:val="yellow"/>
                <w:u w:val="none"/>
                <w:lang w:val="en-US" w:eastAsia="zh-CN"/>
              </w:rPr>
              <w:t>南岳区农业农村局特向湖南省畜牧水产事务中心申请建设1个小型生猪定点屠宰场。</w:t>
            </w:r>
            <w:r>
              <w:rPr>
                <w:rFonts w:hint="default" w:ascii="Times New Roman" w:hAnsi="Times New Roman" w:cs="Times New Roman"/>
                <w:u w:val="none"/>
                <w:lang w:val="en-US" w:eastAsia="zh-CN"/>
              </w:rPr>
              <w:t>湖南省畜牧水产事务中心复函《关于南岳区建设1个小型生猪定点屠宰点的复函》（见附件4）内容，允许南岳区建设1个小型生猪定点屠宰场。衡阳市南岳区岳旺屠宰有限公司</w:t>
            </w:r>
            <w:r>
              <w:rPr>
                <w:rFonts w:hint="default" w:ascii="Times New Roman" w:hAnsi="Times New Roman" w:eastAsia="宋体" w:cs="Times New Roman"/>
                <w:color w:val="000000"/>
                <w:kern w:val="0"/>
                <w:sz w:val="24"/>
                <w:szCs w:val="24"/>
                <w:lang w:val="en-US" w:eastAsia="zh-CN" w:bidi="ar"/>
              </w:rPr>
              <w:t>拟投资</w:t>
            </w:r>
            <w:r>
              <w:rPr>
                <w:rFonts w:hint="default" w:ascii="Times New Roman" w:hAnsi="Times New Roman" w:cs="Times New Roman"/>
                <w:color w:val="000000"/>
                <w:kern w:val="0"/>
                <w:sz w:val="24"/>
                <w:szCs w:val="24"/>
                <w:lang w:val="en-US" w:eastAsia="zh-CN" w:bidi="ar"/>
              </w:rPr>
              <w:t>600</w:t>
            </w:r>
            <w:r>
              <w:rPr>
                <w:rFonts w:hint="default" w:ascii="Times New Roman" w:hAnsi="Times New Roman" w:eastAsia="宋体" w:cs="Times New Roman"/>
                <w:color w:val="000000"/>
                <w:kern w:val="0"/>
                <w:sz w:val="24"/>
                <w:szCs w:val="24"/>
                <w:lang w:val="en-US" w:eastAsia="zh-CN" w:bidi="ar"/>
              </w:rPr>
              <w:t>万元，建设南岳区岳旺生猪定点屠宰场建设项目</w:t>
            </w:r>
            <w:r>
              <w:rPr>
                <w:rFonts w:hint="default" w:ascii="Times New Roman" w:hAnsi="Times New Roman" w:cs="Times New Roman"/>
                <w:color w:val="000000"/>
                <w:kern w:val="0"/>
                <w:sz w:val="24"/>
                <w:szCs w:val="24"/>
                <w:lang w:val="en-US" w:eastAsia="zh-CN" w:bidi="ar"/>
              </w:rPr>
              <w:t>。该建设项目主要建筑物包</w:t>
            </w:r>
            <w:r>
              <w:rPr>
                <w:rFonts w:hint="default" w:ascii="Times New Roman" w:hAnsi="Times New Roman" w:cs="Times New Roman"/>
                <w:color w:val="000000"/>
                <w:kern w:val="0"/>
                <w:sz w:val="24"/>
                <w:szCs w:val="24"/>
                <w:highlight w:val="none"/>
                <w:lang w:val="en-US" w:eastAsia="zh-CN" w:bidi="ar"/>
              </w:rPr>
              <w:t>括检疫房、屠宰房等基础设施，共计占地3985.29平方米，总建筑面积为5098平方米。</w:t>
            </w:r>
          </w:p>
          <w:p w14:paraId="35567B0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根据《中华人民共和国环境保护法》《中</w:t>
            </w:r>
            <w:r>
              <w:rPr>
                <w:rFonts w:hint="eastAsia" w:cs="Times New Roman"/>
                <w:color w:val="000000"/>
                <w:kern w:val="0"/>
                <w:sz w:val="24"/>
                <w:szCs w:val="24"/>
                <w:lang w:val="en-US" w:eastAsia="zh-CN" w:bidi="ar"/>
              </w:rPr>
              <w:t>华</w:t>
            </w:r>
            <w:r>
              <w:rPr>
                <w:rFonts w:hint="default" w:ascii="Times New Roman" w:hAnsi="Times New Roman" w:cs="Times New Roman"/>
                <w:color w:val="000000"/>
                <w:kern w:val="0"/>
                <w:sz w:val="24"/>
                <w:szCs w:val="24"/>
                <w:lang w:val="en-US" w:eastAsia="zh-CN" w:bidi="ar"/>
              </w:rPr>
              <w:t>人民共和国环境影响评价法》和《建设项目环境保护管理条例》等有关环保法律、法规，建设项目需进行环境影响评价。结合本项目建设情况，检索《建设项目环境影响评价分类管理名录（2021年版）》相关规定，项目属于</w:t>
            </w:r>
            <w:r>
              <w:rPr>
                <w:rFonts w:hint="eastAsia" w:ascii="宋体" w:hAnsi="宋体" w:eastAsia="宋体" w:cs="宋体"/>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 xml:space="preserve">十、农副食品加工业 </w:t>
            </w:r>
            <w:r>
              <w:rPr>
                <w:rFonts w:hint="eastAsia" w:ascii="宋体" w:hAnsi="宋体" w:eastAsia="宋体" w:cs="宋体"/>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类别中的</w:t>
            </w:r>
            <w:r>
              <w:rPr>
                <w:rFonts w:hint="eastAsia" w:ascii="宋体" w:hAnsi="宋体" w:eastAsia="宋体" w:cs="宋体"/>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18 、屠宰及肉类加工 135*</w:t>
            </w:r>
            <w:r>
              <w:rPr>
                <w:rFonts w:hint="eastAsia" w:ascii="宋体" w:hAnsi="宋体" w:eastAsia="宋体" w:cs="宋体"/>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的其他屠宰项目，根据规定应编制环境影响报告表。衡阳市南岳区岳旺屠宰有限公司随即委托</w:t>
            </w:r>
            <w:r>
              <w:rPr>
                <w:rFonts w:hint="eastAsia" w:cs="Times New Roman"/>
                <w:color w:val="000000"/>
                <w:kern w:val="0"/>
                <w:sz w:val="24"/>
                <w:szCs w:val="24"/>
                <w:lang w:val="en-US" w:eastAsia="zh-CN" w:bidi="ar"/>
              </w:rPr>
              <w:t>湖南</w:t>
            </w:r>
            <w:r>
              <w:rPr>
                <w:rFonts w:hint="default" w:ascii="Times New Roman" w:hAnsi="Times New Roman" w:cs="Times New Roman"/>
                <w:color w:val="000000"/>
                <w:kern w:val="0"/>
                <w:sz w:val="24"/>
                <w:szCs w:val="24"/>
                <w:lang w:val="en-US" w:eastAsia="zh-CN" w:bidi="ar"/>
              </w:rPr>
              <w:t>绿宏环保科技有限公司进行本项目环境影响报告表的编制工作。我单位接受委托后，立即开展了详细的现场调查、资料收集工作，在对本项目的环境现状和可能造成的环境影响进行分析后，依照环境影响评价技术导则的要求编制了环境影响报告表，待审批后作为开展项目建设环保设计及主管部门环境管理工作的依据。</w:t>
            </w:r>
            <w:r>
              <w:rPr>
                <w:rFonts w:hint="default" w:ascii="Times New Roman" w:hAnsi="Times New Roman" w:eastAsia="宋体" w:cs="Times New Roman"/>
                <w:color w:val="000000"/>
                <w:kern w:val="0"/>
                <w:sz w:val="24"/>
                <w:szCs w:val="24"/>
                <w:lang w:val="en-US" w:eastAsia="zh-CN" w:bidi="ar"/>
              </w:rPr>
              <w:t>根据《建设项目环境影响评价分类管理名录（2021 年版）》，与本项目相关内容见下表2-1。</w:t>
            </w:r>
          </w:p>
          <w:p w14:paraId="7C4CC0B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表2-1建设项目环境影响评价分类管理名录</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295"/>
              <w:gridCol w:w="2585"/>
              <w:gridCol w:w="1759"/>
              <w:gridCol w:w="756"/>
              <w:gridCol w:w="1022"/>
            </w:tblGrid>
            <w:tr w14:paraId="3F236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gridSpan w:val="2"/>
                  <w:tcBorders>
                    <w:tl2br w:val="single" w:color="auto" w:sz="4" w:space="0"/>
                  </w:tcBorders>
                  <w:noWrap w:val="0"/>
                  <w:vAlign w:val="center"/>
                </w:tcPr>
                <w:p w14:paraId="54CBB39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right"/>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 xml:space="preserve"> 环评类别</w:t>
                  </w:r>
                </w:p>
                <w:p w14:paraId="1EAB1CA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left"/>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项目类别</w:t>
                  </w:r>
                </w:p>
              </w:tc>
              <w:tc>
                <w:tcPr>
                  <w:tcW w:w="0" w:type="auto"/>
                  <w:noWrap w:val="0"/>
                  <w:vAlign w:val="center"/>
                </w:tcPr>
                <w:p w14:paraId="37CAC76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报告书</w:t>
                  </w:r>
                </w:p>
              </w:tc>
              <w:tc>
                <w:tcPr>
                  <w:tcW w:w="0" w:type="auto"/>
                  <w:noWrap w:val="0"/>
                  <w:vAlign w:val="center"/>
                </w:tcPr>
                <w:p w14:paraId="0015C22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报告表</w:t>
                  </w:r>
                </w:p>
              </w:tc>
              <w:tc>
                <w:tcPr>
                  <w:tcW w:w="0" w:type="auto"/>
                  <w:noWrap w:val="0"/>
                  <w:vAlign w:val="center"/>
                </w:tcPr>
                <w:p w14:paraId="69239AE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登记表</w:t>
                  </w:r>
                </w:p>
              </w:tc>
              <w:tc>
                <w:tcPr>
                  <w:tcW w:w="0" w:type="auto"/>
                  <w:noWrap w:val="0"/>
                  <w:vAlign w:val="center"/>
                </w:tcPr>
                <w:p w14:paraId="065DB4B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本栏目环境敏感区含义</w:t>
                  </w:r>
                </w:p>
              </w:tc>
            </w:tr>
            <w:tr w14:paraId="76B17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gridSpan w:val="6"/>
                  <w:noWrap w:val="0"/>
                  <w:vAlign w:val="center"/>
                </w:tcPr>
                <w:p w14:paraId="4A9D8A8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rPr>
                    <w:t>十、农副食品加工业 13</w:t>
                  </w:r>
                </w:p>
              </w:tc>
            </w:tr>
            <w:tr w14:paraId="45B9F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0" w:type="auto"/>
                  <w:noWrap w:val="0"/>
                  <w:vAlign w:val="center"/>
                </w:tcPr>
                <w:p w14:paraId="665316D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18</w:t>
                  </w:r>
                </w:p>
              </w:tc>
              <w:tc>
                <w:tcPr>
                  <w:tcW w:w="0" w:type="auto"/>
                  <w:noWrap w:val="0"/>
                  <w:vAlign w:val="center"/>
                </w:tcPr>
                <w:p w14:paraId="58A6CA2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屠宰及肉类加工 135*</w:t>
                  </w:r>
                </w:p>
              </w:tc>
              <w:tc>
                <w:tcPr>
                  <w:tcW w:w="0" w:type="auto"/>
                  <w:noWrap w:val="0"/>
                  <w:vAlign w:val="center"/>
                </w:tcPr>
                <w:p w14:paraId="17B338F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屠宰生猪10万头、肉牛1万头、肉羊15万只、禽类1000万只及以上的</w:t>
                  </w:r>
                </w:p>
              </w:tc>
              <w:tc>
                <w:tcPr>
                  <w:tcW w:w="0" w:type="auto"/>
                  <w:noWrap w:val="0"/>
                  <w:vAlign w:val="center"/>
                </w:tcPr>
                <w:p w14:paraId="089717C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sz w:val="21"/>
                      <w:szCs w:val="21"/>
                    </w:rPr>
                    <w:t>其他屠宰；年加工2万吨及以上的肉类加工</w:t>
                  </w:r>
                </w:p>
              </w:tc>
              <w:tc>
                <w:tcPr>
                  <w:tcW w:w="0" w:type="auto"/>
                  <w:noWrap w:val="0"/>
                  <w:vAlign w:val="center"/>
                </w:tcPr>
                <w:p w14:paraId="7711C43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其他肉类加工</w:t>
                  </w:r>
                </w:p>
              </w:tc>
              <w:tc>
                <w:tcPr>
                  <w:tcW w:w="0" w:type="auto"/>
                  <w:noWrap w:val="0"/>
                  <w:vAlign w:val="center"/>
                </w:tcPr>
                <w:p w14:paraId="25E0DE4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p>
              </w:tc>
            </w:tr>
          </w:tbl>
          <w:p w14:paraId="2F59D8B4">
            <w:pPr>
              <w:keepNext w:val="0"/>
              <w:keepLines w:val="0"/>
              <w:pageBreakBefore w:val="0"/>
              <w:widowControl/>
              <w:numPr>
                <w:ilvl w:val="0"/>
                <w:numId w:val="0"/>
              </w:numPr>
              <w:suppressLineNumbers w:val="0"/>
              <w:wordWrap/>
              <w:overflowPunct/>
              <w:spacing w:beforeAutospacing="0" w:afterAutospacing="0" w:line="360" w:lineRule="auto"/>
              <w:ind w:left="0" w:leftChars="0" w:right="0" w:firstLine="482" w:firstLineChars="20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2、项目建设内容及规模</w:t>
            </w:r>
          </w:p>
          <w:p w14:paraId="6047F764">
            <w:pPr>
              <w:keepNext w:val="0"/>
              <w:keepLines w:val="0"/>
              <w:pageBreakBefore w:val="0"/>
              <w:widowControl/>
              <w:numPr>
                <w:ilvl w:val="0"/>
                <w:numId w:val="0"/>
              </w:numPr>
              <w:suppressLineNumbers w:val="0"/>
              <w:wordWrap/>
              <w:overflowPunct/>
              <w:spacing w:beforeAutospacing="0" w:afterAutospacing="0" w:line="360" w:lineRule="auto"/>
              <w:ind w:left="0" w:leftChars="0" w:right="0"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cs="Times New Roman"/>
                <w:color w:val="000000"/>
                <w:kern w:val="0"/>
                <w:sz w:val="24"/>
                <w:szCs w:val="24"/>
                <w:highlight w:val="yellow"/>
                <w:lang w:val="en-US" w:eastAsia="zh-CN" w:bidi="ar"/>
              </w:rPr>
              <w:t>本</w:t>
            </w:r>
            <w:r>
              <w:rPr>
                <w:rFonts w:hint="default" w:ascii="Times New Roman" w:hAnsi="Times New Roman" w:eastAsia="宋体" w:cs="Times New Roman"/>
                <w:color w:val="000000"/>
                <w:kern w:val="0"/>
                <w:sz w:val="24"/>
                <w:szCs w:val="24"/>
                <w:highlight w:val="yellow"/>
                <w:lang w:val="en-US" w:eastAsia="zh-CN" w:bidi="ar"/>
              </w:rPr>
              <w:t>项目</w:t>
            </w:r>
            <w:r>
              <w:rPr>
                <w:rFonts w:hint="default" w:ascii="Times New Roman" w:hAnsi="Times New Roman" w:cs="Times New Roman"/>
                <w:color w:val="000000"/>
                <w:kern w:val="0"/>
                <w:sz w:val="24"/>
                <w:szCs w:val="24"/>
                <w:highlight w:val="yellow"/>
                <w:lang w:val="en-US" w:eastAsia="zh-CN" w:bidi="ar"/>
              </w:rPr>
              <w:t>占地3985.29平方米，总建筑面积5098平方米</w:t>
            </w:r>
            <w:r>
              <w:rPr>
                <w:rFonts w:hint="default" w:ascii="Times New Roman" w:hAnsi="Times New Roman" w:cs="Times New Roman"/>
                <w:color w:val="000000"/>
                <w:kern w:val="0"/>
                <w:sz w:val="24"/>
                <w:szCs w:val="24"/>
                <w:lang w:val="en-US" w:eastAsia="zh-CN" w:bidi="ar"/>
              </w:rPr>
              <w:t>，主要建筑物包括</w:t>
            </w:r>
            <w:r>
              <w:rPr>
                <w:rFonts w:hint="default" w:ascii="Times New Roman" w:hAnsi="Times New Roman" w:cs="Times New Roman"/>
                <w:color w:val="000000"/>
                <w:kern w:val="0"/>
                <w:sz w:val="24"/>
                <w:szCs w:val="24"/>
                <w:highlight w:val="yellow"/>
                <w:lang w:val="en-US" w:eastAsia="zh-CN" w:bidi="ar"/>
              </w:rPr>
              <w:t>检疫房、屠宰房、存栏舍、隔离间、污水处理池、屠工休息室及附属用房、冷库，并配套建设道路、绿化等基础设施</w:t>
            </w:r>
            <w:r>
              <w:rPr>
                <w:rFonts w:hint="default" w:ascii="Times New Roman" w:hAnsi="Times New Roman"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项目购置</w:t>
            </w:r>
            <w:r>
              <w:rPr>
                <w:rFonts w:hint="default" w:ascii="Times New Roman" w:hAnsi="Times New Roman" w:cs="Times New Roman"/>
                <w:color w:val="000000"/>
                <w:kern w:val="0"/>
                <w:sz w:val="24"/>
                <w:szCs w:val="24"/>
                <w:lang w:val="en-US" w:eastAsia="zh-CN" w:bidi="ar"/>
              </w:rPr>
              <w:t>生猪冲淋设备、冰柜、屠宰刀具、电麻机、放血线、集血槽、劈半机、脱毛机、热水锅炉（电）、烫毛池、生猪收购车</w:t>
            </w:r>
            <w:r>
              <w:rPr>
                <w:rFonts w:hint="default" w:ascii="Times New Roman" w:hAnsi="Times New Roman" w:eastAsia="宋体" w:cs="Times New Roman"/>
                <w:color w:val="000000"/>
                <w:kern w:val="0"/>
                <w:sz w:val="24"/>
                <w:szCs w:val="24"/>
                <w:lang w:val="en-US" w:eastAsia="zh-CN" w:bidi="ar"/>
              </w:rPr>
              <w:t>等生产设备建设</w:t>
            </w:r>
            <w:r>
              <w:rPr>
                <w:rFonts w:hint="default" w:ascii="Times New Roman" w:hAnsi="Times New Roman" w:cs="Times New Roman"/>
                <w:color w:val="000000"/>
                <w:kern w:val="0"/>
                <w:sz w:val="24"/>
                <w:szCs w:val="24"/>
                <w:highlight w:val="yellow"/>
                <w:lang w:val="en-US" w:eastAsia="zh-CN" w:bidi="ar"/>
              </w:rPr>
              <w:t>两条生猪屠宰生产线</w:t>
            </w:r>
            <w:r>
              <w:rPr>
                <w:rFonts w:hint="default" w:ascii="Times New Roman" w:hAnsi="Times New Roman" w:eastAsia="宋体"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项目建成后预计屠宰量规模</w:t>
            </w:r>
            <w:r>
              <w:rPr>
                <w:rFonts w:hint="default" w:ascii="Times New Roman" w:hAnsi="Times New Roman" w:cs="Times New Roman"/>
                <w:color w:val="000000"/>
                <w:kern w:val="0"/>
                <w:sz w:val="24"/>
                <w:szCs w:val="24"/>
                <w:highlight w:val="yellow"/>
                <w:lang w:val="en-US" w:eastAsia="zh-CN" w:bidi="ar"/>
              </w:rPr>
              <w:t>70-150头/日</w:t>
            </w:r>
            <w:r>
              <w:rPr>
                <w:rFonts w:hint="default" w:ascii="Times New Roman" w:hAnsi="Times New Roman" w:cs="Times New Roman"/>
                <w:color w:val="000000"/>
                <w:kern w:val="0"/>
                <w:sz w:val="24"/>
                <w:szCs w:val="24"/>
                <w:lang w:val="en-US" w:eastAsia="zh-CN" w:bidi="ar"/>
              </w:rPr>
              <w:t>，年最大屠宰量为</w:t>
            </w:r>
            <w:r>
              <w:rPr>
                <w:rFonts w:hint="default" w:ascii="Times New Roman" w:hAnsi="Times New Roman" w:cs="Times New Roman"/>
                <w:color w:val="000000"/>
                <w:kern w:val="0"/>
                <w:sz w:val="24"/>
                <w:szCs w:val="24"/>
                <w:highlight w:val="yellow"/>
                <w:lang w:val="en-US" w:eastAsia="zh-CN" w:bidi="ar"/>
              </w:rPr>
              <w:t>5.475万头</w:t>
            </w:r>
            <w:r>
              <w:rPr>
                <w:rFonts w:hint="default" w:ascii="Times New Roman" w:hAnsi="Times New Roman"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项目建设内容详见表 2-</w:t>
            </w:r>
            <w:r>
              <w:rPr>
                <w:rFonts w:hint="default" w:ascii="Times New Roman" w:hAnsi="Times New Roman"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w:t>
            </w:r>
          </w:p>
          <w:p w14:paraId="5735F375">
            <w:pPr>
              <w:keepNext w:val="0"/>
              <w:keepLines w:val="0"/>
              <w:pageBreakBefore w:val="0"/>
              <w:widowControl/>
              <w:numPr>
                <w:ilvl w:val="0"/>
                <w:numId w:val="0"/>
              </w:numPr>
              <w:suppressLineNumbers w:val="0"/>
              <w:wordWrap/>
              <w:overflowPunct/>
              <w:spacing w:beforeAutospacing="0" w:afterAutospacing="0" w:line="360" w:lineRule="auto"/>
              <w:ind w:left="0" w:leftChars="0" w:right="0"/>
              <w:jc w:val="center"/>
              <w:rPr>
                <w:rFonts w:hint="default" w:ascii="Times New Roman" w:hAnsi="Times New Roman" w:eastAsia="宋体" w:cs="Times New Roman"/>
                <w:b/>
                <w:bCs/>
                <w:color w:val="000000"/>
                <w:kern w:val="0"/>
                <w:sz w:val="21"/>
                <w:szCs w:val="21"/>
                <w:vertAlign w:val="baseline"/>
                <w:lang w:val="en-US" w:eastAsia="zh-CN" w:bidi="ar"/>
              </w:rPr>
            </w:pPr>
            <w:r>
              <w:rPr>
                <w:rFonts w:hint="default" w:ascii="Times New Roman" w:hAnsi="Times New Roman" w:eastAsia="宋体" w:cs="Times New Roman"/>
                <w:b/>
                <w:bCs/>
                <w:color w:val="000000"/>
                <w:kern w:val="0"/>
                <w:sz w:val="21"/>
                <w:szCs w:val="21"/>
                <w:lang w:val="en-US" w:eastAsia="zh-CN" w:bidi="ar"/>
              </w:rPr>
              <w:t>表2-2 项目建设内容组成概况</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8"/>
              <w:gridCol w:w="538"/>
              <w:gridCol w:w="1045"/>
              <w:gridCol w:w="5259"/>
              <w:gridCol w:w="463"/>
            </w:tblGrid>
            <w:tr w14:paraId="392D7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gridSpan w:val="3"/>
                  <w:vAlign w:val="center"/>
                </w:tcPr>
                <w:p w14:paraId="3A6145F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sz w:val="21"/>
                      <w:szCs w:val="21"/>
                      <w:vertAlign w:val="baseline"/>
                      <w:lang w:val="en-US" w:eastAsia="zh-CN"/>
                    </w:rPr>
                    <w:t>名称</w:t>
                  </w:r>
                </w:p>
              </w:tc>
              <w:tc>
                <w:tcPr>
                  <w:tcW w:w="0" w:type="auto"/>
                  <w:vAlign w:val="center"/>
                </w:tcPr>
                <w:p w14:paraId="5AAD75F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sz w:val="21"/>
                      <w:szCs w:val="21"/>
                      <w:vertAlign w:val="baseline"/>
                      <w:lang w:val="en-US" w:eastAsia="zh-CN"/>
                    </w:rPr>
                    <w:t>建筑内容及规模</w:t>
                  </w:r>
                </w:p>
              </w:tc>
              <w:tc>
                <w:tcPr>
                  <w:tcW w:w="0" w:type="auto"/>
                  <w:vAlign w:val="center"/>
                </w:tcPr>
                <w:p w14:paraId="7F8F4C4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备注</w:t>
                  </w:r>
                </w:p>
              </w:tc>
            </w:tr>
            <w:tr w14:paraId="5010B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Align w:val="center"/>
                </w:tcPr>
                <w:p w14:paraId="3EA64D6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主体工程</w:t>
                  </w:r>
                </w:p>
              </w:tc>
              <w:tc>
                <w:tcPr>
                  <w:tcW w:w="0" w:type="auto"/>
                  <w:gridSpan w:val="2"/>
                  <w:vAlign w:val="center"/>
                </w:tcPr>
                <w:p w14:paraId="106C0AC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屠宰车间</w:t>
                  </w:r>
                </w:p>
              </w:tc>
              <w:tc>
                <w:tcPr>
                  <w:tcW w:w="0" w:type="auto"/>
                  <w:vAlign w:val="center"/>
                </w:tcPr>
                <w:p w14:paraId="1789853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砖混结构，建筑面积约为4736m</w:t>
                  </w:r>
                  <w:r>
                    <w:rPr>
                      <w:rFonts w:hint="default" w:ascii="Times New Roman" w:hAnsi="Times New Roman" w:eastAsia="宋体" w:cs="Times New Roman"/>
                      <w:b w:val="0"/>
                      <w:bCs w:val="0"/>
                      <w:color w:val="000000"/>
                      <w:kern w:val="0"/>
                      <w:sz w:val="21"/>
                      <w:szCs w:val="21"/>
                      <w:vertAlign w:val="superscript"/>
                      <w:lang w:val="en-US" w:eastAsia="zh-CN" w:bidi="ar"/>
                    </w:rPr>
                    <w:t>2</w:t>
                  </w:r>
                  <w:r>
                    <w:rPr>
                      <w:rFonts w:hint="default" w:ascii="Times New Roman" w:hAnsi="Times New Roman" w:eastAsia="宋体" w:cs="Times New Roman"/>
                      <w:b w:val="0"/>
                      <w:bCs w:val="0"/>
                      <w:color w:val="000000"/>
                      <w:kern w:val="0"/>
                      <w:sz w:val="21"/>
                      <w:szCs w:val="21"/>
                      <w:vertAlign w:val="baseline"/>
                      <w:lang w:val="en-US" w:eastAsia="zh-CN" w:bidi="ar"/>
                    </w:rPr>
                    <w:t>设置2条生猪屠宰生产线，包括屠宰刀具、电麻机、放血线、集血槽、劈半机、脱毛机、热水锅炉（电）、烫毛池、</w:t>
                  </w:r>
                  <w:r>
                    <w:rPr>
                      <w:rFonts w:hint="default" w:ascii="Times New Roman" w:hAnsi="Times New Roman" w:cs="Times New Roman"/>
                      <w:b w:val="0"/>
                      <w:bCs w:val="0"/>
                      <w:color w:val="000000"/>
                      <w:kern w:val="0"/>
                      <w:sz w:val="21"/>
                      <w:szCs w:val="21"/>
                      <w:vertAlign w:val="baseline"/>
                      <w:lang w:val="en-US" w:eastAsia="zh-CN" w:bidi="ar"/>
                    </w:rPr>
                    <w:t>急宰间、内脏清理池、</w:t>
                  </w:r>
                  <w:r>
                    <w:rPr>
                      <w:rFonts w:hint="default" w:ascii="Times New Roman" w:hAnsi="Times New Roman" w:eastAsia="宋体" w:cs="Times New Roman"/>
                      <w:b w:val="0"/>
                      <w:bCs w:val="0"/>
                      <w:color w:val="000000"/>
                      <w:kern w:val="0"/>
                      <w:sz w:val="21"/>
                      <w:szCs w:val="21"/>
                      <w:vertAlign w:val="baseline"/>
                      <w:lang w:val="en-US" w:eastAsia="zh-CN" w:bidi="ar"/>
                    </w:rPr>
                    <w:t>分割机等生产设施。</w:t>
                  </w:r>
                </w:p>
              </w:tc>
              <w:tc>
                <w:tcPr>
                  <w:tcW w:w="0" w:type="auto"/>
                  <w:vAlign w:val="center"/>
                </w:tcPr>
                <w:p w14:paraId="1C3B696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14DE9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vAlign w:val="center"/>
                </w:tcPr>
                <w:p w14:paraId="2F53C81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辅助工程</w:t>
                  </w:r>
                </w:p>
              </w:tc>
              <w:tc>
                <w:tcPr>
                  <w:tcW w:w="0" w:type="auto"/>
                  <w:gridSpan w:val="2"/>
                  <w:vAlign w:val="center"/>
                </w:tcPr>
                <w:p w14:paraId="143F060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b w:val="0"/>
                      <w:bCs w:val="0"/>
                      <w:color w:val="000000"/>
                      <w:kern w:val="0"/>
                      <w:sz w:val="21"/>
                      <w:szCs w:val="21"/>
                      <w:vertAlign w:val="baseline"/>
                      <w:lang w:val="en-US" w:eastAsia="zh-CN" w:bidi="ar"/>
                    </w:rPr>
                    <w:t>卸猪区</w:t>
                  </w:r>
                </w:p>
              </w:tc>
              <w:tc>
                <w:tcPr>
                  <w:tcW w:w="0" w:type="auto"/>
                  <w:vAlign w:val="center"/>
                </w:tcPr>
                <w:p w14:paraId="09F9CEF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2处，共计48m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vertAlign w:val="baseline"/>
                      <w:lang w:val="en-US" w:eastAsia="zh-CN"/>
                    </w:rPr>
                    <w:t>，位于场区南侧。</w:t>
                  </w:r>
                </w:p>
              </w:tc>
              <w:tc>
                <w:tcPr>
                  <w:tcW w:w="0" w:type="auto"/>
                  <w:vAlign w:val="center"/>
                </w:tcPr>
                <w:p w14:paraId="737BD9B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4FC13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14E0213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1DC2DFF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存栏舍</w:t>
                  </w:r>
                </w:p>
              </w:tc>
              <w:tc>
                <w:tcPr>
                  <w:tcW w:w="0" w:type="auto"/>
                  <w:vAlign w:val="center"/>
                </w:tcPr>
                <w:p w14:paraId="2AD07EE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2处，建筑面积总共为56</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，高3m，位于场区南侧，与卸猪区临近。</w:t>
                  </w:r>
                </w:p>
              </w:tc>
              <w:tc>
                <w:tcPr>
                  <w:tcW w:w="0" w:type="auto"/>
                  <w:vAlign w:val="center"/>
                </w:tcPr>
                <w:p w14:paraId="0A36AE2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2FB6A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312C54B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44CCC1A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lang w:val="en-US" w:eastAsia="zh-CN"/>
                    </w:rPr>
                    <w:t>办公、宿舍</w:t>
                  </w:r>
                </w:p>
              </w:tc>
              <w:tc>
                <w:tcPr>
                  <w:tcW w:w="0" w:type="auto"/>
                  <w:vAlign w:val="center"/>
                </w:tcPr>
                <w:p w14:paraId="759B637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位于项目北侧，砖混结构，建筑面积约为320m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vertAlign w:val="baseline"/>
                      <w:lang w:val="en-US" w:eastAsia="zh-CN"/>
                    </w:rPr>
                    <w:t>（含检疫室）</w:t>
                  </w:r>
                  <w:r>
                    <w:rPr>
                      <w:rFonts w:hint="default" w:ascii="Times New Roman" w:hAnsi="Times New Roman" w:cs="Times New Roman"/>
                      <w:sz w:val="21"/>
                      <w:szCs w:val="21"/>
                      <w:vertAlign w:val="baseline"/>
                      <w:lang w:val="en-US" w:eastAsia="zh-CN"/>
                    </w:rPr>
                    <w:t>。</w:t>
                  </w:r>
                </w:p>
              </w:tc>
              <w:tc>
                <w:tcPr>
                  <w:tcW w:w="0" w:type="auto"/>
                  <w:vAlign w:val="center"/>
                </w:tcPr>
                <w:p w14:paraId="7BCE45B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54492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15D7521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1EB7466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检疫室</w:t>
                  </w:r>
                </w:p>
              </w:tc>
              <w:tc>
                <w:tcPr>
                  <w:tcW w:w="0" w:type="auto"/>
                  <w:vAlign w:val="center"/>
                </w:tcPr>
                <w:p w14:paraId="4781553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位于办公、宿舍区</w:t>
                  </w:r>
                  <w:r>
                    <w:rPr>
                      <w:rFonts w:hint="default" w:ascii="Times New Roman" w:hAnsi="Times New Roman" w:cs="Times New Roman"/>
                      <w:sz w:val="21"/>
                      <w:szCs w:val="21"/>
                      <w:vertAlign w:val="baseline"/>
                      <w:lang w:val="en-US" w:eastAsia="zh-CN"/>
                    </w:rPr>
                    <w:t>。</w:t>
                  </w:r>
                </w:p>
              </w:tc>
              <w:tc>
                <w:tcPr>
                  <w:tcW w:w="0" w:type="auto"/>
                  <w:vAlign w:val="center"/>
                </w:tcPr>
                <w:p w14:paraId="54EC2EE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612DD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vAlign w:val="center"/>
                </w:tcPr>
                <w:p w14:paraId="0F1DA26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公用工程</w:t>
                  </w:r>
                </w:p>
              </w:tc>
              <w:tc>
                <w:tcPr>
                  <w:tcW w:w="0" w:type="auto"/>
                  <w:gridSpan w:val="2"/>
                  <w:vAlign w:val="center"/>
                </w:tcPr>
                <w:p w14:paraId="0B37A4E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供电系统</w:t>
                  </w:r>
                </w:p>
              </w:tc>
              <w:tc>
                <w:tcPr>
                  <w:tcW w:w="0" w:type="auto"/>
                  <w:vAlign w:val="center"/>
                </w:tcPr>
                <w:p w14:paraId="45BAAC5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市政供电</w:t>
                  </w:r>
                </w:p>
              </w:tc>
              <w:tc>
                <w:tcPr>
                  <w:tcW w:w="0" w:type="auto"/>
                  <w:vAlign w:val="center"/>
                </w:tcPr>
                <w:p w14:paraId="2FDB248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2D4A2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298A6E6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6923E1C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供水系统</w:t>
                  </w:r>
                </w:p>
              </w:tc>
              <w:tc>
                <w:tcPr>
                  <w:tcW w:w="0" w:type="auto"/>
                  <w:vAlign w:val="center"/>
                </w:tcPr>
                <w:p w14:paraId="136570A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市政供水</w:t>
                  </w:r>
                </w:p>
              </w:tc>
              <w:tc>
                <w:tcPr>
                  <w:tcW w:w="0" w:type="auto"/>
                  <w:vAlign w:val="center"/>
                </w:tcPr>
                <w:p w14:paraId="18B0219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341A6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2DC27A6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4054255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供热</w:t>
                  </w:r>
                </w:p>
              </w:tc>
              <w:tc>
                <w:tcPr>
                  <w:tcW w:w="0" w:type="auto"/>
                  <w:vAlign w:val="center"/>
                </w:tcPr>
                <w:p w14:paraId="03DF0B4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项目采用电热锅炉，位于屠宰车间内</w:t>
                  </w:r>
                  <w:r>
                    <w:rPr>
                      <w:rFonts w:hint="default" w:ascii="Times New Roman" w:hAnsi="Times New Roman" w:cs="Times New Roman"/>
                      <w:sz w:val="21"/>
                      <w:szCs w:val="21"/>
                      <w:vertAlign w:val="baseline"/>
                      <w:lang w:val="en-US" w:eastAsia="zh-CN"/>
                    </w:rPr>
                    <w:t>。</w:t>
                  </w:r>
                </w:p>
              </w:tc>
              <w:tc>
                <w:tcPr>
                  <w:tcW w:w="0" w:type="auto"/>
                  <w:vAlign w:val="center"/>
                </w:tcPr>
                <w:p w14:paraId="28D7DB3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51E62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45616A3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168A452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排水系统</w:t>
                  </w:r>
                </w:p>
              </w:tc>
              <w:tc>
                <w:tcPr>
                  <w:tcW w:w="0" w:type="auto"/>
                  <w:vAlign w:val="center"/>
                </w:tcPr>
                <w:p w14:paraId="60DF378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雨污分流</w:t>
                  </w:r>
                </w:p>
              </w:tc>
              <w:tc>
                <w:tcPr>
                  <w:tcW w:w="0" w:type="auto"/>
                  <w:vAlign w:val="center"/>
                </w:tcPr>
                <w:p w14:paraId="2356040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4EE0D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vAlign w:val="center"/>
                </w:tcPr>
                <w:p w14:paraId="1B29EC3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环保工程</w:t>
                  </w:r>
                </w:p>
              </w:tc>
              <w:tc>
                <w:tcPr>
                  <w:tcW w:w="0" w:type="auto"/>
                  <w:vAlign w:val="center"/>
                </w:tcPr>
                <w:p w14:paraId="5949096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废水治理</w:t>
                  </w:r>
                </w:p>
              </w:tc>
              <w:tc>
                <w:tcPr>
                  <w:tcW w:w="0" w:type="auto"/>
                  <w:vAlign w:val="center"/>
                </w:tcPr>
                <w:p w14:paraId="566BFD9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生产废水</w:t>
                  </w:r>
                  <w:r>
                    <w:rPr>
                      <w:rFonts w:hint="default" w:ascii="Times New Roman" w:hAnsi="Times New Roman" w:cs="Times New Roman"/>
                      <w:sz w:val="21"/>
                      <w:szCs w:val="21"/>
                      <w:vertAlign w:val="baseline"/>
                      <w:lang w:val="en-US" w:eastAsia="zh-CN"/>
                    </w:rPr>
                    <w:t>、</w:t>
                  </w:r>
                  <w:r>
                    <w:rPr>
                      <w:rFonts w:hint="default" w:ascii="Times New Roman" w:hAnsi="Times New Roman" w:eastAsia="宋体" w:cs="Times New Roman"/>
                      <w:sz w:val="21"/>
                      <w:szCs w:val="21"/>
                      <w:vertAlign w:val="baseline"/>
                      <w:lang w:val="en-US" w:eastAsia="zh-CN"/>
                    </w:rPr>
                    <w:t>生活</w:t>
                  </w:r>
                  <w:r>
                    <w:rPr>
                      <w:rFonts w:hint="eastAsia" w:cs="Times New Roman"/>
                      <w:sz w:val="21"/>
                      <w:szCs w:val="21"/>
                      <w:vertAlign w:val="baseline"/>
                      <w:lang w:val="en-US" w:eastAsia="zh-CN"/>
                    </w:rPr>
                    <w:t>污</w:t>
                  </w:r>
                  <w:r>
                    <w:rPr>
                      <w:rFonts w:hint="default" w:ascii="Times New Roman" w:hAnsi="Times New Roman" w:eastAsia="宋体" w:cs="Times New Roman"/>
                      <w:sz w:val="21"/>
                      <w:szCs w:val="21"/>
                      <w:vertAlign w:val="baseline"/>
                      <w:lang w:val="en-US" w:eastAsia="zh-CN"/>
                    </w:rPr>
                    <w:t>水</w:t>
                  </w:r>
                </w:p>
              </w:tc>
              <w:tc>
                <w:tcPr>
                  <w:tcW w:w="0" w:type="auto"/>
                  <w:vAlign w:val="center"/>
                </w:tcPr>
                <w:p w14:paraId="261E548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雨水排入厂区雨水管网；项目生活污水经化粪池处理后与生产废水一起经厂区污水处理设施预处理，在市政污水管网未接通前，通过槽罐车将废水运输至南岳区污水处理厂，管网接通后通过市政污水管网排入南岳区污水处理厂，处理达标后最终排入龙荫港。</w:t>
                  </w:r>
                </w:p>
              </w:tc>
              <w:tc>
                <w:tcPr>
                  <w:tcW w:w="0" w:type="auto"/>
                  <w:vAlign w:val="center"/>
                </w:tcPr>
                <w:p w14:paraId="502DB5D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6BB42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64238AA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vAlign w:val="center"/>
                </w:tcPr>
                <w:p w14:paraId="4794596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废气治理</w:t>
                  </w:r>
                </w:p>
              </w:tc>
              <w:tc>
                <w:tcPr>
                  <w:tcW w:w="0" w:type="auto"/>
                  <w:vAlign w:val="center"/>
                </w:tcPr>
                <w:p w14:paraId="1CC158D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eastAsia" w:cs="Times New Roman"/>
                      <w:sz w:val="21"/>
                      <w:szCs w:val="21"/>
                      <w:vertAlign w:val="baseline"/>
                      <w:lang w:val="en-US" w:eastAsia="zh-CN"/>
                    </w:rPr>
                    <w:t>无组织排放</w:t>
                  </w:r>
                  <w:r>
                    <w:rPr>
                      <w:rFonts w:hint="default" w:ascii="Times New Roman" w:hAnsi="Times New Roman" w:eastAsia="宋体" w:cs="Times New Roman"/>
                      <w:sz w:val="21"/>
                      <w:szCs w:val="21"/>
                      <w:vertAlign w:val="baseline"/>
                      <w:lang w:val="en-US" w:eastAsia="zh-CN"/>
                    </w:rPr>
                    <w:t>废气</w:t>
                  </w:r>
                </w:p>
              </w:tc>
              <w:tc>
                <w:tcPr>
                  <w:tcW w:w="0" w:type="auto"/>
                  <w:vAlign w:val="center"/>
                </w:tcPr>
                <w:p w14:paraId="31E8675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本项目使用电热锅炉，不产生额外废气，产生废气主要来源为存栏、屠宰车间和污水处理设施产生的恶臭。应设置通风系统，定期消毒、喷洒除臭剂。</w:t>
                  </w:r>
                </w:p>
              </w:tc>
              <w:tc>
                <w:tcPr>
                  <w:tcW w:w="0" w:type="auto"/>
                  <w:vAlign w:val="center"/>
                </w:tcPr>
                <w:p w14:paraId="5E6FAB4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524F7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6517E21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5A94115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噪声治理</w:t>
                  </w:r>
                </w:p>
              </w:tc>
              <w:tc>
                <w:tcPr>
                  <w:tcW w:w="0" w:type="auto"/>
                  <w:vAlign w:val="center"/>
                </w:tcPr>
                <w:p w14:paraId="5CDCD9D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基础减振、合理布局、厂房围墙隔声、加强管理。</w:t>
                  </w:r>
                </w:p>
              </w:tc>
              <w:tc>
                <w:tcPr>
                  <w:tcW w:w="0" w:type="auto"/>
                  <w:vAlign w:val="center"/>
                </w:tcPr>
                <w:p w14:paraId="16CA087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48341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4311A77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gridSpan w:val="2"/>
                  <w:vAlign w:val="center"/>
                </w:tcPr>
                <w:p w14:paraId="4537EBA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绿化</w:t>
                  </w:r>
                </w:p>
              </w:tc>
              <w:tc>
                <w:tcPr>
                  <w:tcW w:w="0" w:type="auto"/>
                  <w:vAlign w:val="center"/>
                </w:tcPr>
                <w:p w14:paraId="08E90AC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厂区各构筑物间种草及灌木，四周种植高大乔木，绿地面积约为609.68m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vertAlign w:val="baseline"/>
                      <w:lang w:val="en-US" w:eastAsia="zh-CN"/>
                    </w:rPr>
                    <w:t>。</w:t>
                  </w:r>
                </w:p>
              </w:tc>
              <w:tc>
                <w:tcPr>
                  <w:tcW w:w="0" w:type="auto"/>
                  <w:vAlign w:val="center"/>
                </w:tcPr>
                <w:p w14:paraId="19A08F4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13F09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315BE2D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c>
                <w:tcPr>
                  <w:tcW w:w="0" w:type="auto"/>
                  <w:vMerge w:val="restart"/>
                  <w:vAlign w:val="center"/>
                </w:tcPr>
                <w:p w14:paraId="672B3AA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固废收集</w:t>
                  </w:r>
                </w:p>
              </w:tc>
              <w:tc>
                <w:tcPr>
                  <w:tcW w:w="0" w:type="auto"/>
                  <w:vAlign w:val="center"/>
                </w:tcPr>
                <w:p w14:paraId="281E050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eastAsia="宋体" w:cs="Times New Roman"/>
                      <w:sz w:val="21"/>
                      <w:szCs w:val="21"/>
                      <w:vertAlign w:val="baseline"/>
                      <w:lang w:val="en-US" w:eastAsia="zh-CN"/>
                    </w:rPr>
                    <w:t>一般固体废物</w:t>
                  </w:r>
                </w:p>
              </w:tc>
              <w:tc>
                <w:tcPr>
                  <w:tcW w:w="0" w:type="auto"/>
                  <w:vAlign w:val="center"/>
                </w:tcPr>
                <w:p w14:paraId="390B4F6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办公区设置若干垃圾桶，</w:t>
                  </w:r>
                  <w:r>
                    <w:rPr>
                      <w:rFonts w:hint="default" w:ascii="Times New Roman" w:hAnsi="Times New Roman" w:cs="Times New Roman"/>
                      <w:sz w:val="21"/>
                      <w:szCs w:val="21"/>
                      <w:vertAlign w:val="baseline"/>
                      <w:lang w:val="en-US" w:eastAsia="zh-CN"/>
                    </w:rPr>
                    <w:t>生活垃圾</w:t>
                  </w:r>
                  <w:r>
                    <w:rPr>
                      <w:rFonts w:hint="default" w:ascii="Times New Roman" w:hAnsi="Times New Roman" w:eastAsia="宋体" w:cs="Times New Roman"/>
                      <w:sz w:val="21"/>
                      <w:szCs w:val="21"/>
                      <w:vertAlign w:val="baseline"/>
                      <w:lang w:val="en-US" w:eastAsia="zh-CN"/>
                    </w:rPr>
                    <w:t>收集后存入垃圾房，由当地环卫部门处理</w:t>
                  </w:r>
                  <w:r>
                    <w:rPr>
                      <w:rFonts w:hint="default" w:ascii="Times New Roman" w:hAnsi="Times New Roman" w:cs="Times New Roman"/>
                      <w:sz w:val="21"/>
                      <w:szCs w:val="21"/>
                      <w:vertAlign w:val="baseline"/>
                      <w:lang w:val="en-US" w:eastAsia="zh-CN"/>
                    </w:rPr>
                    <w:t>，做到日产日清</w:t>
                  </w:r>
                  <w:r>
                    <w:rPr>
                      <w:rFonts w:hint="default" w:ascii="Times New Roman" w:hAnsi="Times New Roman" w:eastAsia="宋体" w:cs="Times New Roman"/>
                      <w:sz w:val="21"/>
                      <w:szCs w:val="21"/>
                      <w:vertAlign w:val="baseline"/>
                      <w:lang w:val="en-US" w:eastAsia="zh-CN"/>
                    </w:rPr>
                    <w:t>。</w:t>
                  </w:r>
                  <w:r>
                    <w:rPr>
                      <w:rFonts w:hint="default" w:ascii="Times New Roman" w:hAnsi="Times New Roman" w:cs="Times New Roman"/>
                      <w:sz w:val="21"/>
                      <w:szCs w:val="21"/>
                      <w:vertAlign w:val="baseline"/>
                      <w:lang w:val="en-US" w:eastAsia="zh-CN"/>
                    </w:rPr>
                    <w:t>肠胃内容物</w:t>
                  </w:r>
                  <w:r>
                    <w:rPr>
                      <w:rFonts w:hint="default" w:ascii="Times New Roman" w:hAnsi="Times New Roman" w:eastAsia="宋体" w:cs="Times New Roman"/>
                      <w:sz w:val="21"/>
                      <w:szCs w:val="21"/>
                      <w:vertAlign w:val="baseline"/>
                      <w:lang w:val="en-US" w:eastAsia="zh-CN"/>
                    </w:rPr>
                    <w:t>、猪粪采用密闭专用容器收集</w:t>
                  </w:r>
                  <w:r>
                    <w:rPr>
                      <w:rFonts w:hint="eastAsia" w:cs="Times New Roman"/>
                      <w:sz w:val="21"/>
                      <w:szCs w:val="21"/>
                      <w:vertAlign w:val="baseline"/>
                      <w:lang w:val="en-US" w:eastAsia="zh-CN"/>
                    </w:rPr>
                    <w:t>和一同</w:t>
                  </w:r>
                  <w:r>
                    <w:rPr>
                      <w:rFonts w:hint="default" w:ascii="Times New Roman" w:hAnsi="Times New Roman" w:eastAsia="宋体" w:cs="Times New Roman"/>
                      <w:sz w:val="21"/>
                      <w:szCs w:val="21"/>
                      <w:vertAlign w:val="baseline"/>
                      <w:lang w:val="en-US" w:eastAsia="zh-CN"/>
                    </w:rPr>
                    <w:t>外售给有机肥</w:t>
                  </w:r>
                  <w:r>
                    <w:rPr>
                      <w:rFonts w:hint="eastAsia" w:cs="Times New Roman"/>
                      <w:sz w:val="21"/>
                      <w:szCs w:val="21"/>
                      <w:vertAlign w:val="baseline"/>
                      <w:lang w:val="en-US" w:eastAsia="zh-CN"/>
                    </w:rPr>
                    <w:t>料</w:t>
                  </w:r>
                  <w:r>
                    <w:rPr>
                      <w:rFonts w:hint="default" w:ascii="Times New Roman" w:hAnsi="Times New Roman" w:eastAsia="宋体" w:cs="Times New Roman"/>
                      <w:sz w:val="21"/>
                      <w:szCs w:val="21"/>
                      <w:vertAlign w:val="baseline"/>
                      <w:lang w:val="en-US" w:eastAsia="zh-CN"/>
                    </w:rPr>
                    <w:t>厂制肥，栅渣</w:t>
                  </w:r>
                  <w:r>
                    <w:rPr>
                      <w:rFonts w:hint="eastAsia" w:eastAsia="宋体" w:cs="Times New Roman"/>
                      <w:sz w:val="21"/>
                      <w:szCs w:val="21"/>
                      <w:vertAlign w:val="baseline"/>
                      <w:lang w:val="en-US" w:eastAsia="zh-CN"/>
                    </w:rPr>
                    <w:t>和</w:t>
                  </w:r>
                  <w:r>
                    <w:rPr>
                      <w:rFonts w:hint="default" w:ascii="Times New Roman" w:hAnsi="Times New Roman" w:eastAsia="宋体" w:cs="Times New Roman"/>
                      <w:sz w:val="21"/>
                      <w:szCs w:val="21"/>
                      <w:vertAlign w:val="baseline"/>
                      <w:lang w:val="en-US" w:eastAsia="zh-CN"/>
                    </w:rPr>
                    <w:t>污泥</w:t>
                  </w:r>
                  <w:r>
                    <w:rPr>
                      <w:rFonts w:hint="eastAsia" w:cs="Times New Roman"/>
                      <w:sz w:val="21"/>
                      <w:szCs w:val="21"/>
                      <w:vertAlign w:val="baseline"/>
                      <w:lang w:val="en-US" w:eastAsia="zh-CN"/>
                    </w:rPr>
                    <w:t>外售给附近菜农作农肥</w:t>
                  </w:r>
                  <w:r>
                    <w:rPr>
                      <w:rFonts w:hint="default" w:ascii="Times New Roman" w:hAnsi="Times New Roman" w:cs="Times New Roman"/>
                      <w:sz w:val="21"/>
                      <w:szCs w:val="21"/>
                      <w:vertAlign w:val="baseline"/>
                      <w:lang w:val="en-US" w:eastAsia="zh-CN"/>
                    </w:rPr>
                    <w:t>。</w:t>
                  </w:r>
                </w:p>
              </w:tc>
              <w:tc>
                <w:tcPr>
                  <w:tcW w:w="0" w:type="auto"/>
                  <w:vAlign w:val="center"/>
                </w:tcPr>
                <w:p w14:paraId="6816ED7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color w:val="000000"/>
                      <w:kern w:val="0"/>
                      <w:sz w:val="21"/>
                      <w:szCs w:val="21"/>
                      <w:vertAlign w:val="baseline"/>
                      <w:lang w:val="en-US" w:eastAsia="zh-CN" w:bidi="ar"/>
                    </w:rPr>
                  </w:pPr>
                </w:p>
              </w:tc>
            </w:tr>
            <w:tr w14:paraId="5A306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6027A36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rPr>
                  </w:pPr>
                </w:p>
              </w:tc>
              <w:tc>
                <w:tcPr>
                  <w:tcW w:w="0" w:type="auto"/>
                  <w:vMerge w:val="continue"/>
                  <w:vAlign w:val="center"/>
                </w:tcPr>
                <w:p w14:paraId="6EFEB21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rPr>
                  </w:pPr>
                </w:p>
              </w:tc>
              <w:tc>
                <w:tcPr>
                  <w:tcW w:w="0" w:type="auto"/>
                  <w:vAlign w:val="center"/>
                </w:tcPr>
                <w:p w14:paraId="62EADB0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病死猪、</w:t>
                  </w:r>
                  <w:r>
                    <w:rPr>
                      <w:rFonts w:hint="default" w:ascii="Times New Roman" w:hAnsi="Times New Roman" w:cs="Times New Roman"/>
                      <w:b w:val="0"/>
                      <w:bCs w:val="0"/>
                      <w:color w:val="000000"/>
                      <w:kern w:val="0"/>
                      <w:sz w:val="21"/>
                      <w:szCs w:val="21"/>
                      <w:vertAlign w:val="baseline"/>
                      <w:lang w:val="en-US" w:eastAsia="zh-CN" w:bidi="ar"/>
                    </w:rPr>
                    <w:t>未通过检验的病害肉</w:t>
                  </w:r>
                </w:p>
              </w:tc>
              <w:tc>
                <w:tcPr>
                  <w:tcW w:w="0" w:type="auto"/>
                  <w:vAlign w:val="center"/>
                </w:tcPr>
                <w:p w14:paraId="3EBF339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r>
                    <w:rPr>
                      <w:rFonts w:hint="default" w:ascii="Times New Roman" w:hAnsi="Times New Roman" w:cs="Times New Roman"/>
                      <w:b w:val="0"/>
                      <w:bCs w:val="0"/>
                      <w:color w:val="000000"/>
                      <w:kern w:val="0"/>
                      <w:sz w:val="21"/>
                      <w:szCs w:val="21"/>
                      <w:vertAlign w:val="baseline"/>
                      <w:lang w:val="en-US" w:eastAsia="zh-CN" w:bidi="ar"/>
                    </w:rPr>
                    <w:t>交由当地具有危废处理资质的无害化处理企业无害化处置。</w:t>
                  </w:r>
                </w:p>
              </w:tc>
              <w:tc>
                <w:tcPr>
                  <w:tcW w:w="0" w:type="auto"/>
                  <w:vAlign w:val="center"/>
                </w:tcPr>
                <w:p w14:paraId="2EE6D57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000000"/>
                      <w:kern w:val="0"/>
                      <w:sz w:val="21"/>
                      <w:szCs w:val="21"/>
                      <w:vertAlign w:val="baseline"/>
                      <w:lang w:val="en-US" w:eastAsia="zh-CN" w:bidi="ar"/>
                    </w:rPr>
                  </w:pPr>
                </w:p>
              </w:tc>
            </w:tr>
          </w:tbl>
          <w:p w14:paraId="2B2DD90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产品方案</w:t>
            </w:r>
          </w:p>
          <w:p w14:paraId="4994428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rPr>
            </w:pPr>
            <w:r>
              <w:rPr>
                <w:rFonts w:hint="default" w:ascii="Times New Roman" w:hAnsi="Times New Roman" w:cs="Times New Roman"/>
                <w:lang w:val="en-US" w:eastAsia="zh-CN"/>
              </w:rPr>
              <w:t>根据建设单位提供的资料，</w:t>
            </w:r>
            <w:r>
              <w:rPr>
                <w:rFonts w:hint="default" w:ascii="Times New Roman" w:hAnsi="Times New Roman" w:cs="Times New Roman"/>
                <w:color w:val="000000" w:themeColor="text1"/>
                <w:lang w:val="en-US" w:eastAsia="zh-CN"/>
                <w14:textFill>
                  <w14:solidFill>
                    <w14:schemeClr w14:val="tx1"/>
                  </w14:solidFill>
                </w14:textFill>
              </w:rPr>
              <w:t>项目年屠宰量为5.475万头，产品为猪肉、猪副产品，</w:t>
            </w:r>
            <w:r>
              <w:rPr>
                <w:rFonts w:hint="default" w:ascii="Times New Roman" w:hAnsi="Times New Roman" w:cs="Times New Roman"/>
                <w:lang w:val="en-US" w:eastAsia="zh-CN"/>
              </w:rPr>
              <w:t>猪副产品为猪头、猪尾、猪皮、猪鬃、猪下水（心、肝、肠）、猪蹄、猪血等，一头猪按100kg/头计，出肉率设70%，其产品种类及产能见表2-3。</w:t>
            </w:r>
          </w:p>
          <w:p w14:paraId="394844F0">
            <w:pPr>
              <w:pageBreakBefore w:val="0"/>
              <w:wordWrap/>
              <w:overflowPunct/>
              <w:bidi w:val="0"/>
              <w:spacing w:beforeAutospacing="0" w:afterAutospacing="0" w:line="360" w:lineRule="auto"/>
              <w:ind w:left="0" w:leftChars="0" w:right="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表2-</w:t>
            </w:r>
            <w:r>
              <w:rPr>
                <w:rFonts w:hint="default" w:ascii="Times New Roman" w:hAnsi="Times New Roman" w:eastAsia="宋体" w:cs="Times New Roman"/>
                <w:b/>
                <w:bCs/>
                <w:sz w:val="21"/>
                <w:szCs w:val="21"/>
                <w:lang w:val="en-US" w:eastAsia="zh-CN"/>
              </w:rPr>
              <w:t xml:space="preserve">3 </w:t>
            </w:r>
            <w:r>
              <w:rPr>
                <w:rFonts w:hint="default" w:ascii="Times New Roman" w:hAnsi="Times New Roman" w:eastAsia="宋体" w:cs="Times New Roman"/>
                <w:b/>
                <w:bCs/>
                <w:sz w:val="21"/>
                <w:szCs w:val="21"/>
              </w:rPr>
              <w:t>项目产品方案</w:t>
            </w:r>
          </w:p>
          <w:tbl>
            <w:tblPr>
              <w:tblStyle w:val="21"/>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3217"/>
              <w:gridCol w:w="1385"/>
              <w:gridCol w:w="1844"/>
            </w:tblGrid>
            <w:tr w14:paraId="0A0D10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84" w:type="pct"/>
                  <w:tcBorders>
                    <w:tl2br w:val="nil"/>
                    <w:tr2bl w:val="nil"/>
                  </w:tcBorders>
                  <w:noWrap w:val="0"/>
                  <w:vAlign w:val="center"/>
                </w:tcPr>
                <w:p w14:paraId="260DC9F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序号</w:t>
                  </w:r>
                </w:p>
              </w:tc>
              <w:tc>
                <w:tcPr>
                  <w:tcW w:w="2054" w:type="pct"/>
                  <w:tcBorders>
                    <w:tl2br w:val="nil"/>
                    <w:tr2bl w:val="nil"/>
                  </w:tcBorders>
                  <w:noWrap w:val="0"/>
                  <w:vAlign w:val="center"/>
                </w:tcPr>
                <w:p w14:paraId="323184B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产品名称</w:t>
                  </w:r>
                </w:p>
              </w:tc>
              <w:tc>
                <w:tcPr>
                  <w:tcW w:w="884" w:type="pct"/>
                  <w:tcBorders>
                    <w:tl2br w:val="nil"/>
                    <w:tr2bl w:val="nil"/>
                  </w:tcBorders>
                  <w:noWrap w:val="0"/>
                  <w:vAlign w:val="center"/>
                </w:tcPr>
                <w:p w14:paraId="05CCC87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单位</w:t>
                  </w:r>
                </w:p>
              </w:tc>
              <w:tc>
                <w:tcPr>
                  <w:tcW w:w="1177" w:type="pct"/>
                  <w:tcBorders>
                    <w:tl2br w:val="nil"/>
                    <w:tr2bl w:val="nil"/>
                  </w:tcBorders>
                  <w:noWrap w:val="0"/>
                  <w:vAlign w:val="center"/>
                </w:tcPr>
                <w:p w14:paraId="7913089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产量</w:t>
                  </w:r>
                </w:p>
              </w:tc>
            </w:tr>
            <w:tr w14:paraId="025EB5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84" w:type="pct"/>
                  <w:tcBorders>
                    <w:tl2br w:val="nil"/>
                    <w:tr2bl w:val="nil"/>
                  </w:tcBorders>
                  <w:noWrap w:val="0"/>
                  <w:vAlign w:val="center"/>
                </w:tcPr>
                <w:p w14:paraId="6CF20FE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2054" w:type="pct"/>
                  <w:tcBorders>
                    <w:tl2br w:val="nil"/>
                    <w:tr2bl w:val="nil"/>
                  </w:tcBorders>
                  <w:noWrap w:val="0"/>
                  <w:vAlign w:val="center"/>
                </w:tcPr>
                <w:p w14:paraId="03325B1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猪肉</w:t>
                  </w:r>
                </w:p>
              </w:tc>
              <w:tc>
                <w:tcPr>
                  <w:tcW w:w="884" w:type="pct"/>
                  <w:tcBorders>
                    <w:tl2br w:val="nil"/>
                    <w:tr2bl w:val="nil"/>
                  </w:tcBorders>
                  <w:noWrap w:val="0"/>
                  <w:vAlign w:val="center"/>
                </w:tcPr>
                <w:p w14:paraId="31744D9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t</w:t>
                  </w:r>
                  <w:r>
                    <w:rPr>
                      <w:rFonts w:hint="default" w:ascii="Times New Roman" w:hAnsi="Times New Roman" w:eastAsia="宋体" w:cs="Times New Roman"/>
                      <w:sz w:val="21"/>
                      <w:szCs w:val="21"/>
                    </w:rPr>
                    <w:t>/a</w:t>
                  </w:r>
                </w:p>
              </w:tc>
              <w:tc>
                <w:tcPr>
                  <w:tcW w:w="1177" w:type="pct"/>
                  <w:tcBorders>
                    <w:tl2br w:val="nil"/>
                    <w:tr2bl w:val="nil"/>
                  </w:tcBorders>
                  <w:noWrap w:val="0"/>
                  <w:vAlign w:val="center"/>
                </w:tcPr>
                <w:p w14:paraId="65A7A1B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3832.5</w:t>
                  </w:r>
                </w:p>
              </w:tc>
            </w:tr>
            <w:tr w14:paraId="4D1727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84" w:type="pct"/>
                  <w:tcBorders>
                    <w:tl2br w:val="nil"/>
                    <w:tr2bl w:val="nil"/>
                  </w:tcBorders>
                  <w:noWrap w:val="0"/>
                  <w:vAlign w:val="center"/>
                </w:tcPr>
                <w:p w14:paraId="22282B7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2054" w:type="pct"/>
                  <w:tcBorders>
                    <w:tl2br w:val="nil"/>
                    <w:tr2bl w:val="nil"/>
                  </w:tcBorders>
                  <w:noWrap w:val="0"/>
                  <w:vAlign w:val="center"/>
                </w:tcPr>
                <w:p w14:paraId="64B8F9B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猪副产品</w:t>
                  </w:r>
                </w:p>
              </w:tc>
              <w:tc>
                <w:tcPr>
                  <w:tcW w:w="884" w:type="pct"/>
                  <w:tcBorders>
                    <w:tl2br w:val="nil"/>
                    <w:tr2bl w:val="nil"/>
                  </w:tcBorders>
                  <w:noWrap w:val="0"/>
                  <w:vAlign w:val="center"/>
                </w:tcPr>
                <w:p w14:paraId="6A6B2AB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t</w:t>
                  </w:r>
                  <w:r>
                    <w:rPr>
                      <w:rFonts w:hint="default" w:ascii="Times New Roman" w:hAnsi="Times New Roman" w:eastAsia="宋体" w:cs="Times New Roman"/>
                      <w:sz w:val="21"/>
                      <w:szCs w:val="21"/>
                    </w:rPr>
                    <w:t>/a</w:t>
                  </w:r>
                </w:p>
              </w:tc>
              <w:tc>
                <w:tcPr>
                  <w:tcW w:w="1177" w:type="pct"/>
                  <w:tcBorders>
                    <w:tl2br w:val="nil"/>
                    <w:tr2bl w:val="nil"/>
                  </w:tcBorders>
                  <w:noWrap w:val="0"/>
                  <w:vAlign w:val="center"/>
                </w:tcPr>
                <w:p w14:paraId="2740E7C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547.5</w:t>
                  </w:r>
                </w:p>
              </w:tc>
            </w:tr>
          </w:tbl>
          <w:p w14:paraId="767B83F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lang w:val="en-US" w:eastAsia="zh-CN"/>
              </w:rPr>
              <w:t>4、</w:t>
            </w:r>
            <w:r>
              <w:rPr>
                <w:rFonts w:hint="default" w:ascii="Times New Roman" w:hAnsi="Times New Roman" w:cs="Times New Roman"/>
                <w:b/>
                <w:bCs/>
                <w:color w:val="auto"/>
              </w:rPr>
              <w:t>主要设备</w:t>
            </w:r>
          </w:p>
          <w:p w14:paraId="7B35F18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rPr>
            </w:pPr>
            <w:r>
              <w:rPr>
                <w:rFonts w:hint="default" w:ascii="Times New Roman" w:hAnsi="Times New Roman" w:cs="Times New Roman"/>
                <w:b w:val="0"/>
                <w:bCs w:val="0"/>
                <w:color w:val="auto"/>
              </w:rPr>
              <w:t>项目主要设备见表2-</w:t>
            </w:r>
            <w:r>
              <w:rPr>
                <w:rFonts w:hint="default" w:ascii="Times New Roman" w:hAnsi="Times New Roman" w:cs="Times New Roman"/>
                <w:b w:val="0"/>
                <w:bCs w:val="0"/>
                <w:color w:val="auto"/>
                <w:lang w:val="en-US" w:eastAsia="zh-CN"/>
              </w:rPr>
              <w:t>4</w:t>
            </w:r>
            <w:r>
              <w:rPr>
                <w:rFonts w:hint="default" w:ascii="Times New Roman" w:hAnsi="Times New Roman" w:cs="Times New Roman"/>
                <w:b w:val="0"/>
                <w:bCs w:val="0"/>
                <w:color w:val="auto"/>
              </w:rPr>
              <w:t>。</w:t>
            </w:r>
          </w:p>
          <w:p w14:paraId="6850E0AB">
            <w:pPr>
              <w:pageBreakBefore w:val="0"/>
              <w:wordWrap/>
              <w:overflowPunct/>
              <w:bidi w:val="0"/>
              <w:spacing w:beforeAutospacing="0" w:afterAutospacing="0" w:line="360" w:lineRule="auto"/>
              <w:ind w:left="0" w:leftChars="0" w:right="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表2-</w:t>
            </w:r>
            <w:r>
              <w:rPr>
                <w:rFonts w:hint="default" w:ascii="Times New Roman" w:hAnsi="Times New Roman" w:eastAsia="宋体" w:cs="Times New Roman"/>
                <w:b/>
                <w:bCs/>
                <w:sz w:val="21"/>
                <w:szCs w:val="21"/>
                <w:lang w:val="en-US" w:eastAsia="zh-CN"/>
              </w:rPr>
              <w:t>4</w:t>
            </w:r>
            <w:r>
              <w:rPr>
                <w:rFonts w:hint="default" w:ascii="Times New Roman" w:hAnsi="Times New Roman" w:eastAsia="宋体" w:cs="Times New Roman"/>
                <w:b/>
                <w:bCs/>
                <w:sz w:val="21"/>
                <w:szCs w:val="21"/>
              </w:rPr>
              <w:t xml:space="preserve">  项目主要设备一览表</w:t>
            </w:r>
          </w:p>
          <w:tbl>
            <w:tblPr>
              <w:tblStyle w:val="2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1658"/>
              <w:gridCol w:w="1033"/>
              <w:gridCol w:w="1448"/>
              <w:gridCol w:w="3066"/>
            </w:tblGrid>
            <w:tr w14:paraId="0E73F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5EF99A6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序</w:t>
                  </w:r>
                  <w:r>
                    <w:rPr>
                      <w:rFonts w:hint="default" w:ascii="Times New Roman" w:hAnsi="Times New Roman" w:eastAsia="宋体" w:cs="Times New Roman"/>
                      <w:sz w:val="21"/>
                      <w:szCs w:val="21"/>
                      <w:lang w:eastAsia="zh-CN"/>
                    </w:rPr>
                    <w:t>号</w:t>
                  </w:r>
                </w:p>
              </w:tc>
              <w:tc>
                <w:tcPr>
                  <w:tcW w:w="1058" w:type="pct"/>
                  <w:tcBorders>
                    <w:tl2br w:val="nil"/>
                    <w:tr2bl w:val="nil"/>
                  </w:tcBorders>
                  <w:noWrap w:val="0"/>
                  <w:vAlign w:val="center"/>
                </w:tcPr>
                <w:p w14:paraId="235E8EF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生产设备</w:t>
                  </w:r>
                </w:p>
              </w:tc>
              <w:tc>
                <w:tcPr>
                  <w:tcW w:w="659" w:type="pct"/>
                  <w:tcBorders>
                    <w:tl2br w:val="nil"/>
                    <w:tr2bl w:val="nil"/>
                  </w:tcBorders>
                  <w:noWrap w:val="0"/>
                  <w:vAlign w:val="center"/>
                </w:tcPr>
                <w:p w14:paraId="4D34128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规格</w:t>
                  </w:r>
                </w:p>
              </w:tc>
              <w:tc>
                <w:tcPr>
                  <w:tcW w:w="924" w:type="pct"/>
                  <w:tcBorders>
                    <w:tl2br w:val="nil"/>
                    <w:tr2bl w:val="nil"/>
                  </w:tcBorders>
                  <w:noWrap w:val="0"/>
                  <w:vAlign w:val="center"/>
                </w:tcPr>
                <w:p w14:paraId="3B2AA1B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数量（</w:t>
                  </w:r>
                  <w:r>
                    <w:rPr>
                      <w:rFonts w:hint="default" w:ascii="Times New Roman" w:hAnsi="Times New Roman" w:eastAsia="宋体" w:cs="Times New Roman"/>
                      <w:sz w:val="21"/>
                      <w:szCs w:val="21"/>
                      <w:lang w:val="en-US" w:eastAsia="zh-CN"/>
                    </w:rPr>
                    <w:t>台/套</w:t>
                  </w:r>
                  <w:r>
                    <w:rPr>
                      <w:rFonts w:hint="eastAsia" w:cs="Times New Roman"/>
                      <w:sz w:val="21"/>
                      <w:szCs w:val="21"/>
                      <w:lang w:val="en-US" w:eastAsia="zh-CN"/>
                    </w:rPr>
                    <w:t>）</w:t>
                  </w:r>
                </w:p>
              </w:tc>
              <w:tc>
                <w:tcPr>
                  <w:tcW w:w="1956" w:type="pct"/>
                  <w:tcBorders>
                    <w:tl2br w:val="nil"/>
                    <w:tr2bl w:val="nil"/>
                  </w:tcBorders>
                  <w:noWrap w:val="0"/>
                  <w:vAlign w:val="center"/>
                </w:tcPr>
                <w:p w14:paraId="68454B5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备注</w:t>
                  </w:r>
                </w:p>
              </w:tc>
            </w:tr>
            <w:tr w14:paraId="2FDA0B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4ED73104">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p>
              </w:tc>
              <w:tc>
                <w:tcPr>
                  <w:tcW w:w="1058" w:type="pct"/>
                  <w:tcBorders>
                    <w:tl2br w:val="nil"/>
                    <w:tr2bl w:val="nil"/>
                  </w:tcBorders>
                  <w:noWrap w:val="0"/>
                  <w:vAlign w:val="center"/>
                </w:tcPr>
                <w:p w14:paraId="23152DD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生猪冲淋设备</w:t>
                  </w:r>
                </w:p>
              </w:tc>
              <w:tc>
                <w:tcPr>
                  <w:tcW w:w="659" w:type="pct"/>
                  <w:tcBorders>
                    <w:tl2br w:val="nil"/>
                    <w:tr2bl w:val="nil"/>
                  </w:tcBorders>
                  <w:noWrap w:val="0"/>
                  <w:vAlign w:val="center"/>
                </w:tcPr>
                <w:p w14:paraId="0DC2250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3C8C72D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29BDBAB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rPr>
                  </w:pPr>
                </w:p>
              </w:tc>
            </w:tr>
            <w:tr w14:paraId="5EC4F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50988B03">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p>
              </w:tc>
              <w:tc>
                <w:tcPr>
                  <w:tcW w:w="1058" w:type="pct"/>
                  <w:tcBorders>
                    <w:tl2br w:val="nil"/>
                    <w:tr2bl w:val="nil"/>
                  </w:tcBorders>
                  <w:noWrap w:val="0"/>
                  <w:vAlign w:val="center"/>
                </w:tcPr>
                <w:p w14:paraId="0F8AAE8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冰柜</w:t>
                  </w:r>
                </w:p>
              </w:tc>
              <w:tc>
                <w:tcPr>
                  <w:tcW w:w="659" w:type="pct"/>
                  <w:tcBorders>
                    <w:tl2br w:val="nil"/>
                    <w:tr2bl w:val="nil"/>
                  </w:tcBorders>
                  <w:noWrap w:val="0"/>
                  <w:vAlign w:val="center"/>
                </w:tcPr>
                <w:p w14:paraId="028B0D6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4B9C728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1B6A606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用于暂存产生的内脏等</w:t>
                  </w:r>
                  <w:r>
                    <w:rPr>
                      <w:rFonts w:hint="eastAsia" w:cs="Times New Roman"/>
                      <w:sz w:val="21"/>
                      <w:szCs w:val="21"/>
                      <w:lang w:val="en-US" w:eastAsia="zh-CN"/>
                    </w:rPr>
                    <w:t>猪副产品</w:t>
                  </w:r>
                </w:p>
              </w:tc>
            </w:tr>
            <w:tr w14:paraId="059555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007CA852">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058" w:type="pct"/>
                  <w:tcBorders>
                    <w:tl2br w:val="nil"/>
                    <w:tr2bl w:val="nil"/>
                  </w:tcBorders>
                  <w:noWrap w:val="0"/>
                  <w:vAlign w:val="center"/>
                </w:tcPr>
                <w:p w14:paraId="428701E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屠宰刀具</w:t>
                  </w:r>
                </w:p>
              </w:tc>
              <w:tc>
                <w:tcPr>
                  <w:tcW w:w="659" w:type="pct"/>
                  <w:tcBorders>
                    <w:tl2br w:val="nil"/>
                    <w:tr2bl w:val="nil"/>
                  </w:tcBorders>
                  <w:noWrap w:val="0"/>
                  <w:vAlign w:val="center"/>
                </w:tcPr>
                <w:p w14:paraId="3EC19DD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大小不等</w:t>
                  </w:r>
                </w:p>
              </w:tc>
              <w:tc>
                <w:tcPr>
                  <w:tcW w:w="924" w:type="pct"/>
                  <w:tcBorders>
                    <w:tl2br w:val="nil"/>
                    <w:tr2bl w:val="nil"/>
                  </w:tcBorders>
                  <w:noWrap w:val="0"/>
                  <w:vAlign w:val="center"/>
                </w:tcPr>
                <w:p w14:paraId="785D764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956" w:type="pct"/>
                  <w:tcBorders>
                    <w:tl2br w:val="nil"/>
                    <w:tr2bl w:val="nil"/>
                  </w:tcBorders>
                  <w:noWrap w:val="0"/>
                  <w:vAlign w:val="center"/>
                </w:tcPr>
                <w:p w14:paraId="19A64AF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r>
            <w:tr w14:paraId="1E660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72642823">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w:t>
                  </w:r>
                </w:p>
              </w:tc>
              <w:tc>
                <w:tcPr>
                  <w:tcW w:w="1058" w:type="pct"/>
                  <w:tcBorders>
                    <w:tl2br w:val="nil"/>
                    <w:tr2bl w:val="nil"/>
                  </w:tcBorders>
                  <w:noWrap w:val="0"/>
                  <w:vAlign w:val="center"/>
                </w:tcPr>
                <w:p w14:paraId="3D9BD28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自动放血线</w:t>
                  </w:r>
                </w:p>
              </w:tc>
              <w:tc>
                <w:tcPr>
                  <w:tcW w:w="659" w:type="pct"/>
                  <w:tcBorders>
                    <w:tl2br w:val="nil"/>
                    <w:tr2bl w:val="nil"/>
                  </w:tcBorders>
                  <w:noWrap w:val="0"/>
                  <w:vAlign w:val="center"/>
                </w:tcPr>
                <w:p w14:paraId="58204D5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60D08F1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20B5869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r>
            <w:tr w14:paraId="652885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57CC9E68">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5</w:t>
                  </w:r>
                </w:p>
              </w:tc>
              <w:tc>
                <w:tcPr>
                  <w:tcW w:w="1058" w:type="pct"/>
                  <w:tcBorders>
                    <w:tl2br w:val="nil"/>
                    <w:tr2bl w:val="nil"/>
                  </w:tcBorders>
                  <w:noWrap w:val="0"/>
                  <w:vAlign w:val="center"/>
                </w:tcPr>
                <w:p w14:paraId="303C81B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集血槽</w:t>
                  </w:r>
                </w:p>
              </w:tc>
              <w:tc>
                <w:tcPr>
                  <w:tcW w:w="659" w:type="pct"/>
                  <w:tcBorders>
                    <w:tl2br w:val="nil"/>
                    <w:tr2bl w:val="nil"/>
                  </w:tcBorders>
                  <w:noWrap w:val="0"/>
                  <w:vAlign w:val="center"/>
                </w:tcPr>
                <w:p w14:paraId="1ECA19E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604CD41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265856F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r>
            <w:tr w14:paraId="64B324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4941F850">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6</w:t>
                  </w:r>
                </w:p>
              </w:tc>
              <w:tc>
                <w:tcPr>
                  <w:tcW w:w="1058" w:type="pct"/>
                  <w:tcBorders>
                    <w:tl2br w:val="nil"/>
                    <w:tr2bl w:val="nil"/>
                  </w:tcBorders>
                  <w:noWrap w:val="0"/>
                  <w:vAlign w:val="center"/>
                </w:tcPr>
                <w:p w14:paraId="6A2E2B7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劈半机</w:t>
                  </w:r>
                </w:p>
              </w:tc>
              <w:tc>
                <w:tcPr>
                  <w:tcW w:w="659" w:type="pct"/>
                  <w:tcBorders>
                    <w:tl2br w:val="nil"/>
                    <w:tr2bl w:val="nil"/>
                  </w:tcBorders>
                  <w:noWrap w:val="0"/>
                  <w:vAlign w:val="center"/>
                </w:tcPr>
                <w:p w14:paraId="7544A61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740B609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3C73201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r>
            <w:tr w14:paraId="0123B9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072E5F3D">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7</w:t>
                  </w:r>
                </w:p>
              </w:tc>
              <w:tc>
                <w:tcPr>
                  <w:tcW w:w="1058" w:type="pct"/>
                  <w:tcBorders>
                    <w:tl2br w:val="nil"/>
                    <w:tr2bl w:val="nil"/>
                  </w:tcBorders>
                  <w:noWrap w:val="0"/>
                  <w:vAlign w:val="center"/>
                </w:tcPr>
                <w:p w14:paraId="146BBAC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脱毛机</w:t>
                  </w:r>
                </w:p>
              </w:tc>
              <w:tc>
                <w:tcPr>
                  <w:tcW w:w="659" w:type="pct"/>
                  <w:tcBorders>
                    <w:tl2br w:val="nil"/>
                    <w:tr2bl w:val="nil"/>
                  </w:tcBorders>
                  <w:noWrap w:val="0"/>
                  <w:vAlign w:val="center"/>
                </w:tcPr>
                <w:p w14:paraId="225A8B3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08F1FF1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1C11031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r>
            <w:tr w14:paraId="08E00E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3651FC2C">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8</w:t>
                  </w:r>
                </w:p>
              </w:tc>
              <w:tc>
                <w:tcPr>
                  <w:tcW w:w="1058" w:type="pct"/>
                  <w:tcBorders>
                    <w:tl2br w:val="nil"/>
                    <w:tr2bl w:val="nil"/>
                  </w:tcBorders>
                  <w:noWrap w:val="0"/>
                  <w:vAlign w:val="center"/>
                </w:tcPr>
                <w:p w14:paraId="495A00E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热水锅炉（电）</w:t>
                  </w:r>
                </w:p>
              </w:tc>
              <w:tc>
                <w:tcPr>
                  <w:tcW w:w="659" w:type="pct"/>
                  <w:tcBorders>
                    <w:tl2br w:val="nil"/>
                    <w:tr2bl w:val="nil"/>
                  </w:tcBorders>
                  <w:noWrap w:val="0"/>
                  <w:vAlign w:val="center"/>
                </w:tcPr>
                <w:p w14:paraId="5D81EB9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5FD4A0A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32D1AD4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r>
            <w:tr w14:paraId="66E4A8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tcBorders>
                    <w:tl2br w:val="nil"/>
                    <w:tr2bl w:val="nil"/>
                  </w:tcBorders>
                  <w:noWrap w:val="0"/>
                  <w:vAlign w:val="center"/>
                </w:tcPr>
                <w:p w14:paraId="48442E8D">
                  <w:pPr>
                    <w:keepNext w:val="0"/>
                    <w:keepLines w:val="0"/>
                    <w:pageBreakBefore w:val="0"/>
                    <w:widowControl w:val="0"/>
                    <w:kinsoku/>
                    <w:wordWrap/>
                    <w:overflowPunct/>
                    <w:topLinePunct w:val="0"/>
                    <w:autoSpaceDE/>
                    <w:autoSpaceDN/>
                    <w:bidi/>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9</w:t>
                  </w:r>
                </w:p>
              </w:tc>
              <w:tc>
                <w:tcPr>
                  <w:tcW w:w="1058" w:type="pct"/>
                  <w:tcBorders>
                    <w:tl2br w:val="nil"/>
                    <w:tr2bl w:val="nil"/>
                  </w:tcBorders>
                  <w:noWrap w:val="0"/>
                  <w:vAlign w:val="center"/>
                </w:tcPr>
                <w:p w14:paraId="20C277C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烫毛</w:t>
                  </w:r>
                  <w:r>
                    <w:rPr>
                      <w:rFonts w:hint="eastAsia" w:cs="Times New Roman"/>
                      <w:sz w:val="21"/>
                      <w:szCs w:val="21"/>
                      <w:lang w:val="en-US" w:eastAsia="zh-CN"/>
                    </w:rPr>
                    <w:t>设施</w:t>
                  </w:r>
                </w:p>
              </w:tc>
              <w:tc>
                <w:tcPr>
                  <w:tcW w:w="659" w:type="pct"/>
                  <w:tcBorders>
                    <w:tl2br w:val="nil"/>
                    <w:tr2bl w:val="nil"/>
                  </w:tcBorders>
                  <w:noWrap w:val="0"/>
                  <w:vAlign w:val="center"/>
                </w:tcPr>
                <w:p w14:paraId="18BA3E0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c>
                <w:tcPr>
                  <w:tcW w:w="924" w:type="pct"/>
                  <w:tcBorders>
                    <w:tl2br w:val="nil"/>
                    <w:tr2bl w:val="nil"/>
                  </w:tcBorders>
                  <w:noWrap w:val="0"/>
                  <w:vAlign w:val="center"/>
                </w:tcPr>
                <w:p w14:paraId="3505ADB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956" w:type="pct"/>
                  <w:tcBorders>
                    <w:tl2br w:val="nil"/>
                    <w:tr2bl w:val="nil"/>
                  </w:tcBorders>
                  <w:noWrap w:val="0"/>
                  <w:vAlign w:val="center"/>
                </w:tcPr>
                <w:p w14:paraId="1EB63D5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p>
              </w:tc>
            </w:tr>
          </w:tbl>
          <w:p w14:paraId="0D42C1A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5、</w:t>
            </w:r>
            <w:r>
              <w:rPr>
                <w:rFonts w:hint="default" w:ascii="Times New Roman" w:hAnsi="Times New Roman" w:cs="Times New Roman"/>
                <w:b/>
                <w:bCs/>
                <w:color w:val="000000" w:themeColor="text1"/>
                <w14:textFill>
                  <w14:solidFill>
                    <w14:schemeClr w14:val="tx1"/>
                  </w14:solidFill>
                </w14:textFill>
              </w:rPr>
              <w:t>主要原辅材料及能源消耗</w:t>
            </w:r>
          </w:p>
          <w:p w14:paraId="4731C40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本项目原辅材料见下表2-5。</w:t>
            </w:r>
          </w:p>
          <w:p w14:paraId="3DFE0681">
            <w:pPr>
              <w:pageBreakBefore w:val="0"/>
              <w:wordWrap/>
              <w:overflowPunct/>
              <w:bidi w:val="0"/>
              <w:spacing w:beforeAutospacing="0" w:afterAutospacing="0" w:line="360" w:lineRule="auto"/>
              <w:ind w:left="0" w:leftChars="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表2-</w:t>
            </w:r>
            <w:r>
              <w:rPr>
                <w:rFonts w:hint="default" w:ascii="Times New Roman" w:hAnsi="Times New Roman" w:eastAsia="宋体" w:cs="Times New Roman"/>
                <w:b/>
                <w:bCs/>
                <w:sz w:val="21"/>
                <w:szCs w:val="21"/>
                <w:lang w:val="en-US" w:eastAsia="zh-CN"/>
              </w:rPr>
              <w:t xml:space="preserve">5 </w:t>
            </w:r>
            <w:r>
              <w:rPr>
                <w:rFonts w:hint="default" w:ascii="Times New Roman" w:hAnsi="Times New Roman" w:eastAsia="宋体" w:cs="Times New Roman"/>
                <w:b/>
                <w:bCs/>
                <w:sz w:val="21"/>
                <w:szCs w:val="21"/>
              </w:rPr>
              <w:t>原辅材料及能源消耗一览表</w:t>
            </w:r>
          </w:p>
          <w:tbl>
            <w:tblPr>
              <w:tblStyle w:val="2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1840"/>
              <w:gridCol w:w="694"/>
              <w:gridCol w:w="1152"/>
              <w:gridCol w:w="1611"/>
              <w:gridCol w:w="1840"/>
            </w:tblGrid>
            <w:tr w14:paraId="3F582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3F05BC6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序号</w:t>
                  </w:r>
                </w:p>
              </w:tc>
              <w:tc>
                <w:tcPr>
                  <w:tcW w:w="1174" w:type="pct"/>
                  <w:tcBorders>
                    <w:tl2br w:val="nil"/>
                    <w:tr2bl w:val="nil"/>
                  </w:tcBorders>
                  <w:noWrap w:val="0"/>
                  <w:vAlign w:val="center"/>
                </w:tcPr>
                <w:p w14:paraId="24CE4C6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原、辅材料</w:t>
                  </w:r>
                  <w:r>
                    <w:rPr>
                      <w:rFonts w:hint="default" w:ascii="Times New Roman" w:hAnsi="Times New Roman" w:eastAsia="宋体" w:cs="Times New Roman"/>
                      <w:sz w:val="21"/>
                      <w:szCs w:val="21"/>
                    </w:rPr>
                    <w:t>名称</w:t>
                  </w:r>
                </w:p>
              </w:tc>
              <w:tc>
                <w:tcPr>
                  <w:tcW w:w="443" w:type="pct"/>
                  <w:tcBorders>
                    <w:tl2br w:val="nil"/>
                    <w:tr2bl w:val="nil"/>
                  </w:tcBorders>
                  <w:noWrap w:val="0"/>
                  <w:vAlign w:val="center"/>
                </w:tcPr>
                <w:p w14:paraId="7ECAE71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单位</w:t>
                  </w:r>
                </w:p>
              </w:tc>
              <w:tc>
                <w:tcPr>
                  <w:tcW w:w="735" w:type="pct"/>
                  <w:tcBorders>
                    <w:tl2br w:val="nil"/>
                    <w:tr2bl w:val="nil"/>
                  </w:tcBorders>
                  <w:noWrap w:val="0"/>
                  <w:vAlign w:val="center"/>
                </w:tcPr>
                <w:p w14:paraId="260891B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年用量</w:t>
                  </w:r>
                </w:p>
              </w:tc>
              <w:tc>
                <w:tcPr>
                  <w:tcW w:w="1028" w:type="pct"/>
                  <w:tcBorders>
                    <w:tl2br w:val="nil"/>
                    <w:tr2bl w:val="nil"/>
                  </w:tcBorders>
                  <w:noWrap w:val="0"/>
                  <w:vAlign w:val="center"/>
                </w:tcPr>
                <w:p w14:paraId="7B65962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厂区最大贮存</w:t>
                  </w:r>
                </w:p>
              </w:tc>
              <w:tc>
                <w:tcPr>
                  <w:tcW w:w="1174" w:type="pct"/>
                  <w:tcBorders>
                    <w:tl2br w:val="nil"/>
                    <w:tr2bl w:val="nil"/>
                  </w:tcBorders>
                  <w:noWrap w:val="0"/>
                  <w:vAlign w:val="center"/>
                </w:tcPr>
                <w:p w14:paraId="7F38786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备注</w:t>
                  </w:r>
                </w:p>
              </w:tc>
            </w:tr>
            <w:tr w14:paraId="4EFF97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1862910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174" w:type="pct"/>
                  <w:tcBorders>
                    <w:tl2br w:val="nil"/>
                    <w:tr2bl w:val="nil"/>
                  </w:tcBorders>
                  <w:noWrap w:val="0"/>
                  <w:vAlign w:val="center"/>
                </w:tcPr>
                <w:p w14:paraId="6D74EBE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生猪</w:t>
                  </w:r>
                </w:p>
              </w:tc>
              <w:tc>
                <w:tcPr>
                  <w:tcW w:w="443" w:type="pct"/>
                  <w:tcBorders>
                    <w:tl2br w:val="nil"/>
                    <w:tr2bl w:val="nil"/>
                  </w:tcBorders>
                  <w:noWrap w:val="0"/>
                  <w:vAlign w:val="center"/>
                </w:tcPr>
                <w:p w14:paraId="3853E84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头</w:t>
                  </w:r>
                </w:p>
              </w:tc>
              <w:tc>
                <w:tcPr>
                  <w:tcW w:w="735" w:type="pct"/>
                  <w:tcBorders>
                    <w:tl2br w:val="nil"/>
                    <w:tr2bl w:val="nil"/>
                  </w:tcBorders>
                  <w:noWrap w:val="0"/>
                  <w:vAlign w:val="center"/>
                </w:tcPr>
                <w:p w14:paraId="424810F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5.475万</w:t>
                  </w:r>
                </w:p>
              </w:tc>
              <w:tc>
                <w:tcPr>
                  <w:tcW w:w="1028" w:type="pct"/>
                  <w:tcBorders>
                    <w:tl2br w:val="nil"/>
                    <w:tr2bl w:val="nil"/>
                  </w:tcBorders>
                  <w:noWrap w:val="0"/>
                  <w:vAlign w:val="center"/>
                </w:tcPr>
                <w:p w14:paraId="10FE562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150</w:t>
                  </w:r>
                </w:p>
              </w:tc>
              <w:tc>
                <w:tcPr>
                  <w:tcW w:w="1174" w:type="pct"/>
                  <w:tcBorders>
                    <w:tl2br w:val="nil"/>
                    <w:tr2bl w:val="nil"/>
                  </w:tcBorders>
                  <w:noWrap w:val="0"/>
                  <w:vAlign w:val="center"/>
                </w:tcPr>
                <w:p w14:paraId="3C086AD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外购、100kg/头</w:t>
                  </w:r>
                </w:p>
              </w:tc>
            </w:tr>
            <w:tr w14:paraId="2B694F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1B8B435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174" w:type="pct"/>
                  <w:tcBorders>
                    <w:tl2br w:val="nil"/>
                    <w:tr2bl w:val="nil"/>
                  </w:tcBorders>
                  <w:noWrap w:val="0"/>
                  <w:vAlign w:val="center"/>
                </w:tcPr>
                <w:p w14:paraId="5C88340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石灰水消毒剂</w:t>
                  </w:r>
                </w:p>
              </w:tc>
              <w:tc>
                <w:tcPr>
                  <w:tcW w:w="443" w:type="pct"/>
                  <w:tcBorders>
                    <w:tl2br w:val="nil"/>
                    <w:tr2bl w:val="nil"/>
                  </w:tcBorders>
                  <w:noWrap w:val="0"/>
                  <w:vAlign w:val="center"/>
                </w:tcPr>
                <w:p w14:paraId="255EFCB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吨</w:t>
                  </w:r>
                </w:p>
              </w:tc>
              <w:tc>
                <w:tcPr>
                  <w:tcW w:w="735" w:type="pct"/>
                  <w:tcBorders>
                    <w:tl2br w:val="nil"/>
                    <w:tr2bl w:val="nil"/>
                  </w:tcBorders>
                  <w:noWrap w:val="0"/>
                  <w:vAlign w:val="center"/>
                </w:tcPr>
                <w:p w14:paraId="7583031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w:t>
                  </w:r>
                </w:p>
              </w:tc>
              <w:tc>
                <w:tcPr>
                  <w:tcW w:w="1028" w:type="pct"/>
                  <w:tcBorders>
                    <w:tl2br w:val="nil"/>
                    <w:tr2bl w:val="nil"/>
                  </w:tcBorders>
                  <w:noWrap w:val="0"/>
                  <w:vAlign w:val="center"/>
                </w:tcPr>
                <w:p w14:paraId="38C711D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c>
                <w:tcPr>
                  <w:tcW w:w="1174" w:type="pct"/>
                  <w:tcBorders>
                    <w:tl2br w:val="nil"/>
                    <w:tr2bl w:val="nil"/>
                  </w:tcBorders>
                  <w:noWrap w:val="0"/>
                  <w:vAlign w:val="center"/>
                </w:tcPr>
                <w:p w14:paraId="67FB208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外购</w:t>
                  </w:r>
                </w:p>
              </w:tc>
            </w:tr>
            <w:tr w14:paraId="47F38C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2113614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174" w:type="pct"/>
                  <w:tcBorders>
                    <w:tl2br w:val="nil"/>
                    <w:tr2bl w:val="nil"/>
                  </w:tcBorders>
                  <w:noWrap w:val="0"/>
                  <w:vAlign w:val="center"/>
                </w:tcPr>
                <w:p w14:paraId="0E8E0AB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新鲜水</w:t>
                  </w:r>
                </w:p>
              </w:tc>
              <w:tc>
                <w:tcPr>
                  <w:tcW w:w="443" w:type="pct"/>
                  <w:tcBorders>
                    <w:tl2br w:val="nil"/>
                    <w:tr2bl w:val="nil"/>
                  </w:tcBorders>
                  <w:noWrap w:val="0"/>
                  <w:vAlign w:val="center"/>
                </w:tcPr>
                <w:p w14:paraId="47CD479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吨</w:t>
                  </w:r>
                </w:p>
              </w:tc>
              <w:tc>
                <w:tcPr>
                  <w:tcW w:w="735" w:type="pct"/>
                  <w:tcBorders>
                    <w:tl2br w:val="nil"/>
                    <w:tr2bl w:val="nil"/>
                  </w:tcBorders>
                  <w:noWrap w:val="0"/>
                  <w:vAlign w:val="center"/>
                </w:tcPr>
                <w:p w14:paraId="2B1FD02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36873.03</w:t>
                  </w:r>
                </w:p>
              </w:tc>
              <w:tc>
                <w:tcPr>
                  <w:tcW w:w="1028" w:type="pct"/>
                  <w:tcBorders>
                    <w:tl2br w:val="nil"/>
                    <w:tr2bl w:val="nil"/>
                  </w:tcBorders>
                  <w:noWrap w:val="0"/>
                  <w:vAlign w:val="center"/>
                </w:tcPr>
                <w:p w14:paraId="6E48A54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c>
                <w:tcPr>
                  <w:tcW w:w="1174" w:type="pct"/>
                  <w:tcBorders>
                    <w:tl2br w:val="nil"/>
                    <w:tr2bl w:val="nil"/>
                  </w:tcBorders>
                  <w:noWrap w:val="0"/>
                  <w:vAlign w:val="center"/>
                </w:tcPr>
                <w:p w14:paraId="1D0464C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市政管网</w:t>
                  </w:r>
                </w:p>
              </w:tc>
            </w:tr>
            <w:tr w14:paraId="0341CB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1B44FCE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174" w:type="pct"/>
                  <w:tcBorders>
                    <w:tl2br w:val="nil"/>
                    <w:tr2bl w:val="nil"/>
                  </w:tcBorders>
                  <w:noWrap w:val="0"/>
                  <w:vAlign w:val="center"/>
                </w:tcPr>
                <w:p w14:paraId="1919FC0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电</w:t>
                  </w:r>
                </w:p>
              </w:tc>
              <w:tc>
                <w:tcPr>
                  <w:tcW w:w="443" w:type="pct"/>
                  <w:tcBorders>
                    <w:tl2br w:val="nil"/>
                    <w:tr2bl w:val="nil"/>
                  </w:tcBorders>
                  <w:noWrap w:val="0"/>
                  <w:vAlign w:val="center"/>
                </w:tcPr>
                <w:p w14:paraId="6581596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kW/h</w:t>
                  </w:r>
                </w:p>
              </w:tc>
              <w:tc>
                <w:tcPr>
                  <w:tcW w:w="735" w:type="pct"/>
                  <w:tcBorders>
                    <w:tl2br w:val="nil"/>
                    <w:tr2bl w:val="nil"/>
                  </w:tcBorders>
                  <w:noWrap w:val="0"/>
                  <w:vAlign w:val="center"/>
                </w:tcPr>
                <w:p w14:paraId="01C2F27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3万</w:t>
                  </w:r>
                </w:p>
              </w:tc>
              <w:tc>
                <w:tcPr>
                  <w:tcW w:w="1028" w:type="pct"/>
                  <w:tcBorders>
                    <w:tl2br w:val="nil"/>
                    <w:tr2bl w:val="nil"/>
                  </w:tcBorders>
                  <w:noWrap w:val="0"/>
                  <w:vAlign w:val="center"/>
                </w:tcPr>
                <w:p w14:paraId="47B1F31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c>
                <w:tcPr>
                  <w:tcW w:w="1174" w:type="pct"/>
                  <w:tcBorders>
                    <w:tl2br w:val="nil"/>
                    <w:tr2bl w:val="nil"/>
                  </w:tcBorders>
                  <w:noWrap w:val="0"/>
                  <w:vAlign w:val="center"/>
                </w:tcPr>
                <w:p w14:paraId="09D3D48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市政电网</w:t>
                  </w:r>
                </w:p>
              </w:tc>
            </w:tr>
            <w:tr w14:paraId="399688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03AEEBF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5</w:t>
                  </w:r>
                </w:p>
              </w:tc>
              <w:tc>
                <w:tcPr>
                  <w:tcW w:w="1174" w:type="pct"/>
                  <w:tcBorders>
                    <w:tl2br w:val="nil"/>
                    <w:tr2bl w:val="nil"/>
                  </w:tcBorders>
                  <w:noWrap w:val="0"/>
                  <w:vAlign w:val="center"/>
                </w:tcPr>
                <w:p w14:paraId="66A03F7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生物除臭剂</w:t>
                  </w:r>
                </w:p>
              </w:tc>
              <w:tc>
                <w:tcPr>
                  <w:tcW w:w="443" w:type="pct"/>
                  <w:tcBorders>
                    <w:tl2br w:val="nil"/>
                    <w:tr2bl w:val="nil"/>
                  </w:tcBorders>
                  <w:noWrap w:val="0"/>
                  <w:vAlign w:val="center"/>
                </w:tcPr>
                <w:p w14:paraId="4A28254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吨</w:t>
                  </w:r>
                </w:p>
              </w:tc>
              <w:tc>
                <w:tcPr>
                  <w:tcW w:w="735" w:type="pct"/>
                  <w:tcBorders>
                    <w:tl2br w:val="nil"/>
                    <w:tr2bl w:val="nil"/>
                  </w:tcBorders>
                  <w:noWrap w:val="0"/>
                  <w:vAlign w:val="center"/>
                </w:tcPr>
                <w:p w14:paraId="64C966E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0.5</w:t>
                  </w:r>
                </w:p>
              </w:tc>
              <w:tc>
                <w:tcPr>
                  <w:tcW w:w="1028" w:type="pct"/>
                  <w:tcBorders>
                    <w:tl2br w:val="nil"/>
                    <w:tr2bl w:val="nil"/>
                  </w:tcBorders>
                  <w:noWrap w:val="0"/>
                  <w:vAlign w:val="center"/>
                </w:tcPr>
                <w:p w14:paraId="26988AC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1174" w:type="pct"/>
                  <w:tcBorders>
                    <w:tl2br w:val="nil"/>
                    <w:tr2bl w:val="nil"/>
                  </w:tcBorders>
                  <w:noWrap w:val="0"/>
                  <w:vAlign w:val="center"/>
                </w:tcPr>
                <w:p w14:paraId="32C8496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外购</w:t>
                  </w:r>
                </w:p>
              </w:tc>
            </w:tr>
            <w:tr w14:paraId="1784F6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3" w:type="pct"/>
                  <w:tcBorders>
                    <w:tl2br w:val="nil"/>
                    <w:tr2bl w:val="nil"/>
                  </w:tcBorders>
                  <w:noWrap w:val="0"/>
                  <w:vAlign w:val="center"/>
                </w:tcPr>
                <w:p w14:paraId="05F69AB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w:t>
                  </w:r>
                </w:p>
              </w:tc>
              <w:tc>
                <w:tcPr>
                  <w:tcW w:w="1174" w:type="pct"/>
                  <w:tcBorders>
                    <w:tl2br w:val="nil"/>
                    <w:tr2bl w:val="nil"/>
                  </w:tcBorders>
                  <w:noWrap w:val="0"/>
                  <w:vAlign w:val="center"/>
                </w:tcPr>
                <w:p w14:paraId="4F7BBBE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消毒剂（次氯酸钠）</w:t>
                  </w:r>
                </w:p>
              </w:tc>
              <w:tc>
                <w:tcPr>
                  <w:tcW w:w="443" w:type="pct"/>
                  <w:tcBorders>
                    <w:tl2br w:val="nil"/>
                    <w:tr2bl w:val="nil"/>
                  </w:tcBorders>
                  <w:noWrap w:val="0"/>
                  <w:vAlign w:val="center"/>
                </w:tcPr>
                <w:p w14:paraId="43A34DC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吨</w:t>
                  </w:r>
                </w:p>
              </w:tc>
              <w:tc>
                <w:tcPr>
                  <w:tcW w:w="735" w:type="pct"/>
                  <w:tcBorders>
                    <w:tl2br w:val="nil"/>
                    <w:tr2bl w:val="nil"/>
                  </w:tcBorders>
                  <w:noWrap w:val="0"/>
                  <w:vAlign w:val="center"/>
                </w:tcPr>
                <w:p w14:paraId="77896EE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0.3</w:t>
                  </w:r>
                </w:p>
              </w:tc>
              <w:tc>
                <w:tcPr>
                  <w:tcW w:w="1028" w:type="pct"/>
                  <w:tcBorders>
                    <w:tl2br w:val="nil"/>
                    <w:tr2bl w:val="nil"/>
                  </w:tcBorders>
                  <w:noWrap w:val="0"/>
                  <w:vAlign w:val="center"/>
                </w:tcPr>
                <w:p w14:paraId="4824A63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1174" w:type="pct"/>
                  <w:tcBorders>
                    <w:tl2br w:val="nil"/>
                    <w:tr2bl w:val="nil"/>
                  </w:tcBorders>
                  <w:noWrap w:val="0"/>
                  <w:vAlign w:val="center"/>
                </w:tcPr>
                <w:p w14:paraId="298C3EA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污水处理消毒剂</w:t>
                  </w:r>
                </w:p>
              </w:tc>
            </w:tr>
          </w:tbl>
          <w:p w14:paraId="082E871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项目用消毒剂的主要性质简介如下：</w:t>
            </w:r>
          </w:p>
          <w:p w14:paraId="33712C9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石灰水消毒剂：石灰水消毒剂为氢氧化钙的水溶液，氢氧化钙为细腻的白色粉末。溶于酸、铵盐、甘油，微溶于水，不溶于醇，有强碱性，对皮肤、织物、器皿等物质有腐蚀作用。</w:t>
            </w:r>
          </w:p>
          <w:p w14:paraId="05CB850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消毒剂（次氯酸钠）：是钠的次氯酸盐，呈白色粉末状，易溶于水、碱液，与有机物或还原剂相混易爆炸。次氯酸钠漂洗工作会导致人体手掌大量出汗，指甲变薄，毛发脱落;游离氯可能引起中毒。</w:t>
            </w:r>
          </w:p>
          <w:p w14:paraId="078A0CE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本项目中石灰水消毒剂外购，不设氢氧化钙存储设备，外购的石灰水消毒剂密封保存在塑料瓶中，避免与空气接触，并标有“石灰水”的标签。次氯酸钠储存于阴凉、通风的库房。远离火种、热源。库温不超过</w:t>
            </w:r>
            <w:r>
              <w:rPr>
                <w:rFonts w:hint="default" w:ascii="Times New Roman" w:hAnsi="Times New Roman" w:eastAsia="宋体" w:cs="Times New Roman"/>
                <w:lang w:val="en-US" w:eastAsia="zh-CN"/>
              </w:rPr>
              <w:t>30℃</w:t>
            </w:r>
            <w:r>
              <w:rPr>
                <w:rFonts w:hint="eastAsia" w:ascii="宋体" w:hAnsi="宋体" w:eastAsia="宋体" w:cs="宋体"/>
                <w:lang w:val="en-US" w:eastAsia="zh-CN"/>
              </w:rPr>
              <w:t>，与酸类分开存放。储区备有泄漏应急处理设备和合适的收容材料。</w:t>
            </w:r>
          </w:p>
          <w:p w14:paraId="09A8893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auto"/>
              </w:rPr>
            </w:pPr>
            <w:r>
              <w:rPr>
                <w:rFonts w:hint="default" w:ascii="Times New Roman" w:hAnsi="Times New Roman" w:eastAsia="宋体" w:cs="Times New Roman"/>
                <w:b/>
                <w:bCs/>
                <w:kern w:val="2"/>
                <w:sz w:val="24"/>
                <w:szCs w:val="24"/>
                <w:lang w:val="en-US" w:eastAsia="zh-CN" w:bidi="ar-SA"/>
              </w:rPr>
              <w:t>6</w:t>
            </w:r>
            <w:r>
              <w:rPr>
                <w:rFonts w:hint="default" w:ascii="Times New Roman" w:hAnsi="Times New Roman" w:cs="Times New Roman"/>
                <w:b/>
                <w:bCs/>
                <w:color w:val="auto"/>
                <w:lang w:val="en-US" w:eastAsia="zh-CN"/>
              </w:rPr>
              <w:t>、</w:t>
            </w:r>
            <w:r>
              <w:rPr>
                <w:rFonts w:hint="default" w:ascii="Times New Roman" w:hAnsi="Times New Roman" w:cs="Times New Roman"/>
                <w:b/>
                <w:bCs/>
                <w:color w:val="auto"/>
              </w:rPr>
              <w:t>劳动定员及工作制度</w:t>
            </w:r>
          </w:p>
          <w:p w14:paraId="44D4ADC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lang w:val="en-US" w:eastAsia="zh-CN"/>
              </w:rPr>
              <w:t>项目</w:t>
            </w:r>
            <w:r>
              <w:rPr>
                <w:rFonts w:hint="default" w:ascii="Times New Roman" w:hAnsi="Times New Roman" w:cs="Times New Roman"/>
              </w:rPr>
              <w:t>劳动定员</w:t>
            </w:r>
            <w:r>
              <w:rPr>
                <w:rFonts w:hint="default" w:ascii="Times New Roman" w:hAnsi="Times New Roman" w:cs="Times New Roman"/>
                <w:lang w:val="en-US" w:eastAsia="zh-CN"/>
              </w:rPr>
              <w:t>15</w:t>
            </w:r>
            <w:r>
              <w:rPr>
                <w:rFonts w:hint="default" w:ascii="Times New Roman" w:hAnsi="Times New Roman" w:cs="Times New Roman"/>
              </w:rPr>
              <w:t>人</w:t>
            </w:r>
            <w:r>
              <w:rPr>
                <w:rFonts w:hint="default" w:ascii="Times New Roman" w:hAnsi="Times New Roman" w:cs="Times New Roman"/>
                <w:lang w:val="en-US" w:eastAsia="zh-CN"/>
              </w:rPr>
              <w:t>，实行一班制，每班12小时</w:t>
            </w:r>
            <w:r>
              <w:rPr>
                <w:rFonts w:hint="default" w:ascii="Times New Roman" w:hAnsi="Times New Roman" w:cs="Times New Roman"/>
              </w:rPr>
              <w:t>。全年生产</w:t>
            </w:r>
            <w:r>
              <w:rPr>
                <w:rFonts w:hint="default" w:ascii="Times New Roman" w:hAnsi="Times New Roman" w:cs="Times New Roman"/>
                <w:lang w:val="en-US" w:eastAsia="zh-CN"/>
              </w:rPr>
              <w:t>365</w:t>
            </w:r>
            <w:r>
              <w:rPr>
                <w:rFonts w:hint="default" w:ascii="Times New Roman" w:hAnsi="Times New Roman" w:cs="Times New Roman"/>
              </w:rPr>
              <w:t>天</w:t>
            </w:r>
            <w:r>
              <w:rPr>
                <w:rFonts w:hint="default" w:ascii="Times New Roman" w:hAnsi="Times New Roman" w:cs="Times New Roman"/>
                <w:lang w:eastAsia="zh-CN"/>
              </w:rPr>
              <w:t>。</w:t>
            </w:r>
          </w:p>
          <w:p w14:paraId="6D05B3B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000000" w:themeColor="text1"/>
                <w:lang w:val="en-US"/>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7</w:t>
            </w:r>
            <w:r>
              <w:rPr>
                <w:rFonts w:hint="default" w:ascii="Times New Roman" w:hAnsi="Times New Roman" w:cs="Times New Roman"/>
                <w:b/>
                <w:bCs/>
                <w:color w:val="000000" w:themeColor="text1"/>
                <w:lang w:val="en-US" w:eastAsia="zh-CN"/>
                <w14:textFill>
                  <w14:solidFill>
                    <w14:schemeClr w14:val="tx1"/>
                  </w14:solidFill>
                </w14:textFill>
              </w:rPr>
              <w:t>、给排水</w:t>
            </w:r>
          </w:p>
          <w:p w14:paraId="7770C09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1</w:t>
            </w:r>
            <w:r>
              <w:rPr>
                <w:rFonts w:hint="default" w:ascii="Times New Roman" w:hAnsi="Times New Roman" w:cs="Times New Roman"/>
                <w:lang w:eastAsia="zh-CN"/>
              </w:rPr>
              <w:t>）</w:t>
            </w:r>
            <w:r>
              <w:rPr>
                <w:rFonts w:hint="default" w:ascii="Times New Roman" w:hAnsi="Times New Roman" w:cs="Times New Roman"/>
              </w:rPr>
              <w:t>给水</w:t>
            </w:r>
          </w:p>
          <w:p w14:paraId="789A9E4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rPr>
            </w:pPr>
            <w:r>
              <w:rPr>
                <w:rFonts w:hint="default" w:ascii="Times New Roman" w:hAnsi="Times New Roman" w:cs="Times New Roman"/>
              </w:rPr>
              <w:t>项目用水主要为员工生活用水</w:t>
            </w:r>
            <w:r>
              <w:rPr>
                <w:rFonts w:hint="default" w:ascii="Times New Roman" w:hAnsi="Times New Roman" w:cs="Times New Roman"/>
                <w:lang w:eastAsia="zh-CN"/>
              </w:rPr>
              <w:t>、</w:t>
            </w:r>
            <w:r>
              <w:rPr>
                <w:rFonts w:hint="default" w:ascii="Times New Roman" w:hAnsi="Times New Roman" w:cs="Times New Roman"/>
              </w:rPr>
              <w:t>生产用水</w:t>
            </w:r>
            <w:r>
              <w:rPr>
                <w:rFonts w:hint="default" w:ascii="Times New Roman" w:hAnsi="Times New Roman" w:cs="Times New Roman"/>
                <w:lang w:val="en-US" w:eastAsia="zh-CN"/>
              </w:rPr>
              <w:t>和绿化用水</w:t>
            </w:r>
            <w:r>
              <w:rPr>
                <w:rFonts w:hint="default" w:ascii="Times New Roman" w:hAnsi="Times New Roman" w:cs="Times New Roman"/>
              </w:rPr>
              <w:t>，全部来自于自来水。</w:t>
            </w:r>
          </w:p>
          <w:p w14:paraId="05C5DF0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u w:val="none"/>
                <w:lang w:val="en-US" w:eastAsia="zh-CN"/>
              </w:rPr>
            </w:pPr>
            <w:r>
              <w:rPr>
                <w:rFonts w:hint="default" w:ascii="Times New Roman" w:hAnsi="Times New Roman" w:eastAsia="宋体" w:cs="Times New Roman"/>
              </w:rPr>
              <w:t>①</w:t>
            </w:r>
            <w:r>
              <w:rPr>
                <w:rFonts w:hint="default" w:ascii="Times New Roman" w:hAnsi="Times New Roman" w:cs="Times New Roman"/>
              </w:rPr>
              <w:t>生活用水：</w:t>
            </w:r>
            <w:r>
              <w:rPr>
                <w:rFonts w:hint="default" w:ascii="Times New Roman" w:hAnsi="Times New Roman" w:cs="Times New Roman"/>
                <w:u w:val="none"/>
                <w:lang w:val="en-US" w:eastAsia="zh-CN"/>
              </w:rPr>
              <w:t>项目劳动定员15人，均不在厂区内食宿，参考《湖南省用水定额》</w:t>
            </w:r>
            <w:r>
              <w:rPr>
                <w:rFonts w:hint="eastAsia" w:cs="Times New Roman"/>
                <w:u w:val="none"/>
                <w:lang w:val="en-US" w:eastAsia="zh-CN"/>
              </w:rPr>
              <w:t>（</w:t>
            </w:r>
            <w:r>
              <w:rPr>
                <w:rFonts w:hint="default" w:ascii="Times New Roman" w:hAnsi="Times New Roman" w:cs="Times New Roman"/>
                <w:u w:val="none"/>
                <w:lang w:val="en-US" w:eastAsia="zh-CN"/>
              </w:rPr>
              <w:t>DB43/T388-2020</w:t>
            </w:r>
            <w:r>
              <w:rPr>
                <w:rFonts w:hint="eastAsia" w:cs="Times New Roman"/>
                <w:u w:val="none"/>
                <w:lang w:val="en-US" w:eastAsia="zh-CN"/>
              </w:rPr>
              <w:t>）</w:t>
            </w:r>
            <w:r>
              <w:rPr>
                <w:rFonts w:hint="default" w:ascii="Times New Roman" w:hAnsi="Times New Roman" w:cs="Times New Roman"/>
                <w:u w:val="none"/>
                <w:lang w:val="en-US" w:eastAsia="zh-CN"/>
              </w:rPr>
              <w:t>，项目员工生活用水量按60L/人·d计算，则项目生活用水量为0.9m</w:t>
            </w:r>
            <w:r>
              <w:rPr>
                <w:rFonts w:hint="default" w:ascii="Times New Roman" w:hAnsi="Times New Roman" w:cs="Times New Roman"/>
                <w:u w:val="none"/>
                <w:vertAlign w:val="superscript"/>
                <w:lang w:val="en-US" w:eastAsia="zh-CN"/>
              </w:rPr>
              <w:t>3</w:t>
            </w:r>
            <w:r>
              <w:rPr>
                <w:rFonts w:hint="default" w:ascii="Times New Roman" w:hAnsi="Times New Roman" w:cs="Times New Roman"/>
                <w:u w:val="none"/>
                <w:lang w:val="en-US" w:eastAsia="zh-CN"/>
              </w:rPr>
              <w:t>/d，328.5m</w:t>
            </w:r>
            <w:r>
              <w:rPr>
                <w:rFonts w:hint="default" w:ascii="Times New Roman" w:hAnsi="Times New Roman" w:cs="Times New Roman"/>
                <w:u w:val="none"/>
                <w:vertAlign w:val="superscript"/>
                <w:lang w:val="en-US" w:eastAsia="zh-CN"/>
              </w:rPr>
              <w:t>3</w:t>
            </w:r>
            <w:r>
              <w:rPr>
                <w:rFonts w:hint="default" w:ascii="Times New Roman" w:hAnsi="Times New Roman" w:cs="Times New Roman"/>
                <w:u w:val="none"/>
                <w:lang w:val="en-US" w:eastAsia="zh-CN"/>
              </w:rPr>
              <w:t>/a。</w:t>
            </w:r>
          </w:p>
          <w:p w14:paraId="57B1646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rPr>
            </w:pPr>
            <w:r>
              <w:rPr>
                <w:rFonts w:hint="default" w:ascii="Times New Roman" w:hAnsi="Times New Roman" w:eastAsia="宋体" w:cs="Times New Roman"/>
                <w:lang w:val="en-US" w:eastAsia="zh-CN"/>
              </w:rPr>
              <w:t>②</w:t>
            </w:r>
            <w:r>
              <w:rPr>
                <w:rFonts w:hint="default" w:ascii="Times New Roman" w:hAnsi="Times New Roman" w:cs="Times New Roman"/>
                <w:lang w:val="en-US" w:eastAsia="zh-CN"/>
              </w:rPr>
              <w:t>屠宰加工</w:t>
            </w:r>
            <w:r>
              <w:rPr>
                <w:rFonts w:hint="default" w:ascii="Times New Roman" w:hAnsi="Times New Roman" w:cs="Times New Roman"/>
              </w:rPr>
              <w:t>生产用水：</w:t>
            </w:r>
          </w:p>
          <w:p w14:paraId="6F916E5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根据《屠宰与肉类加工废水治理工程技术规范》（HJ2004</w:t>
            </w:r>
            <w:r>
              <w:rPr>
                <w:rFonts w:hint="eastAsia" w:cs="Times New Roman"/>
                <w:lang w:val="en-US" w:eastAsia="zh-CN"/>
              </w:rPr>
              <w:t>-</w:t>
            </w:r>
            <w:r>
              <w:rPr>
                <w:rFonts w:hint="default" w:ascii="Times New Roman" w:hAnsi="Times New Roman" w:cs="Times New Roman"/>
                <w:lang w:val="en-US" w:eastAsia="zh-CN"/>
              </w:rPr>
              <w:t>2010），本项目生产用水包括包括圈栏冲洗、宰前淋洗、宰后烫毛、剥皮、开腔、劈半、解体、内脏冲洗及车间冲洗用水等</w:t>
            </w:r>
            <w:r>
              <w:rPr>
                <w:rFonts w:hint="eastAsia" w:cs="Times New Roman"/>
                <w:lang w:val="en-US" w:eastAsia="zh-CN"/>
              </w:rPr>
              <w:t>。用水定额参照湖南省用水定额（DB43/T 388-2020），因此单位屠宰生猪用水量为0.9m</w:t>
            </w:r>
            <w:r>
              <w:rPr>
                <w:rFonts w:hint="eastAsia" w:cs="Times New Roman"/>
                <w:vertAlign w:val="superscript"/>
                <w:lang w:val="en-US" w:eastAsia="zh-CN"/>
              </w:rPr>
              <w:t>3</w:t>
            </w:r>
            <w:r>
              <w:rPr>
                <w:rFonts w:hint="eastAsia" w:cs="Times New Roman"/>
                <w:vertAlign w:val="baseline"/>
                <w:lang w:val="en-US" w:eastAsia="zh-CN"/>
              </w:rPr>
              <w:t>，</w:t>
            </w:r>
            <w:r>
              <w:rPr>
                <w:rFonts w:hint="default" w:ascii="Times New Roman" w:hAnsi="Times New Roman" w:cs="Times New Roman"/>
                <w:vertAlign w:val="baseline"/>
                <w:lang w:val="en-US" w:eastAsia="zh-CN"/>
              </w:rPr>
              <w:t>生产用水为1</w:t>
            </w:r>
            <w:r>
              <w:rPr>
                <w:rFonts w:hint="eastAsia" w:cs="Times New Roman"/>
                <w:vertAlign w:val="baseline"/>
                <w:lang w:val="en-US" w:eastAsia="zh-CN"/>
              </w:rPr>
              <w:t>35</w:t>
            </w:r>
            <w:r>
              <w:rPr>
                <w:rFonts w:hint="default" w:ascii="Times New Roman" w:hAnsi="Times New Roman" w:cs="Times New Roman"/>
                <w:vertAlign w:val="baseline"/>
                <w:lang w:val="en-US" w:eastAsia="zh-CN"/>
              </w:rPr>
              <w:t>m</w:t>
            </w:r>
            <w:r>
              <w:rPr>
                <w:rFonts w:hint="default" w:ascii="Times New Roman" w:hAnsi="Times New Roman" w:cs="Times New Roman"/>
                <w:vertAlign w:val="superscript"/>
                <w:lang w:val="en-US" w:eastAsia="zh-CN"/>
              </w:rPr>
              <w:t>3</w:t>
            </w:r>
            <w:r>
              <w:rPr>
                <w:rFonts w:hint="default" w:ascii="Times New Roman" w:hAnsi="Times New Roman" w:cs="Times New Roman"/>
                <w:vertAlign w:val="baseline"/>
                <w:lang w:val="en-US" w:eastAsia="zh-CN"/>
              </w:rPr>
              <w:t>/d</w:t>
            </w:r>
            <w:r>
              <w:rPr>
                <w:rFonts w:hint="eastAsia" w:cs="Times New Roman"/>
                <w:vertAlign w:val="baseline"/>
                <w:lang w:val="en-US" w:eastAsia="zh-CN"/>
              </w:rPr>
              <w:t>（49275m</w:t>
            </w:r>
            <w:r>
              <w:rPr>
                <w:rFonts w:hint="eastAsia" w:cs="Times New Roman"/>
                <w:vertAlign w:val="superscript"/>
                <w:lang w:val="en-US" w:eastAsia="zh-CN"/>
              </w:rPr>
              <w:t>3</w:t>
            </w:r>
            <w:r>
              <w:rPr>
                <w:rFonts w:hint="eastAsia" w:cs="Times New Roman"/>
                <w:vertAlign w:val="baseline"/>
                <w:lang w:val="en-US" w:eastAsia="zh-CN"/>
              </w:rPr>
              <w:t>/a）</w:t>
            </w:r>
            <w:r>
              <w:rPr>
                <w:rFonts w:hint="default" w:ascii="Times New Roman" w:hAnsi="Times New Roman" w:cs="Times New Roman"/>
                <w:vertAlign w:val="baseline"/>
                <w:lang w:val="en-US" w:eastAsia="zh-CN"/>
              </w:rPr>
              <w:t>。</w:t>
            </w:r>
          </w:p>
          <w:p w14:paraId="3900D37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eastAsia="宋体" w:cs="Times New Roman"/>
                <w:vertAlign w:val="baseline"/>
                <w:lang w:val="en-US" w:eastAsia="zh-CN"/>
              </w:rPr>
              <w:t>③</w:t>
            </w:r>
            <w:r>
              <w:rPr>
                <w:rFonts w:hint="default" w:ascii="Times New Roman" w:hAnsi="Times New Roman" w:cs="Times New Roman"/>
                <w:vertAlign w:val="baseline"/>
                <w:lang w:val="en-US" w:eastAsia="zh-CN"/>
              </w:rPr>
              <w:t>绿化用水：</w:t>
            </w:r>
          </w:p>
          <w:p w14:paraId="20F8C1F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eastAsia" w:cs="Times New Roman"/>
                <w:vertAlign w:val="baseline"/>
                <w:lang w:val="en-US" w:eastAsia="zh-CN"/>
              </w:rPr>
              <w:t>根据</w:t>
            </w:r>
            <w:r>
              <w:rPr>
                <w:rFonts w:hint="default" w:ascii="Times New Roman" w:hAnsi="Times New Roman" w:cs="Times New Roman"/>
                <w:vertAlign w:val="baseline"/>
                <w:lang w:val="en-US" w:eastAsia="zh-CN"/>
              </w:rPr>
              <w:t>设计资料，本屠宰场绿化面积为609.68m</w:t>
            </w:r>
            <w:r>
              <w:rPr>
                <w:rFonts w:hint="default" w:ascii="Times New Roman" w:hAnsi="Times New Roman" w:cs="Times New Roman"/>
                <w:vertAlign w:val="superscript"/>
                <w:lang w:val="en-US" w:eastAsia="zh-CN"/>
              </w:rPr>
              <w:t>2</w:t>
            </w:r>
            <w:r>
              <w:rPr>
                <w:rFonts w:hint="default" w:ascii="Times New Roman" w:hAnsi="Times New Roman" w:cs="Times New Roman"/>
                <w:vertAlign w:val="baseline"/>
                <w:lang w:val="en-US" w:eastAsia="zh-CN"/>
              </w:rPr>
              <w:t>，绿化用水</w:t>
            </w:r>
            <w:r>
              <w:rPr>
                <w:rFonts w:hint="eastAsia" w:cs="Times New Roman"/>
                <w:vertAlign w:val="baseline"/>
                <w:lang w:val="en-US" w:eastAsia="zh-CN"/>
              </w:rPr>
              <w:t>定额参照</w:t>
            </w:r>
            <w:r>
              <w:rPr>
                <w:rFonts w:hint="eastAsia" w:ascii="宋体" w:hAnsi="宋体" w:eastAsia="宋体" w:cs="宋体"/>
                <w:vertAlign w:val="baseline"/>
                <w:lang w:val="en-US" w:eastAsia="zh-CN"/>
              </w:rPr>
              <w:t>《湖南省用水定额》</w:t>
            </w:r>
            <w:r>
              <w:rPr>
                <w:rFonts w:hint="default" w:ascii="Times New Roman" w:hAnsi="Times New Roman" w:cs="Times New Roman"/>
                <w:vertAlign w:val="baseline"/>
                <w:lang w:val="en-US" w:eastAsia="zh-CN"/>
              </w:rPr>
              <w:t>为</w:t>
            </w:r>
            <w:r>
              <w:rPr>
                <w:rFonts w:hint="eastAsia" w:cs="Times New Roman"/>
                <w:vertAlign w:val="baseline"/>
                <w:lang w:val="en-US" w:eastAsia="zh-CN"/>
              </w:rPr>
              <w:t>60</w:t>
            </w:r>
            <w:r>
              <w:rPr>
                <w:rFonts w:hint="default" w:ascii="Times New Roman" w:hAnsi="Times New Roman" w:cs="Times New Roman"/>
                <w:vertAlign w:val="baseline"/>
                <w:lang w:val="en-US" w:eastAsia="zh-CN"/>
              </w:rPr>
              <w:t>L/m</w:t>
            </w:r>
            <w:r>
              <w:rPr>
                <w:rFonts w:hint="default" w:ascii="Times New Roman" w:hAnsi="Times New Roman" w:cs="Times New Roman"/>
                <w:vertAlign w:val="superscript"/>
                <w:lang w:val="en-US" w:eastAsia="zh-CN"/>
              </w:rPr>
              <w:t>2</w:t>
            </w:r>
            <w:r>
              <w:rPr>
                <w:rFonts w:hint="eastAsia" w:ascii="宋体" w:hAnsi="宋体" w:eastAsia="宋体" w:cs="宋体"/>
                <w:vertAlign w:val="baseline"/>
                <w:lang w:val="en-US" w:eastAsia="zh-CN"/>
              </w:rPr>
              <w:t>·</w:t>
            </w:r>
            <w:r>
              <w:rPr>
                <w:rFonts w:hint="eastAsia" w:cs="Times New Roman"/>
                <w:vertAlign w:val="baseline"/>
                <w:lang w:val="en-US" w:eastAsia="zh-CN"/>
              </w:rPr>
              <w:t>月</w:t>
            </w:r>
            <w:r>
              <w:rPr>
                <w:rFonts w:hint="default" w:ascii="Times New Roman" w:hAnsi="Times New Roman" w:cs="Times New Roman"/>
                <w:vertAlign w:val="baseline"/>
                <w:lang w:val="en-US" w:eastAsia="zh-CN"/>
              </w:rPr>
              <w:t>，则日最大绿化用水量为</w:t>
            </w:r>
            <w:r>
              <w:rPr>
                <w:rFonts w:hint="default" w:ascii="Times New Roman" w:hAnsi="Times New Roman" w:cs="Times New Roman"/>
                <w:color w:val="000000" w:themeColor="text1"/>
                <w:vertAlign w:val="baseline"/>
                <w:lang w:val="en-US" w:eastAsia="zh-CN"/>
                <w14:textFill>
                  <w14:solidFill>
                    <w14:schemeClr w14:val="tx1"/>
                  </w14:solidFill>
                </w14:textFill>
              </w:rPr>
              <w:t>1</w:t>
            </w:r>
            <w:r>
              <w:rPr>
                <w:rFonts w:hint="eastAsia" w:cs="Times New Roman"/>
                <w:color w:val="000000" w:themeColor="text1"/>
                <w:vertAlign w:val="baseline"/>
                <w:lang w:val="en-US" w:eastAsia="zh-CN"/>
                <w14:textFill>
                  <w14:solidFill>
                    <w14:schemeClr w14:val="tx1"/>
                  </w14:solidFill>
                </w14:textFill>
              </w:rPr>
              <w:t>.</w:t>
            </w:r>
            <w:r>
              <w:rPr>
                <w:rFonts w:hint="default" w:ascii="Times New Roman" w:hAnsi="Times New Roman" w:cs="Times New Roman"/>
                <w:color w:val="000000" w:themeColor="text1"/>
                <w:vertAlign w:val="baseline"/>
                <w:lang w:val="en-US" w:eastAsia="zh-CN"/>
                <w14:textFill>
                  <w14:solidFill>
                    <w14:schemeClr w14:val="tx1"/>
                  </w14:solidFill>
                </w14:textFill>
              </w:rPr>
              <w:t>22m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default" w:ascii="Times New Roman" w:hAnsi="Times New Roman" w:cs="Times New Roman"/>
                <w:color w:val="000000" w:themeColor="text1"/>
                <w:vertAlign w:val="baseline"/>
                <w:lang w:val="en-US" w:eastAsia="zh-CN"/>
                <w14:textFill>
                  <w14:solidFill>
                    <w14:schemeClr w14:val="tx1"/>
                  </w14:solidFill>
                </w14:textFill>
              </w:rPr>
              <w:t>/d。</w:t>
            </w:r>
          </w:p>
          <w:p w14:paraId="6B159C3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eastAsia="宋体" w:cs="Times New Roman"/>
                <w:vertAlign w:val="baseline"/>
                <w:lang w:val="en-US" w:eastAsia="zh-CN"/>
              </w:rPr>
              <w:t>④车辆清洗用水：运输生猪车辆进场后要进行清洗保证卫生环境。生猪卸车后运猪空车需到清洗点对整车进行清洗，按20头每车次核算，则平均每天运输8车次，每车次冲洗水量取0.5m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vertAlign w:val="baseline"/>
                <w:lang w:val="en-US" w:eastAsia="zh-CN"/>
              </w:rPr>
              <w:t>/辆，用水量预计为1460m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vertAlign w:val="baseline"/>
                <w:lang w:val="en-US" w:eastAsia="zh-CN"/>
              </w:rPr>
              <w:t>/a。</w:t>
            </w:r>
          </w:p>
          <w:p w14:paraId="1BE3BFBC">
            <w:pPr>
              <w:pageBreakBefore w:val="0"/>
              <w:wordWrap/>
              <w:overflowPunct/>
              <w:bidi w:val="0"/>
              <w:spacing w:beforeAutospacing="0" w:afterAutospacing="0" w:line="360" w:lineRule="auto"/>
              <w:ind w:left="0" w:leftChars="0" w:right="0"/>
              <w:jc w:val="center"/>
              <w:rPr>
                <w:rFonts w:hint="default" w:ascii="Times New Roman" w:hAnsi="Times New Roman" w:cs="Times New Roman"/>
              </w:rPr>
            </w:pPr>
            <w:r>
              <w:rPr>
                <w:rFonts w:hint="default" w:ascii="Times New Roman" w:hAnsi="Times New Roman" w:cs="Times New Roman"/>
                <w:b/>
                <w:bCs/>
                <w:sz w:val="21"/>
                <w:szCs w:val="21"/>
              </w:rPr>
              <w:t>表2-</w:t>
            </w:r>
            <w:r>
              <w:rPr>
                <w:rFonts w:hint="eastAsia" w:cs="Times New Roman"/>
                <w:b/>
                <w:bCs/>
                <w:sz w:val="21"/>
                <w:szCs w:val="21"/>
                <w:lang w:val="en-US" w:eastAsia="zh-CN"/>
              </w:rPr>
              <w:t>6</w:t>
            </w:r>
            <w:r>
              <w:rPr>
                <w:rFonts w:hint="default" w:ascii="Times New Roman" w:hAnsi="Times New Roman" w:cs="Times New Roman"/>
                <w:b/>
                <w:bCs/>
                <w:sz w:val="21"/>
                <w:szCs w:val="21"/>
                <w:lang w:val="en-US" w:eastAsia="zh-CN"/>
              </w:rPr>
              <w:t xml:space="preserve"> </w:t>
            </w:r>
            <w:r>
              <w:rPr>
                <w:rFonts w:hint="default" w:ascii="Times New Roman" w:hAnsi="Times New Roman" w:cs="Times New Roman"/>
                <w:b/>
                <w:bCs/>
                <w:sz w:val="21"/>
                <w:szCs w:val="21"/>
              </w:rPr>
              <w:t>项目</w:t>
            </w:r>
            <w:r>
              <w:rPr>
                <w:rFonts w:hint="eastAsia" w:cs="Times New Roman"/>
                <w:b/>
                <w:bCs/>
                <w:sz w:val="21"/>
                <w:szCs w:val="21"/>
                <w:lang w:val="en-US" w:eastAsia="zh-CN"/>
              </w:rPr>
              <w:t>用水量</w:t>
            </w:r>
            <w:r>
              <w:rPr>
                <w:rFonts w:hint="default" w:ascii="Times New Roman" w:hAnsi="Times New Roman" w:cs="Times New Roman"/>
                <w:b/>
                <w:bCs/>
                <w:sz w:val="21"/>
                <w:szCs w:val="21"/>
              </w:rPr>
              <w:t>测算表</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1745"/>
              <w:gridCol w:w="1124"/>
              <w:gridCol w:w="1241"/>
              <w:gridCol w:w="1002"/>
              <w:gridCol w:w="1054"/>
              <w:gridCol w:w="1053"/>
            </w:tblGrid>
            <w:tr w14:paraId="7E3464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tcBorders>
                    <w:tl2br w:val="nil"/>
                    <w:tr2bl w:val="nil"/>
                  </w:tcBorders>
                  <w:noWrap w:val="0"/>
                  <w:vAlign w:val="center"/>
                </w:tcPr>
                <w:p w14:paraId="16A8547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0" w:type="auto"/>
                  <w:vMerge w:val="restart"/>
                  <w:tcBorders>
                    <w:tl2br w:val="nil"/>
                    <w:tr2bl w:val="nil"/>
                  </w:tcBorders>
                  <w:noWrap w:val="0"/>
                  <w:vAlign w:val="center"/>
                </w:tcPr>
                <w:p w14:paraId="20410DF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用水名称</w:t>
                  </w:r>
                </w:p>
              </w:tc>
              <w:tc>
                <w:tcPr>
                  <w:tcW w:w="0" w:type="auto"/>
                  <w:vMerge w:val="restart"/>
                  <w:tcBorders>
                    <w:tl2br w:val="nil"/>
                    <w:tr2bl w:val="nil"/>
                  </w:tcBorders>
                  <w:noWrap w:val="0"/>
                  <w:vAlign w:val="center"/>
                </w:tcPr>
                <w:p w14:paraId="5372E2A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用水标准</w:t>
                  </w:r>
                </w:p>
              </w:tc>
              <w:tc>
                <w:tcPr>
                  <w:tcW w:w="0" w:type="auto"/>
                  <w:vMerge w:val="restart"/>
                  <w:tcBorders>
                    <w:tl2br w:val="nil"/>
                    <w:tr2bl w:val="nil"/>
                  </w:tcBorders>
                  <w:noWrap w:val="0"/>
                  <w:vAlign w:val="center"/>
                </w:tcPr>
                <w:p w14:paraId="1987622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用水单位数</w:t>
                  </w:r>
                </w:p>
              </w:tc>
              <w:tc>
                <w:tcPr>
                  <w:tcW w:w="0" w:type="auto"/>
                  <w:vMerge w:val="restart"/>
                  <w:tcBorders>
                    <w:tl2br w:val="nil"/>
                    <w:tr2bl w:val="nil"/>
                  </w:tcBorders>
                  <w:noWrap w:val="0"/>
                  <w:vAlign w:val="center"/>
                </w:tcPr>
                <w:p w14:paraId="6081656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使用时间</w:t>
                  </w:r>
                </w:p>
              </w:tc>
              <w:tc>
                <w:tcPr>
                  <w:tcW w:w="0" w:type="auto"/>
                  <w:gridSpan w:val="2"/>
                  <w:tcBorders>
                    <w:tl2br w:val="nil"/>
                    <w:tr2bl w:val="nil"/>
                  </w:tcBorders>
                  <w:noWrap w:val="0"/>
                  <w:vAlign w:val="center"/>
                </w:tcPr>
                <w:p w14:paraId="15B6435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用水量</w:t>
                  </w:r>
                </w:p>
              </w:tc>
            </w:tr>
            <w:tr w14:paraId="6F7E1A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tcBorders>
                    <w:tl2br w:val="nil"/>
                    <w:tr2bl w:val="nil"/>
                  </w:tcBorders>
                  <w:noWrap w:val="0"/>
                  <w:vAlign w:val="center"/>
                </w:tcPr>
                <w:p w14:paraId="5DF5D4C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p>
              </w:tc>
              <w:tc>
                <w:tcPr>
                  <w:tcW w:w="0" w:type="auto"/>
                  <w:vMerge w:val="continue"/>
                  <w:tcBorders>
                    <w:tl2br w:val="nil"/>
                    <w:tr2bl w:val="nil"/>
                  </w:tcBorders>
                  <w:noWrap w:val="0"/>
                  <w:vAlign w:val="center"/>
                </w:tcPr>
                <w:p w14:paraId="4AA1DBC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p>
              </w:tc>
              <w:tc>
                <w:tcPr>
                  <w:tcW w:w="0" w:type="auto"/>
                  <w:vMerge w:val="continue"/>
                  <w:tcBorders>
                    <w:tl2br w:val="nil"/>
                    <w:tr2bl w:val="nil"/>
                  </w:tcBorders>
                  <w:noWrap w:val="0"/>
                  <w:vAlign w:val="center"/>
                </w:tcPr>
                <w:p w14:paraId="5FFE6E0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p>
              </w:tc>
              <w:tc>
                <w:tcPr>
                  <w:tcW w:w="0" w:type="auto"/>
                  <w:vMerge w:val="continue"/>
                  <w:tcBorders>
                    <w:tl2br w:val="nil"/>
                    <w:tr2bl w:val="nil"/>
                  </w:tcBorders>
                  <w:noWrap w:val="0"/>
                  <w:vAlign w:val="center"/>
                </w:tcPr>
                <w:p w14:paraId="2932C66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p>
              </w:tc>
              <w:tc>
                <w:tcPr>
                  <w:tcW w:w="0" w:type="auto"/>
                  <w:vMerge w:val="continue"/>
                  <w:tcBorders>
                    <w:tl2br w:val="nil"/>
                    <w:tr2bl w:val="nil"/>
                  </w:tcBorders>
                  <w:noWrap w:val="0"/>
                  <w:vAlign w:val="center"/>
                </w:tcPr>
                <w:p w14:paraId="43823B5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p>
              </w:tc>
              <w:tc>
                <w:tcPr>
                  <w:tcW w:w="0" w:type="auto"/>
                  <w:tcBorders>
                    <w:tl2br w:val="nil"/>
                    <w:tr2bl w:val="nil"/>
                  </w:tcBorders>
                  <w:noWrap w:val="0"/>
                  <w:vAlign w:val="center"/>
                </w:tcPr>
                <w:p w14:paraId="4250BB4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日用水量</w:t>
                  </w:r>
                </w:p>
                <w:p w14:paraId="7E12D87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/d）</w:t>
                  </w:r>
                </w:p>
              </w:tc>
              <w:tc>
                <w:tcPr>
                  <w:tcW w:w="0" w:type="auto"/>
                  <w:tcBorders>
                    <w:tl2br w:val="nil"/>
                    <w:tr2bl w:val="nil"/>
                  </w:tcBorders>
                  <w:noWrap w:val="0"/>
                  <w:vAlign w:val="center"/>
                </w:tcPr>
                <w:p w14:paraId="111A34A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年用水量</w:t>
                  </w:r>
                </w:p>
                <w:p w14:paraId="0D79581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/a）</w:t>
                  </w:r>
                </w:p>
              </w:tc>
            </w:tr>
            <w:tr w14:paraId="0073E4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l2br w:val="nil"/>
                    <w:tr2bl w:val="nil"/>
                  </w:tcBorders>
                  <w:noWrap w:val="0"/>
                  <w:vAlign w:val="center"/>
                </w:tcPr>
                <w:p w14:paraId="780B46F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0" w:type="auto"/>
                  <w:tcBorders>
                    <w:tl2br w:val="nil"/>
                    <w:tr2bl w:val="nil"/>
                  </w:tcBorders>
                  <w:noWrap w:val="0"/>
                  <w:vAlign w:val="center"/>
                </w:tcPr>
                <w:p w14:paraId="1872C10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员工生活用水</w:t>
                  </w:r>
                </w:p>
              </w:tc>
              <w:tc>
                <w:tcPr>
                  <w:tcW w:w="0" w:type="auto"/>
                  <w:tcBorders>
                    <w:tl2br w:val="nil"/>
                    <w:tr2bl w:val="nil"/>
                  </w:tcBorders>
                  <w:noWrap w:val="0"/>
                  <w:vAlign w:val="center"/>
                </w:tcPr>
                <w:p w14:paraId="3F8774A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60</w:t>
                  </w:r>
                  <w:r>
                    <w:rPr>
                      <w:rFonts w:hint="default" w:ascii="Times New Roman" w:hAnsi="Times New Roman" w:cs="Times New Roman"/>
                      <w:sz w:val="21"/>
                      <w:szCs w:val="21"/>
                    </w:rPr>
                    <w:t>L/人·d</w:t>
                  </w:r>
                </w:p>
              </w:tc>
              <w:tc>
                <w:tcPr>
                  <w:tcW w:w="0" w:type="auto"/>
                  <w:tcBorders>
                    <w:tl2br w:val="nil"/>
                    <w:tr2bl w:val="nil"/>
                  </w:tcBorders>
                  <w:noWrap w:val="0"/>
                  <w:vAlign w:val="center"/>
                </w:tcPr>
                <w:p w14:paraId="5FC49AC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15</w:t>
                  </w:r>
                  <w:r>
                    <w:rPr>
                      <w:rFonts w:hint="default" w:ascii="Times New Roman" w:hAnsi="Times New Roman" w:cs="Times New Roman"/>
                      <w:sz w:val="21"/>
                      <w:szCs w:val="21"/>
                    </w:rPr>
                    <w:t>人</w:t>
                  </w:r>
                </w:p>
              </w:tc>
              <w:tc>
                <w:tcPr>
                  <w:tcW w:w="0" w:type="auto"/>
                  <w:tcBorders>
                    <w:tl2br w:val="nil"/>
                    <w:tr2bl w:val="nil"/>
                  </w:tcBorders>
                  <w:noWrap w:val="0"/>
                  <w:vAlign w:val="center"/>
                </w:tcPr>
                <w:p w14:paraId="57588A1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365天</w:t>
                  </w:r>
                </w:p>
              </w:tc>
              <w:tc>
                <w:tcPr>
                  <w:tcW w:w="0" w:type="auto"/>
                  <w:tcBorders>
                    <w:tl2br w:val="nil"/>
                    <w:tr2bl w:val="nil"/>
                  </w:tcBorders>
                  <w:noWrap w:val="0"/>
                  <w:vAlign w:val="center"/>
                </w:tcPr>
                <w:p w14:paraId="2E79949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0.9</w:t>
                  </w:r>
                </w:p>
              </w:tc>
              <w:tc>
                <w:tcPr>
                  <w:tcW w:w="0" w:type="auto"/>
                  <w:tcBorders>
                    <w:tl2br w:val="nil"/>
                    <w:tr2bl w:val="nil"/>
                  </w:tcBorders>
                  <w:noWrap w:val="0"/>
                  <w:vAlign w:val="center"/>
                </w:tcPr>
                <w:p w14:paraId="577EDCF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328.5</w:t>
                  </w:r>
                </w:p>
              </w:tc>
            </w:tr>
            <w:tr w14:paraId="5BF62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l2br w:val="nil"/>
                    <w:tr2bl w:val="nil"/>
                  </w:tcBorders>
                  <w:noWrap w:val="0"/>
                  <w:vAlign w:val="center"/>
                </w:tcPr>
                <w:p w14:paraId="0FC2206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0" w:type="auto"/>
                  <w:tcBorders>
                    <w:tl2br w:val="nil"/>
                    <w:tr2bl w:val="nil"/>
                  </w:tcBorders>
                  <w:noWrap w:val="0"/>
                  <w:vAlign w:val="center"/>
                </w:tcPr>
                <w:p w14:paraId="17254B3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屠宰加工生产用水</w:t>
                  </w:r>
                </w:p>
              </w:tc>
              <w:tc>
                <w:tcPr>
                  <w:tcW w:w="0" w:type="auto"/>
                  <w:tcBorders>
                    <w:tl2br w:val="nil"/>
                    <w:tr2bl w:val="nil"/>
                  </w:tcBorders>
                  <w:noWrap w:val="0"/>
                  <w:vAlign w:val="center"/>
                </w:tcPr>
                <w:p w14:paraId="6B7B8D9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0.9</w:t>
                  </w:r>
                  <w:r>
                    <w:rPr>
                      <w:rFonts w:hint="eastAsia" w:cs="Times New Roman"/>
                      <w:sz w:val="21"/>
                      <w:szCs w:val="21"/>
                      <w:lang w:val="en-US" w:eastAsia="zh-CN"/>
                    </w:rPr>
                    <w:t>m</w:t>
                  </w:r>
                  <w:r>
                    <w:rPr>
                      <w:rFonts w:hint="eastAsia" w:cs="Times New Roman"/>
                      <w:sz w:val="21"/>
                      <w:szCs w:val="21"/>
                      <w:vertAlign w:val="superscript"/>
                      <w:lang w:val="en-US" w:eastAsia="zh-CN"/>
                    </w:rPr>
                    <w:t>3</w:t>
                  </w:r>
                  <w:r>
                    <w:rPr>
                      <w:rFonts w:hint="eastAsia" w:cs="Times New Roman"/>
                      <w:sz w:val="21"/>
                      <w:szCs w:val="21"/>
                      <w:vertAlign w:val="baseline"/>
                      <w:lang w:val="en-US" w:eastAsia="zh-CN"/>
                    </w:rPr>
                    <w:t>/头</w:t>
                  </w:r>
                </w:p>
              </w:tc>
              <w:tc>
                <w:tcPr>
                  <w:tcW w:w="0" w:type="auto"/>
                  <w:tcBorders>
                    <w:tl2br w:val="nil"/>
                    <w:tr2bl w:val="nil"/>
                  </w:tcBorders>
                  <w:noWrap w:val="0"/>
                  <w:vAlign w:val="center"/>
                </w:tcPr>
                <w:p w14:paraId="18EEFE7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150头/d</w:t>
                  </w:r>
                </w:p>
              </w:tc>
              <w:tc>
                <w:tcPr>
                  <w:tcW w:w="0" w:type="auto"/>
                  <w:tcBorders>
                    <w:tl2br w:val="nil"/>
                    <w:tr2bl w:val="nil"/>
                  </w:tcBorders>
                  <w:noWrap w:val="0"/>
                  <w:vAlign w:val="center"/>
                </w:tcPr>
                <w:p w14:paraId="5F178E9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365天</w:t>
                  </w:r>
                </w:p>
              </w:tc>
              <w:tc>
                <w:tcPr>
                  <w:tcW w:w="0" w:type="auto"/>
                  <w:tcBorders>
                    <w:tl2br w:val="nil"/>
                    <w:tr2bl w:val="nil"/>
                  </w:tcBorders>
                  <w:noWrap w:val="0"/>
                  <w:vAlign w:val="center"/>
                </w:tcPr>
                <w:p w14:paraId="6D4159D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135</w:t>
                  </w:r>
                </w:p>
              </w:tc>
              <w:tc>
                <w:tcPr>
                  <w:tcW w:w="0" w:type="auto"/>
                  <w:tcBorders>
                    <w:tl2br w:val="nil"/>
                    <w:tr2bl w:val="nil"/>
                  </w:tcBorders>
                  <w:noWrap w:val="0"/>
                  <w:vAlign w:val="center"/>
                </w:tcPr>
                <w:p w14:paraId="691DA28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49275</w:t>
                  </w:r>
                </w:p>
              </w:tc>
            </w:tr>
            <w:tr w14:paraId="3F51A7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l2br w:val="nil"/>
                    <w:tr2bl w:val="nil"/>
                  </w:tcBorders>
                  <w:noWrap w:val="0"/>
                  <w:vAlign w:val="center"/>
                </w:tcPr>
                <w:p w14:paraId="07D92C0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w:t>
                  </w:r>
                </w:p>
              </w:tc>
              <w:tc>
                <w:tcPr>
                  <w:tcW w:w="0" w:type="auto"/>
                  <w:tcBorders>
                    <w:tl2br w:val="nil"/>
                    <w:tr2bl w:val="nil"/>
                  </w:tcBorders>
                  <w:noWrap w:val="0"/>
                  <w:vAlign w:val="center"/>
                </w:tcPr>
                <w:p w14:paraId="5C78318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绿化用水</w:t>
                  </w:r>
                </w:p>
              </w:tc>
              <w:tc>
                <w:tcPr>
                  <w:tcW w:w="0" w:type="auto"/>
                  <w:tcBorders>
                    <w:tl2br w:val="nil"/>
                    <w:tr2bl w:val="nil"/>
                  </w:tcBorders>
                  <w:noWrap w:val="0"/>
                  <w:vAlign w:val="center"/>
                </w:tcPr>
                <w:p w14:paraId="57F5315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60</w:t>
                  </w:r>
                  <w:r>
                    <w:rPr>
                      <w:rFonts w:hint="default" w:ascii="Times New Roman" w:hAnsi="Times New Roman" w:cs="Times New Roman"/>
                      <w:sz w:val="21"/>
                      <w:szCs w:val="21"/>
                      <w:lang w:val="en-US" w:eastAsia="zh-CN"/>
                    </w:rPr>
                    <w:t>L/m</w:t>
                  </w:r>
                  <w:r>
                    <w:rPr>
                      <w:rFonts w:hint="default" w:ascii="Times New Roman" w:hAnsi="Times New Roman" w:cs="Times New Roman"/>
                      <w:sz w:val="21"/>
                      <w:szCs w:val="21"/>
                      <w:vertAlign w:val="superscript"/>
                      <w:lang w:val="en-US" w:eastAsia="zh-CN"/>
                    </w:rPr>
                    <w:t>2</w:t>
                  </w:r>
                  <w:r>
                    <w:rPr>
                      <w:rFonts w:hint="default" w:ascii="Times New Roman" w:hAnsi="Times New Roman" w:cs="Times New Roman"/>
                      <w:sz w:val="21"/>
                      <w:szCs w:val="21"/>
                      <w:lang w:val="en-US" w:eastAsia="zh-CN"/>
                    </w:rPr>
                    <w:t>·</w:t>
                  </w:r>
                  <w:r>
                    <w:rPr>
                      <w:rFonts w:hint="eastAsia" w:cs="Times New Roman"/>
                      <w:sz w:val="21"/>
                      <w:szCs w:val="21"/>
                      <w:lang w:val="en-US" w:eastAsia="zh-CN"/>
                    </w:rPr>
                    <w:t>月</w:t>
                  </w:r>
                </w:p>
              </w:tc>
              <w:tc>
                <w:tcPr>
                  <w:tcW w:w="0" w:type="auto"/>
                  <w:tcBorders>
                    <w:tl2br w:val="nil"/>
                    <w:tr2bl w:val="nil"/>
                  </w:tcBorders>
                  <w:noWrap w:val="0"/>
                  <w:vAlign w:val="center"/>
                </w:tcPr>
                <w:p w14:paraId="0821404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609.68</w:t>
                  </w:r>
                  <w:r>
                    <w:rPr>
                      <w:rFonts w:hint="eastAsia" w:cs="Times New Roman"/>
                      <w:sz w:val="21"/>
                      <w:szCs w:val="21"/>
                      <w:lang w:val="en-US" w:eastAsia="zh-CN"/>
                    </w:rPr>
                    <w:t>m</w:t>
                  </w:r>
                  <w:r>
                    <w:rPr>
                      <w:rFonts w:hint="eastAsia" w:cs="Times New Roman"/>
                      <w:sz w:val="21"/>
                      <w:szCs w:val="21"/>
                      <w:vertAlign w:val="superscript"/>
                      <w:lang w:val="en-US" w:eastAsia="zh-CN"/>
                    </w:rPr>
                    <w:t>2</w:t>
                  </w:r>
                </w:p>
              </w:tc>
              <w:tc>
                <w:tcPr>
                  <w:tcW w:w="0" w:type="auto"/>
                  <w:tcBorders>
                    <w:tl2br w:val="nil"/>
                    <w:tr2bl w:val="nil"/>
                  </w:tcBorders>
                  <w:noWrap w:val="0"/>
                  <w:vAlign w:val="center"/>
                </w:tcPr>
                <w:p w14:paraId="1590E5C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365天</w:t>
                  </w:r>
                </w:p>
              </w:tc>
              <w:tc>
                <w:tcPr>
                  <w:tcW w:w="0" w:type="auto"/>
                  <w:tcBorders>
                    <w:tl2br w:val="nil"/>
                    <w:tr2bl w:val="nil"/>
                  </w:tcBorders>
                  <w:noWrap w:val="0"/>
                  <w:vAlign w:val="center"/>
                </w:tcPr>
                <w:p w14:paraId="1CEBED8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r>
                    <w:rPr>
                      <w:rFonts w:hint="eastAsia" w:cs="Times New Roman"/>
                      <w:sz w:val="21"/>
                      <w:szCs w:val="21"/>
                      <w:lang w:val="en-US" w:eastAsia="zh-CN"/>
                    </w:rPr>
                    <w:t>.</w:t>
                  </w:r>
                  <w:r>
                    <w:rPr>
                      <w:rFonts w:hint="default" w:ascii="Times New Roman" w:hAnsi="Times New Roman" w:cs="Times New Roman"/>
                      <w:sz w:val="21"/>
                      <w:szCs w:val="21"/>
                      <w:lang w:val="en-US" w:eastAsia="zh-CN"/>
                    </w:rPr>
                    <w:t>22</w:t>
                  </w:r>
                </w:p>
              </w:tc>
              <w:tc>
                <w:tcPr>
                  <w:tcW w:w="0" w:type="auto"/>
                  <w:tcBorders>
                    <w:tl2br w:val="nil"/>
                    <w:tr2bl w:val="nil"/>
                  </w:tcBorders>
                  <w:noWrap w:val="0"/>
                  <w:vAlign w:val="center"/>
                </w:tcPr>
                <w:p w14:paraId="6978263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445</w:t>
                  </w:r>
                  <w:r>
                    <w:rPr>
                      <w:rFonts w:hint="eastAsia" w:cs="Times New Roman"/>
                      <w:sz w:val="21"/>
                      <w:szCs w:val="21"/>
                      <w:lang w:val="en-US" w:eastAsia="zh-CN"/>
                    </w:rPr>
                    <w:t>.</w:t>
                  </w:r>
                  <w:r>
                    <w:rPr>
                      <w:rFonts w:hint="default" w:ascii="Times New Roman" w:hAnsi="Times New Roman" w:cs="Times New Roman"/>
                      <w:sz w:val="21"/>
                      <w:szCs w:val="21"/>
                      <w:lang w:val="en-US" w:eastAsia="zh-CN"/>
                    </w:rPr>
                    <w:t>3</w:t>
                  </w:r>
                </w:p>
              </w:tc>
            </w:tr>
            <w:tr w14:paraId="0FF0E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l2br w:val="nil"/>
                    <w:tr2bl w:val="nil"/>
                  </w:tcBorders>
                  <w:noWrap w:val="0"/>
                  <w:vAlign w:val="center"/>
                </w:tcPr>
                <w:p w14:paraId="04E8ED7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0" w:type="auto"/>
                  <w:tcBorders>
                    <w:tl2br w:val="nil"/>
                    <w:tr2bl w:val="nil"/>
                  </w:tcBorders>
                  <w:noWrap w:val="0"/>
                  <w:vAlign w:val="center"/>
                </w:tcPr>
                <w:p w14:paraId="0ADDF8E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车辆清洗用水</w:t>
                  </w:r>
                </w:p>
              </w:tc>
              <w:tc>
                <w:tcPr>
                  <w:tcW w:w="0" w:type="auto"/>
                  <w:tcBorders>
                    <w:tl2br w:val="nil"/>
                    <w:tr2bl w:val="nil"/>
                  </w:tcBorders>
                  <w:noWrap w:val="0"/>
                  <w:vAlign w:val="center"/>
                </w:tcPr>
                <w:p w14:paraId="2D829BD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0.5m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val="en-US" w:eastAsia="zh-CN"/>
                    </w:rPr>
                    <w:t>/辆</w:t>
                  </w:r>
                </w:p>
              </w:tc>
              <w:tc>
                <w:tcPr>
                  <w:tcW w:w="0" w:type="auto"/>
                  <w:tcBorders>
                    <w:tl2br w:val="nil"/>
                    <w:tr2bl w:val="nil"/>
                  </w:tcBorders>
                  <w:noWrap w:val="0"/>
                  <w:vAlign w:val="center"/>
                </w:tcPr>
                <w:p w14:paraId="3618F0C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8车次</w:t>
                  </w:r>
                </w:p>
              </w:tc>
              <w:tc>
                <w:tcPr>
                  <w:tcW w:w="0" w:type="auto"/>
                  <w:tcBorders>
                    <w:tl2br w:val="nil"/>
                    <w:tr2bl w:val="nil"/>
                  </w:tcBorders>
                  <w:noWrap w:val="0"/>
                  <w:vAlign w:val="center"/>
                </w:tcPr>
                <w:p w14:paraId="33A8974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365天</w:t>
                  </w:r>
                </w:p>
              </w:tc>
              <w:tc>
                <w:tcPr>
                  <w:tcW w:w="0" w:type="auto"/>
                  <w:tcBorders>
                    <w:tl2br w:val="nil"/>
                    <w:tr2bl w:val="nil"/>
                  </w:tcBorders>
                  <w:noWrap w:val="0"/>
                  <w:vAlign w:val="center"/>
                </w:tcPr>
                <w:p w14:paraId="19E10A5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0" w:type="auto"/>
                  <w:tcBorders>
                    <w:tl2br w:val="nil"/>
                    <w:tr2bl w:val="nil"/>
                  </w:tcBorders>
                  <w:noWrap w:val="0"/>
                  <w:vAlign w:val="center"/>
                </w:tcPr>
                <w:p w14:paraId="0F5166C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1460</w:t>
                  </w:r>
                </w:p>
              </w:tc>
            </w:tr>
            <w:tr w14:paraId="5BF5C7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gridSpan w:val="5"/>
                  <w:tcBorders>
                    <w:tl2br w:val="nil"/>
                    <w:tr2bl w:val="nil"/>
                  </w:tcBorders>
                  <w:noWrap w:val="0"/>
                  <w:vAlign w:val="center"/>
                </w:tcPr>
                <w:p w14:paraId="22BDFFA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合计</w:t>
                  </w:r>
                </w:p>
              </w:tc>
              <w:tc>
                <w:tcPr>
                  <w:tcW w:w="0" w:type="auto"/>
                  <w:tcBorders>
                    <w:tl2br w:val="nil"/>
                    <w:tr2bl w:val="nil"/>
                  </w:tcBorders>
                  <w:noWrap w:val="0"/>
                  <w:vAlign w:val="center"/>
                </w:tcPr>
                <w:p w14:paraId="29BC824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w:t>
                  </w:r>
                  <w:r>
                    <w:rPr>
                      <w:rFonts w:hint="eastAsia" w:cs="Times New Roman"/>
                      <w:sz w:val="21"/>
                      <w:szCs w:val="21"/>
                      <w:lang w:val="en-US" w:eastAsia="zh-CN"/>
                    </w:rPr>
                    <w:t>41.1</w:t>
                  </w:r>
                  <w:r>
                    <w:rPr>
                      <w:rFonts w:hint="default" w:ascii="Times New Roman" w:hAnsi="Times New Roman" w:cs="Times New Roman"/>
                      <w:sz w:val="21"/>
                      <w:szCs w:val="21"/>
                      <w:lang w:val="en-US" w:eastAsia="zh-CN"/>
                    </w:rPr>
                    <w:t>2</w:t>
                  </w:r>
                </w:p>
              </w:tc>
              <w:tc>
                <w:tcPr>
                  <w:tcW w:w="0" w:type="auto"/>
                  <w:tcBorders>
                    <w:tl2br w:val="nil"/>
                    <w:tr2bl w:val="nil"/>
                  </w:tcBorders>
                  <w:noWrap w:val="0"/>
                  <w:vAlign w:val="center"/>
                </w:tcPr>
                <w:p w14:paraId="76479B8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w:t>
                  </w:r>
                  <w:r>
                    <w:rPr>
                      <w:rFonts w:hint="eastAsia" w:cs="Times New Roman"/>
                      <w:sz w:val="21"/>
                      <w:szCs w:val="21"/>
                      <w:lang w:val="en-US" w:eastAsia="zh-CN"/>
                    </w:rPr>
                    <w:t>1508</w:t>
                  </w:r>
                  <w:r>
                    <w:rPr>
                      <w:rFonts w:hint="default" w:ascii="Times New Roman" w:hAnsi="Times New Roman" w:cs="Times New Roman"/>
                      <w:sz w:val="21"/>
                      <w:szCs w:val="21"/>
                      <w:lang w:val="en-US" w:eastAsia="zh-CN"/>
                    </w:rPr>
                    <w:t>.</w:t>
                  </w:r>
                  <w:r>
                    <w:rPr>
                      <w:rFonts w:hint="eastAsia" w:cs="Times New Roman"/>
                      <w:sz w:val="21"/>
                      <w:szCs w:val="21"/>
                      <w:lang w:val="en-US" w:eastAsia="zh-CN"/>
                    </w:rPr>
                    <w:t>8</w:t>
                  </w:r>
                </w:p>
              </w:tc>
            </w:tr>
          </w:tbl>
          <w:p w14:paraId="7187950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rPr>
            </w:pPr>
            <w:r>
              <w:rPr>
                <w:rFonts w:hint="default" w:ascii="Times New Roman" w:hAnsi="Times New Roman" w:cs="Times New Roman"/>
              </w:rPr>
              <w:t>（2）排水</w:t>
            </w:r>
          </w:p>
          <w:p w14:paraId="7F6A019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rPr>
            </w:pPr>
            <w:r>
              <w:rPr>
                <w:rFonts w:hint="default" w:ascii="Times New Roman" w:hAnsi="Times New Roman" w:cs="Times New Roman"/>
              </w:rPr>
              <w:t>本项目排水采用雨污分流制。</w:t>
            </w:r>
          </w:p>
          <w:p w14:paraId="5E67262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eastAsia="zh-CN"/>
              </w:rPr>
            </w:pPr>
            <w:r>
              <w:rPr>
                <w:rFonts w:hint="default" w:ascii="Times New Roman" w:hAnsi="Times New Roman" w:cs="Times New Roman"/>
              </w:rPr>
              <w:t>根据本项目的特点，厂区主要废水为生活污水和生产废水。生活污水主要为办公生活污水；生产废水主要为屠宰废水，根据屠宰与肉类加工废水治理工程技术规范，屠宰废水为屠宰过程中产生的废水，主要含有血污、油脂、碎肉、畜毛、</w:t>
            </w:r>
            <w:r>
              <w:rPr>
                <w:rFonts w:hint="default" w:ascii="Times New Roman" w:hAnsi="Times New Roman" w:cs="Times New Roman"/>
                <w:lang w:val="en-US" w:eastAsia="zh-CN"/>
              </w:rPr>
              <w:t>肠胃内容物</w:t>
            </w:r>
            <w:r>
              <w:rPr>
                <w:rFonts w:hint="default" w:ascii="Times New Roman" w:hAnsi="Times New Roman" w:cs="Times New Roman"/>
              </w:rPr>
              <w:t>及粪便、尿液等</w:t>
            </w:r>
            <w:r>
              <w:rPr>
                <w:rFonts w:hint="default" w:ascii="Times New Roman" w:hAnsi="Times New Roman" w:cs="Times New Roman"/>
                <w:lang w:eastAsia="zh-CN"/>
              </w:rPr>
              <w:t>。</w:t>
            </w:r>
          </w:p>
          <w:p w14:paraId="303F2E2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eastAsiaTheme="minorEastAsia"/>
                <w:lang w:val="en-US" w:eastAsia="zh-CN"/>
              </w:rPr>
              <w:t>①</w:t>
            </w:r>
            <w:r>
              <w:rPr>
                <w:rFonts w:hint="default" w:ascii="Times New Roman" w:hAnsi="Times New Roman" w:cs="Times New Roman"/>
                <w:lang w:val="en-US" w:eastAsia="zh-CN"/>
              </w:rPr>
              <w:t>生活污水</w:t>
            </w:r>
          </w:p>
          <w:p w14:paraId="26B8140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本项目职工不设置食宿，生活污水仅为职工日常办公的生活污水，产污系数按0.8计，则生活污水产出为262.8m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/a。</w:t>
            </w:r>
          </w:p>
          <w:p w14:paraId="5CA1895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lang w:val="en-US" w:eastAsia="zh-CN"/>
              </w:rPr>
              <w:t>②</w:t>
            </w:r>
            <w:r>
              <w:rPr>
                <w:rFonts w:hint="default" w:ascii="Times New Roman" w:hAnsi="Times New Roman" w:cs="Times New Roman"/>
                <w:lang w:val="en-US" w:eastAsia="zh-CN"/>
              </w:rPr>
              <w:t>生产废水</w:t>
            </w:r>
          </w:p>
          <w:p w14:paraId="3072314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项目生产车间产生的生产废水主要包括屠宰废水和车辆清洗用水，</w:t>
            </w:r>
            <w:r>
              <w:rPr>
                <w:rFonts w:hint="eastAsia" w:cs="Times New Roman"/>
                <w:lang w:val="en-US" w:eastAsia="zh-CN"/>
              </w:rPr>
              <w:t>生产</w:t>
            </w:r>
            <w:r>
              <w:rPr>
                <w:rFonts w:hint="default" w:ascii="Times New Roman" w:hAnsi="Times New Roman" w:cs="Times New Roman"/>
                <w:lang w:val="en-US" w:eastAsia="zh-CN"/>
              </w:rPr>
              <w:t>废水产生系数参照根据《排污许可证申请与核发技术规范 农副食品加工工业—屠宰及肉及肉类加工工业》（HJ860.3-2018）中附录C.1，</w:t>
            </w:r>
            <w:r>
              <w:rPr>
                <w:rFonts w:hint="eastAsia" w:cs="Times New Roman"/>
                <w:lang w:val="en-US" w:eastAsia="zh-CN"/>
              </w:rPr>
              <w:t>即0.7</w:t>
            </w:r>
            <w:r>
              <w:rPr>
                <w:rFonts w:hint="default" w:ascii="Times New Roman" w:hAnsi="Times New Roman" w:cs="Times New Roman"/>
                <w:vertAlign w:val="baseline"/>
                <w:lang w:val="en-US" w:eastAsia="zh-CN"/>
              </w:rPr>
              <w:t>，</w:t>
            </w:r>
            <w:r>
              <w:rPr>
                <w:rFonts w:hint="eastAsia" w:cs="Times New Roman"/>
                <w:vertAlign w:val="baseline"/>
                <w:lang w:val="en-US" w:eastAsia="zh-CN"/>
              </w:rPr>
              <w:t>得到</w:t>
            </w:r>
            <w:r>
              <w:rPr>
                <w:rFonts w:hint="default" w:ascii="Times New Roman" w:hAnsi="Times New Roman" w:cs="Times New Roman"/>
                <w:vertAlign w:val="baseline"/>
                <w:lang w:val="en-US" w:eastAsia="zh-CN"/>
              </w:rPr>
              <w:t>废水排放量为</w:t>
            </w:r>
            <w:r>
              <w:rPr>
                <w:rFonts w:hint="eastAsia" w:cs="Times New Roman"/>
                <w:vertAlign w:val="baseline"/>
                <w:lang w:val="en-US" w:eastAsia="zh-CN"/>
              </w:rPr>
              <w:t>94.5</w:t>
            </w:r>
            <w:r>
              <w:rPr>
                <w:rFonts w:hint="default" w:ascii="Times New Roman" w:hAnsi="Times New Roman" w:cs="Times New Roman"/>
                <w:vertAlign w:val="baseline"/>
                <w:lang w:val="en-US" w:eastAsia="zh-CN"/>
              </w:rPr>
              <w:t>m</w:t>
            </w:r>
            <w:r>
              <w:rPr>
                <w:rFonts w:hint="default" w:ascii="Times New Roman" w:hAnsi="Times New Roman" w:cs="Times New Roman"/>
                <w:vertAlign w:val="superscript"/>
                <w:lang w:val="en-US" w:eastAsia="zh-CN"/>
              </w:rPr>
              <w:t>3</w:t>
            </w:r>
            <w:r>
              <w:rPr>
                <w:rFonts w:hint="default" w:ascii="Times New Roman" w:hAnsi="Times New Roman" w:cs="Times New Roman"/>
                <w:vertAlign w:val="baseline"/>
                <w:lang w:val="en-US" w:eastAsia="zh-CN"/>
              </w:rPr>
              <w:t>/d（</w:t>
            </w:r>
            <w:r>
              <w:rPr>
                <w:rFonts w:hint="eastAsia" w:cs="Times New Roman"/>
                <w:vertAlign w:val="baseline"/>
                <w:lang w:val="en-US" w:eastAsia="zh-CN"/>
              </w:rPr>
              <w:t>34492.5</w:t>
            </w:r>
            <w:r>
              <w:rPr>
                <w:rFonts w:hint="default" w:ascii="Times New Roman" w:hAnsi="Times New Roman" w:cs="Times New Roman"/>
                <w:vertAlign w:val="baseline"/>
                <w:lang w:val="en-US" w:eastAsia="zh-CN"/>
              </w:rPr>
              <w:t>m</w:t>
            </w:r>
            <w:r>
              <w:rPr>
                <w:rFonts w:hint="default" w:ascii="Times New Roman" w:hAnsi="Times New Roman" w:cs="Times New Roman"/>
                <w:vertAlign w:val="superscript"/>
                <w:lang w:val="en-US" w:eastAsia="zh-CN"/>
              </w:rPr>
              <w:t>3</w:t>
            </w:r>
            <w:r>
              <w:rPr>
                <w:rFonts w:hint="default" w:ascii="Times New Roman" w:hAnsi="Times New Roman" w:cs="Times New Roman"/>
                <w:vertAlign w:val="baseline"/>
                <w:lang w:val="en-US" w:eastAsia="zh-CN"/>
              </w:rPr>
              <w:t>/a）,</w:t>
            </w:r>
            <w:r>
              <w:rPr>
                <w:rFonts w:hint="default" w:ascii="Times New Roman" w:hAnsi="Times New Roman" w:cs="Times New Roman"/>
                <w:lang w:val="en-US" w:eastAsia="zh-CN"/>
              </w:rPr>
              <w:t>车辆清洗用水产污系数按0.9计，废水排放量为3.6m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/d（1314m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/a）。根据估算，项目产出生产废水</w:t>
            </w:r>
            <w:r>
              <w:rPr>
                <w:rFonts w:hint="eastAsia" w:cs="Times New Roman"/>
                <w:lang w:val="en-US" w:eastAsia="zh-CN"/>
              </w:rPr>
              <w:t>35806.5</w:t>
            </w:r>
            <w:r>
              <w:rPr>
                <w:rFonts w:hint="default" w:ascii="Times New Roman" w:hAnsi="Times New Roman" w:cs="Times New Roman"/>
                <w:lang w:val="en-US" w:eastAsia="zh-CN"/>
              </w:rPr>
              <w:t>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/a。</w:t>
            </w:r>
          </w:p>
          <w:p w14:paraId="52A4D56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highlight w:val="yellow"/>
                <w:lang w:val="en-US" w:eastAsia="zh-CN"/>
              </w:rPr>
              <w:t>项目建设污水预处理设施进行预处理，采用</w:t>
            </w:r>
            <w:r>
              <w:rPr>
                <w:rFonts w:hint="eastAsia" w:ascii="宋体" w:hAnsi="宋体" w:eastAsia="宋体" w:cs="宋体"/>
                <w:highlight w:val="yellow"/>
                <w:u w:val="none"/>
                <w:lang w:val="en-US" w:eastAsia="zh-CN"/>
              </w:rPr>
              <w:t>“</w:t>
            </w:r>
            <w:r>
              <w:rPr>
                <w:rFonts w:hint="default" w:ascii="Times New Roman" w:hAnsi="Times New Roman" w:eastAsia="宋体" w:cs="Times New Roman"/>
                <w:highlight w:val="yellow"/>
                <w:u w:val="none"/>
                <w:lang w:val="en-US" w:eastAsia="zh-CN"/>
              </w:rPr>
              <w:t>格栅-隔油-调节池-气浮-厌氧处理（水解酸化）</w:t>
            </w:r>
            <w:r>
              <w:rPr>
                <w:rFonts w:hint="eastAsia" w:ascii="宋体" w:hAnsi="宋体" w:eastAsia="宋体" w:cs="宋体"/>
                <w:highlight w:val="yellow"/>
                <w:u w:val="none"/>
                <w:lang w:val="en-US" w:eastAsia="zh-CN"/>
              </w:rPr>
              <w:t>”</w:t>
            </w:r>
            <w:r>
              <w:rPr>
                <w:rFonts w:hint="default" w:ascii="Times New Roman" w:hAnsi="Times New Roman" w:cs="Times New Roman"/>
                <w:highlight w:val="yellow"/>
                <w:u w:val="none"/>
                <w:lang w:val="en-US" w:eastAsia="zh-CN"/>
              </w:rPr>
              <w:t>工艺预处理，市政污水管网接通前，本项目污水通过槽罐车运至污水处理厂，待市政污水管道接通后，本项目污水排入污水管网再排入南岳区污水处理厂进行进一步处理，预处理</w:t>
            </w:r>
            <w:r>
              <w:rPr>
                <w:rFonts w:hint="eastAsia" w:cs="Times New Roman"/>
                <w:highlight w:val="yellow"/>
                <w:u w:val="none"/>
                <w:lang w:val="en-US" w:eastAsia="zh-CN"/>
              </w:rPr>
              <w:t>后污水</w:t>
            </w:r>
            <w:r>
              <w:rPr>
                <w:rFonts w:hint="default" w:ascii="Times New Roman" w:hAnsi="Times New Roman" w:cs="Times New Roman"/>
                <w:highlight w:val="yellow"/>
                <w:u w:val="none"/>
                <w:lang w:val="en-US" w:eastAsia="zh-CN"/>
              </w:rPr>
              <w:t>应达到</w:t>
            </w:r>
            <w:r>
              <w:rPr>
                <w:rFonts w:hint="default" w:ascii="Times New Roman" w:hAnsi="Times New Roman" w:eastAsia="宋体" w:cs="Times New Roman"/>
                <w:highlight w:val="yellow"/>
                <w:u w:val="none"/>
                <w:lang w:val="en-US" w:eastAsia="zh-CN"/>
              </w:rPr>
              <w:t>《</w:t>
            </w:r>
            <w:r>
              <w:rPr>
                <w:rFonts w:hint="default" w:ascii="Times New Roman" w:hAnsi="Times New Roman" w:cs="Times New Roman"/>
                <w:highlight w:val="yellow"/>
                <w:u w:val="none"/>
                <w:lang w:val="en-US" w:eastAsia="zh-CN"/>
              </w:rPr>
              <w:t>肉类加工工业水污染物排放标准</w:t>
            </w:r>
            <w:r>
              <w:rPr>
                <w:rFonts w:hint="default" w:ascii="Times New Roman" w:hAnsi="Times New Roman" w:eastAsia="宋体" w:cs="Times New Roman"/>
                <w:highlight w:val="yellow"/>
                <w:u w:val="none"/>
                <w:lang w:val="en-US" w:eastAsia="zh-CN"/>
              </w:rPr>
              <w:t>》</w:t>
            </w:r>
            <w:r>
              <w:rPr>
                <w:rFonts w:hint="default" w:ascii="Times New Roman" w:hAnsi="Times New Roman" w:cs="Times New Roman"/>
                <w:highlight w:val="yellow"/>
                <w:u w:val="none"/>
                <w:lang w:val="en-US" w:eastAsia="zh-CN"/>
              </w:rPr>
              <w:t>（GB13457-92）表3中畜类屠宰加工三级排放标准</w:t>
            </w:r>
            <w:r>
              <w:rPr>
                <w:rFonts w:hint="default" w:ascii="Times New Roman" w:hAnsi="Times New Roman" w:cs="Times New Roman"/>
                <w:highlight w:val="none"/>
                <w:u w:val="none"/>
                <w:lang w:val="en-US" w:eastAsia="zh-CN"/>
              </w:rPr>
              <w:t>及南岳区污水处理厂污水进水纳管标准，经南岳区污水处理厂进一步处理达标后排入龙荫港。</w:t>
            </w:r>
          </w:p>
          <w:p w14:paraId="3B09111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lang w:val="en-US" w:eastAsia="zh-CN"/>
              </w:rPr>
              <w:t>③</w:t>
            </w:r>
            <w:r>
              <w:rPr>
                <w:rFonts w:hint="default" w:ascii="Times New Roman" w:hAnsi="Times New Roman" w:cs="Times New Roman"/>
                <w:lang w:val="en-US" w:eastAsia="zh-CN"/>
              </w:rPr>
              <w:t>雨水</w:t>
            </w:r>
          </w:p>
          <w:p w14:paraId="7978EBC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室外排水采用雨污分流制。屋面雨水通过雨水管网收集后，直接排放入附近地表水体。</w:t>
            </w:r>
          </w:p>
          <w:p w14:paraId="2F73452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本项目水平衡图见下图2-1：</w:t>
            </w:r>
          </w:p>
          <w:p w14:paraId="216CEDB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textAlignment w:val="auto"/>
              <w:rPr>
                <w:rFonts w:hint="default" w:ascii="Times New Roman" w:hAnsi="Times New Roman" w:cs="Times New Roman"/>
                <w:lang w:val="en-US" w:eastAsia="zh-CN"/>
              </w:rPr>
            </w:pPr>
            <w:r>
              <w:drawing>
                <wp:inline distT="0" distB="0" distL="114300" distR="114300">
                  <wp:extent cx="5038725" cy="3196590"/>
                  <wp:effectExtent l="0" t="0" r="9525" b="381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6"/>
                          <a:stretch>
                            <a:fillRect/>
                          </a:stretch>
                        </pic:blipFill>
                        <pic:spPr>
                          <a:xfrm>
                            <a:off x="0" y="0"/>
                            <a:ext cx="5038725" cy="3196590"/>
                          </a:xfrm>
                          <a:prstGeom prst="rect">
                            <a:avLst/>
                          </a:prstGeom>
                          <a:noFill/>
                          <a:ln>
                            <a:noFill/>
                          </a:ln>
                        </pic:spPr>
                      </pic:pic>
                    </a:graphicData>
                  </a:graphic>
                </wp:inline>
              </w:drawing>
            </w:r>
          </w:p>
          <w:p w14:paraId="5F7AAF6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图2-1 水平衡图（单位：m</w:t>
            </w:r>
            <w:r>
              <w:rPr>
                <w:rFonts w:hint="default" w:ascii="Times New Roman" w:hAnsi="Times New Roman" w:cs="Times New Roman"/>
                <w:b/>
                <w:bCs/>
                <w:color w:val="auto"/>
                <w:sz w:val="21"/>
                <w:szCs w:val="21"/>
                <w:vertAlign w:val="superscript"/>
                <w:lang w:val="en-US" w:eastAsia="zh-CN"/>
              </w:rPr>
              <w:t>3</w:t>
            </w:r>
            <w:r>
              <w:rPr>
                <w:rFonts w:hint="default" w:ascii="Times New Roman" w:hAnsi="Times New Roman" w:cs="Times New Roman"/>
                <w:b/>
                <w:bCs/>
                <w:color w:val="auto"/>
                <w:sz w:val="21"/>
                <w:szCs w:val="21"/>
                <w:lang w:val="en-US" w:eastAsia="zh-CN"/>
              </w:rPr>
              <w:t>/a）</w:t>
            </w:r>
          </w:p>
          <w:p w14:paraId="1BBC8C9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u w:val="none"/>
                <w:lang w:val="en-US" w:eastAsia="zh-CN"/>
              </w:rPr>
            </w:pPr>
            <w:r>
              <w:rPr>
                <w:rFonts w:hint="default" w:ascii="Times New Roman" w:hAnsi="Times New Roman" w:cs="Times New Roman"/>
                <w:b/>
                <w:bCs/>
                <w:color w:val="auto"/>
                <w:lang w:val="en-US" w:eastAsia="zh-CN"/>
              </w:rPr>
              <w:t>8、总平面布置</w:t>
            </w:r>
          </w:p>
          <w:p w14:paraId="12EC491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u w:val="none"/>
                <w:lang w:val="en-US" w:eastAsia="zh-CN"/>
              </w:rPr>
            </w:pPr>
            <w:r>
              <w:rPr>
                <w:rFonts w:hint="default" w:ascii="Times New Roman" w:hAnsi="Times New Roman" w:eastAsia="宋体" w:cs="Times New Roman"/>
                <w:u w:val="none"/>
                <w:lang w:val="en-US" w:eastAsia="zh-CN"/>
              </w:rPr>
              <w:t>本项目占地</w:t>
            </w:r>
            <w:r>
              <w:rPr>
                <w:rFonts w:hint="default" w:ascii="Times New Roman" w:hAnsi="Times New Roman" w:cs="Times New Roman"/>
                <w:u w:val="none"/>
                <w:lang w:val="en-US" w:eastAsia="zh-CN"/>
              </w:rPr>
              <w:t>3985.29</w:t>
            </w:r>
            <w:r>
              <w:rPr>
                <w:rFonts w:hint="default" w:ascii="Times New Roman" w:hAnsi="Times New Roman" w:eastAsia="宋体" w:cs="Times New Roman"/>
                <w:u w:val="none"/>
                <w:lang w:val="en-US" w:eastAsia="zh-CN"/>
              </w:rPr>
              <w:t>平方米，总建筑面积</w:t>
            </w:r>
            <w:r>
              <w:rPr>
                <w:rFonts w:hint="default" w:ascii="Times New Roman" w:hAnsi="Times New Roman" w:cs="Times New Roman"/>
                <w:u w:val="none"/>
                <w:lang w:val="en-US" w:eastAsia="zh-CN"/>
              </w:rPr>
              <w:t>5098</w:t>
            </w:r>
            <w:r>
              <w:rPr>
                <w:rFonts w:hint="default" w:ascii="Times New Roman" w:hAnsi="Times New Roman" w:eastAsia="宋体" w:cs="Times New Roman"/>
                <w:u w:val="none"/>
                <w:lang w:val="en-US" w:eastAsia="zh-CN"/>
              </w:rPr>
              <w:t>平方米。其总平面布设按下列原则进行：根据场地地形、地貌条件、当地气候、场区内外交通等条件，综合考虑平面布置，根据国家《食品加工厂卫生规范》和《肉类加工厂卫生规范》，保证洁净区与非洁净区分开，人流与物流分开，生活区与生产区分开，并确保工艺流程的合理性，防止交叉污染；确保厂区和生产车间环境卫生，保证生产在卫生、洁净的环境下进行。</w:t>
            </w:r>
          </w:p>
          <w:p w14:paraId="46F6294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u w:val="none"/>
                <w:lang w:val="en-US" w:eastAsia="zh-CN"/>
              </w:rPr>
            </w:pPr>
            <w:r>
              <w:rPr>
                <w:rFonts w:hint="default" w:ascii="Times New Roman" w:hAnsi="Times New Roman" w:eastAsia="宋体" w:cs="Times New Roman"/>
                <w:u w:val="none"/>
                <w:lang w:val="en-US" w:eastAsia="zh-CN"/>
              </w:rPr>
              <w:t>根据夏季主导风向，将车间洁净区布置在上风向，污染区布置在下风向，将污水处理站等有一定污染的建筑布置在厂区的下风向，位置合理。场区分为净区和脏区，脏区位于项目厂区南侧，设置</w:t>
            </w:r>
            <w:r>
              <w:rPr>
                <w:rFonts w:hint="default" w:ascii="Times New Roman" w:hAnsi="Times New Roman" w:cs="Times New Roman"/>
                <w:color w:val="000000"/>
                <w:kern w:val="0"/>
                <w:sz w:val="24"/>
                <w:szCs w:val="24"/>
                <w:lang w:val="en-US" w:eastAsia="zh-CN" w:bidi="ar"/>
              </w:rPr>
              <w:t>存栏舍</w:t>
            </w:r>
            <w:r>
              <w:rPr>
                <w:rFonts w:hint="default" w:ascii="Times New Roman" w:hAnsi="Times New Roman" w:eastAsia="宋体" w:cs="Times New Roman"/>
                <w:u w:val="none"/>
                <w:lang w:val="en-US" w:eastAsia="zh-CN"/>
              </w:rPr>
              <w:t>、屠宰车间、固废暂存间、污水处理站等。净区位于厂区北侧，设置宿舍和</w:t>
            </w:r>
            <w:r>
              <w:rPr>
                <w:rFonts w:hint="default" w:ascii="Times New Roman" w:hAnsi="Times New Roman" w:cs="Times New Roman"/>
                <w:u w:val="none"/>
                <w:lang w:val="en-US" w:eastAsia="zh-CN"/>
              </w:rPr>
              <w:t>办公处</w:t>
            </w:r>
            <w:r>
              <w:rPr>
                <w:rFonts w:hint="default" w:ascii="Times New Roman" w:hAnsi="Times New Roman" w:eastAsia="宋体" w:cs="Times New Roman"/>
                <w:u w:val="none"/>
                <w:lang w:val="en-US" w:eastAsia="zh-CN"/>
              </w:rPr>
              <w:t>，员工生活有足够的卫生距离。厂区道路呈封闭的</w:t>
            </w:r>
            <w:r>
              <w:rPr>
                <w:rFonts w:hint="default" w:ascii="Times New Roman" w:hAnsi="Times New Roman" w:cs="Times New Roman"/>
                <w:u w:val="none"/>
                <w:lang w:val="en-US" w:eastAsia="zh-CN"/>
              </w:rPr>
              <w:t>方形</w:t>
            </w:r>
            <w:r>
              <w:rPr>
                <w:rFonts w:hint="default" w:ascii="Times New Roman" w:hAnsi="Times New Roman" w:eastAsia="宋体" w:cs="Times New Roman"/>
                <w:u w:val="none"/>
                <w:lang w:val="en-US" w:eastAsia="zh-CN"/>
              </w:rPr>
              <w:t>，连接屠宰、</w:t>
            </w:r>
            <w:r>
              <w:rPr>
                <w:rFonts w:hint="default" w:ascii="Times New Roman" w:hAnsi="Times New Roman" w:cs="Times New Roman"/>
                <w:u w:val="none"/>
                <w:lang w:val="en-US" w:eastAsia="zh-CN"/>
              </w:rPr>
              <w:t>存栏处、办公区</w:t>
            </w:r>
            <w:r>
              <w:rPr>
                <w:rFonts w:hint="default" w:ascii="Times New Roman" w:hAnsi="Times New Roman" w:eastAsia="宋体" w:cs="Times New Roman"/>
                <w:u w:val="none"/>
                <w:lang w:val="en-US" w:eastAsia="zh-CN"/>
              </w:rPr>
              <w:t>各区域，使物流通畅。项目总平面布置功能分区清晰，运输流程顺畅，物流短捷，人流、物流互不交叉干扰，有机地协调了投入与产出的关系。</w:t>
            </w:r>
          </w:p>
          <w:p w14:paraId="31A2455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u w:val="none"/>
                <w:lang w:val="en-US" w:eastAsia="zh-CN"/>
              </w:rPr>
              <w:t>综上所述，项目总平面布置可满足运输及工艺路线流畅的要求，从环保角度分析项目平面布局较为合理，具体见附图</w:t>
            </w:r>
            <w:r>
              <w:rPr>
                <w:rFonts w:hint="default" w:ascii="Times New Roman" w:hAnsi="Times New Roman" w:cs="Times New Roman"/>
                <w:u w:val="none"/>
                <w:lang w:val="en-US" w:eastAsia="zh-CN"/>
              </w:rPr>
              <w:t>2</w:t>
            </w:r>
            <w:r>
              <w:rPr>
                <w:rFonts w:hint="default" w:ascii="Times New Roman" w:hAnsi="Times New Roman" w:eastAsia="宋体" w:cs="Times New Roman"/>
                <w:u w:val="none"/>
                <w:lang w:val="en-US" w:eastAsia="zh-CN"/>
              </w:rPr>
              <w:t>。</w:t>
            </w:r>
          </w:p>
        </w:tc>
      </w:tr>
      <w:tr w14:paraId="34D57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 w:type="dxa"/>
            <w:noWrap w:val="0"/>
            <w:vAlign w:val="center"/>
          </w:tcPr>
          <w:p w14:paraId="4429ABF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cs="Times New Roman"/>
                <w:vertAlign w:val="baseline"/>
              </w:rPr>
            </w:pPr>
            <w:r>
              <w:rPr>
                <w:rFonts w:hint="default" w:ascii="Times New Roman" w:hAnsi="Times New Roman" w:cs="Times New Roman"/>
                <w:u w:val="none"/>
                <w:lang w:val="en-US" w:eastAsia="zh-CN"/>
              </w:rPr>
              <w:t>工艺流程和产排污环节</w:t>
            </w:r>
          </w:p>
        </w:tc>
        <w:tc>
          <w:tcPr>
            <w:tcW w:w="8073" w:type="dxa"/>
            <w:noWrap w:val="0"/>
            <w:vAlign w:val="top"/>
          </w:tcPr>
          <w:p w14:paraId="2195754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vertAlign w:val="baseline"/>
                <w:lang w:val="en-US" w:eastAsia="zh-CN"/>
              </w:rPr>
            </w:pPr>
            <w:r>
              <w:rPr>
                <w:rFonts w:hint="eastAsia" w:cs="Times New Roman"/>
                <w:b/>
                <w:bCs/>
                <w:kern w:val="2"/>
                <w:sz w:val="24"/>
                <w:szCs w:val="24"/>
                <w:vertAlign w:val="baseline"/>
                <w:lang w:val="en-US" w:eastAsia="zh-CN" w:bidi="ar-SA"/>
              </w:rPr>
              <w:t>1</w:t>
            </w:r>
            <w:r>
              <w:rPr>
                <w:rFonts w:hint="default" w:ascii="Times New Roman" w:hAnsi="Times New Roman" w:eastAsia="宋体" w:cs="Times New Roman"/>
                <w:b/>
                <w:bCs/>
                <w:kern w:val="2"/>
                <w:sz w:val="24"/>
                <w:szCs w:val="24"/>
                <w:vertAlign w:val="baseline"/>
                <w:lang w:val="en-US" w:eastAsia="zh-CN" w:bidi="ar-SA"/>
              </w:rPr>
              <w:t>、</w:t>
            </w:r>
            <w:r>
              <w:rPr>
                <w:rFonts w:hint="default" w:ascii="Times New Roman" w:hAnsi="Times New Roman" w:cs="Times New Roman"/>
                <w:b/>
                <w:bCs/>
                <w:vertAlign w:val="baseline"/>
                <w:lang w:val="en-US" w:eastAsia="zh-CN"/>
              </w:rPr>
              <w:t>营运期工艺流程及产排污节点分析</w:t>
            </w:r>
          </w:p>
          <w:p w14:paraId="0D55253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vertAlign w:val="baseline"/>
                <w:lang w:val="en-US" w:eastAsia="zh-CN"/>
              </w:rPr>
            </w:pPr>
            <w:r>
              <w:rPr>
                <w:rFonts w:hint="default" w:ascii="Times New Roman" w:hAnsi="Times New Roman" w:cs="Times New Roman"/>
                <w:b/>
                <w:bCs/>
                <w:vertAlign w:val="baseline"/>
                <w:lang w:val="en-US" w:eastAsia="zh-CN"/>
              </w:rPr>
              <w:t>（1）生猪屠宰流程图生产工艺流程</w:t>
            </w:r>
          </w:p>
          <w:p w14:paraId="6B1AB63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4708525" cy="6661785"/>
                  <wp:effectExtent l="0" t="0" r="15875" b="5715"/>
                  <wp:docPr id="8" name="图片 8" descr="工艺流程屠宰场 Model (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工艺流程屠宰场 Model (3)_00"/>
                          <pic:cNvPicPr>
                            <a:picLocks noChangeAspect="1"/>
                          </pic:cNvPicPr>
                        </pic:nvPicPr>
                        <pic:blipFill>
                          <a:blip r:embed="rId17"/>
                          <a:stretch>
                            <a:fillRect/>
                          </a:stretch>
                        </pic:blipFill>
                        <pic:spPr>
                          <a:xfrm>
                            <a:off x="0" y="0"/>
                            <a:ext cx="4708525" cy="6661785"/>
                          </a:xfrm>
                          <a:prstGeom prst="rect">
                            <a:avLst/>
                          </a:prstGeom>
                        </pic:spPr>
                      </pic:pic>
                    </a:graphicData>
                  </a:graphic>
                </wp:inline>
              </w:drawing>
            </w:r>
            <w:r>
              <w:rPr>
                <w:rFonts w:hint="default" w:ascii="Times New Roman" w:hAnsi="Times New Roman" w:cs="Times New Roman"/>
                <w:sz w:val="24"/>
              </w:rPr>
              <mc:AlternateContent>
                <mc:Choice Requires="wps">
                  <w:drawing>
                    <wp:anchor distT="0" distB="0" distL="114300" distR="114300" simplePos="0" relativeHeight="251665408" behindDoc="0" locked="0" layoutInCell="1" allowOverlap="1">
                      <wp:simplePos x="0" y="0"/>
                      <wp:positionH relativeFrom="column">
                        <wp:posOffset>147955</wp:posOffset>
                      </wp:positionH>
                      <wp:positionV relativeFrom="paragraph">
                        <wp:posOffset>5381625</wp:posOffset>
                      </wp:positionV>
                      <wp:extent cx="1286510" cy="1252855"/>
                      <wp:effectExtent l="4445" t="4445" r="23495" b="19050"/>
                      <wp:wrapNone/>
                      <wp:docPr id="42" name="文本框 42"/>
                      <wp:cNvGraphicFramePr/>
                      <a:graphic xmlns:a="http://schemas.openxmlformats.org/drawingml/2006/main">
                        <a:graphicData uri="http://schemas.microsoft.com/office/word/2010/wordprocessingShape">
                          <wps:wsp>
                            <wps:cNvSpPr txBox="1"/>
                            <wps:spPr>
                              <a:xfrm>
                                <a:off x="2284095" y="8496935"/>
                                <a:ext cx="1286510" cy="12528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7145CE">
                                  <w:pPr>
                                    <w:rPr>
                                      <w:rFonts w:hint="default" w:eastAsia="宋体"/>
                                      <w:sz w:val="21"/>
                                      <w:szCs w:val="21"/>
                                      <w:lang w:val="en-US" w:eastAsia="zh-CN"/>
                                    </w:rPr>
                                  </w:pPr>
                                  <w:r>
                                    <w:rPr>
                                      <w:rFonts w:hint="eastAsia"/>
                                      <w:sz w:val="21"/>
                                      <w:szCs w:val="21"/>
                                      <w:lang w:val="en-US" w:eastAsia="zh-CN"/>
                                    </w:rPr>
                                    <w:t>病猪、固废（不可食用物）、不合格病肉送往无害化处理前暂存于急宰间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5pt;margin-top:423.75pt;height:98.65pt;width:101.3pt;z-index:251665408;mso-width-relative:page;mso-height-relative:page;" fillcolor="#FFFFFF [3201]" filled="t" stroked="t" coordsize="21600,21600" o:gfxdata="UEsDBAoAAAAAAIdO4kAAAAAAAAAAAAAAAAAEAAAAZHJzL1BLAwQUAAAACACHTuJAHF4zrdgAAAAL&#10;AQAADwAAAGRycy9kb3ducmV2LnhtbE2PwU7DMBBE70j8g7VI3KhdJy0hxKkEEhLiRsmFmxtvkwh7&#10;HdluU/4ec4Ljap5m3ja7i7PsjCFOnhSsVwIYUu/NRIOC7uPlrgIWkyajrSdU8I0Rdu31VaNr4xd6&#10;x/M+DSyXUKy1gjGlueY89iM6HVd+RsrZ0QenUz7DwE3QSy53lkshttzpifLCqGd8HrH/2p+cgtft&#10;U/rEzryZQhZ+6XgfjjYqdXuzFo/AEl7SHwy/+lkd2ux08CcykVkFsigyqaAq7zfAMiDl5gHYIZOi&#10;LCvgbcP//9D+AFBLAwQUAAAACACHTuJAfnq9yWkCAADGBAAADgAAAGRycy9lMm9Eb2MueG1srVTN&#10;bhMxEL4j8Q6W73STbTYkUTdVaBWEVNFKAXF2vN6she0xtpPd8gD0DThx4c5z9TkYe5P+cuiBHJwZ&#10;z5dvPN/M5OS004rshPMSTEmHRwNKhOFQSbMp6edPyzcTSnxgpmIKjCjptfD0dP761UlrZyKHBlQl&#10;HEES42etLWkTgp1lmeeN0MwfgRUGgzU4zQK6bpNVjrXIrlWWDwbjrAVXWQdceI+3532Q7hndSwih&#10;riUX58C3WpjQszqhWMCSfCOtp/P02roWPFzWtReBqJJipSGdmATtdTyz+QmbbRyzjeT7J7CXPOFJ&#10;TZpJg0nvqM5ZYGTr5DMqLbkDD3U44qCzvpCkCFYxHDzRZtUwK1ItKLW3d6L7/0fLP+6uHJFVSUc5&#10;JYZp7Pjtz5vbX39uf/8geIcCtdbPELeyiAzdO+hwbA73Hi9j3V3tdPzGigjG83wyGkwLSq5LOhlN&#10;x9PjopdadIHwSJBPxsUQu8ARMcyLfFIkRHZPZZ0P7wVoEo2SOuxlkpjtLnzAZyH0AImZPShZLaVS&#10;yXGb9ZlyZMew78v0ifnxJ49gypC2pOPjYpCYH8Ui9x3FWjH+9TkD8imDtFGhXolohW7d7WVbQ3WN&#10;qjnoB89bvpTIe8F8uGIOJw0VwF0Ml3jUCvAxsLcoacB9/9d9xOMAYJSSFie3pP7bljlBifpgcDSm&#10;w9EojnpyRsXbHB33MLJ+GDFbfQYo0hC33vJkRnxQB7N2oL/gyi5iVgwxwzF3ScPBPAv9PuHKc7FY&#10;JBAOt2Xhwqwsj9SxJQYW2wC1TK2LMvXa7NXD8U7t2a9i3J+HfkLd//3M/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cXjOt2AAAAAsBAAAPAAAAAAAAAAEAIAAAACIAAABkcnMvZG93bnJldi54bWxQ&#10;SwECFAAUAAAACACHTuJAfnq9yWkCAADGBAAADgAAAAAAAAABACAAAAAnAQAAZHJzL2Uyb0RvYy54&#10;bWxQSwUGAAAAAAYABgBZAQAAAgYAAAAA&#10;">
                      <v:fill on="t" focussize="0,0"/>
                      <v:stroke weight="0.5pt" color="#000000 [3204]" joinstyle="round"/>
                      <v:imagedata o:title=""/>
                      <o:lock v:ext="edit" aspectratio="f"/>
                      <v:textbox>
                        <w:txbxContent>
                          <w:p w14:paraId="6A7145CE">
                            <w:pPr>
                              <w:rPr>
                                <w:rFonts w:hint="default" w:eastAsia="宋体"/>
                                <w:sz w:val="21"/>
                                <w:szCs w:val="21"/>
                                <w:lang w:val="en-US" w:eastAsia="zh-CN"/>
                              </w:rPr>
                            </w:pPr>
                            <w:r>
                              <w:rPr>
                                <w:rFonts w:hint="eastAsia"/>
                                <w:sz w:val="21"/>
                                <w:szCs w:val="21"/>
                                <w:lang w:val="en-US" w:eastAsia="zh-CN"/>
                              </w:rPr>
                              <w:t>病猪、固废（不可食用物）、不合格病肉送往无害化处理前暂存于急宰间</w:t>
                            </w:r>
                          </w:p>
                        </w:txbxContent>
                      </v:textbox>
                    </v:shape>
                  </w:pict>
                </mc:Fallback>
              </mc:AlternateContent>
            </w:r>
          </w:p>
          <w:p w14:paraId="16E503A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eastAsiaTheme="minorEastAsia"/>
                <w:b/>
                <w:bCs/>
                <w:sz w:val="21"/>
                <w:szCs w:val="21"/>
                <w:lang w:val="en-US" w:eastAsia="zh-CN"/>
              </w:rPr>
              <w:t>图2-</w:t>
            </w:r>
            <w:r>
              <w:rPr>
                <w:rFonts w:hint="eastAsia" w:cs="Times New Roman" w:eastAsiaTheme="minorEastAsia"/>
                <w:b/>
                <w:bCs/>
                <w:sz w:val="21"/>
                <w:szCs w:val="21"/>
                <w:lang w:val="en-US" w:eastAsia="zh-CN"/>
              </w:rPr>
              <w:t>2</w:t>
            </w:r>
            <w:r>
              <w:rPr>
                <w:rFonts w:hint="default" w:ascii="Times New Roman" w:hAnsi="Times New Roman" w:cs="Times New Roman" w:eastAsiaTheme="minorEastAsia"/>
                <w:b/>
                <w:bCs/>
                <w:sz w:val="21"/>
                <w:szCs w:val="21"/>
                <w:lang w:val="en-US" w:eastAsia="zh-CN"/>
              </w:rPr>
              <w:t xml:space="preserve">  生猪屠宰工艺流程图</w:t>
            </w:r>
          </w:p>
          <w:p w14:paraId="1489878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eastAsia="zh-CN"/>
              </w:rPr>
            </w:pPr>
            <w:r>
              <w:rPr>
                <w:rFonts w:hint="default" w:ascii="Times New Roman" w:hAnsi="Times New Roman" w:cs="Times New Roman"/>
              </w:rPr>
              <w:t>工艺流程简述</w:t>
            </w:r>
            <w:r>
              <w:rPr>
                <w:rFonts w:hint="default" w:ascii="Times New Roman" w:hAnsi="Times New Roman" w:cs="Times New Roman"/>
                <w:lang w:eastAsia="zh-CN"/>
              </w:rPr>
              <w:t>：</w:t>
            </w:r>
          </w:p>
          <w:p w14:paraId="4927DE8E">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侯宰生猪：生猪运输采用专用运输车辆，配备通风系统，到达屠宰场后进行初次冲洗，去除生猪表面粪便、泥污、灰尘等。</w:t>
            </w:r>
          </w:p>
          <w:p w14:paraId="3B8B6DE5">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cs="Times New Roman"/>
                <w:lang w:val="en-US" w:eastAsia="zh-CN"/>
              </w:rPr>
              <w:t>宰前检疫：选择体重90-120kg、月龄6-8个月的健康生猪，依据</w:t>
            </w:r>
            <w:r>
              <w:rPr>
                <w:rFonts w:hint="default" w:ascii="Times New Roman" w:hAnsi="Times New Roman" w:cs="Times New Roman"/>
                <w:color w:val="000000"/>
              </w:rPr>
              <w:t>《生猪屠宰检疫规程》（农牧发</w:t>
            </w:r>
            <w:r>
              <w:rPr>
                <w:rFonts w:hint="eastAsia" w:ascii="宋体" w:hAnsi="宋体" w:eastAsia="宋体" w:cs="宋体"/>
                <w:color w:val="000000"/>
                <w:lang w:eastAsia="zh-CN"/>
              </w:rPr>
              <w:t>〔</w:t>
            </w:r>
            <w:r>
              <w:rPr>
                <w:rFonts w:hint="default" w:ascii="Times New Roman" w:hAnsi="Times New Roman" w:cs="Times New Roman"/>
                <w:color w:val="000000"/>
              </w:rPr>
              <w:t>2019</w:t>
            </w:r>
            <w:r>
              <w:rPr>
                <w:rFonts w:hint="eastAsia" w:ascii="宋体" w:hAnsi="宋体" w:eastAsia="宋体" w:cs="宋体"/>
                <w:color w:val="000000"/>
                <w:lang w:eastAsia="zh-CN"/>
              </w:rPr>
              <w:t>〕</w:t>
            </w:r>
            <w:r>
              <w:rPr>
                <w:rFonts w:hint="default" w:ascii="Times New Roman" w:hAnsi="Times New Roman" w:cs="Times New Roman"/>
                <w:color w:val="000000"/>
              </w:rPr>
              <w:t>2号）</w:t>
            </w:r>
            <w:r>
              <w:rPr>
                <w:rFonts w:hint="default" w:ascii="Times New Roman" w:hAnsi="Times New Roman" w:eastAsia="宋体" w:cs="Times New Roman"/>
                <w:lang w:val="en-US" w:eastAsia="zh-CN"/>
              </w:rPr>
              <w:t>进行临床检查，排除传染病、寄生虫病及代谢性疾病对于检验不合格的生猪（或产品）进行无害化处理，其无害化处理方式、处理设施及防治措施严格按照《畜禽病害肉尸及其产品无害化处理规程》(GB/T16548—1996）等相关规范进行。</w:t>
            </w:r>
          </w:p>
          <w:p w14:paraId="2F34437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称重、冲淋:生猪经过24小时静养，恢复体能并排空肠道，降低屠宰污染风险。采用35</w:t>
            </w:r>
            <w:r>
              <w:rPr>
                <w:rFonts w:hint="eastAsia" w:cs="Times New Roman"/>
                <w:lang w:val="en-US" w:eastAsia="zh-CN"/>
              </w:rPr>
              <w:t>~</w:t>
            </w:r>
            <w:r>
              <w:rPr>
                <w:rFonts w:hint="default" w:ascii="Times New Roman" w:hAnsi="Times New Roman" w:eastAsia="宋体" w:cs="Times New Roman"/>
                <w:lang w:val="en-US" w:eastAsia="zh-CN"/>
              </w:rPr>
              <w:t>40℃温水喷淋猪体，清洁表面的同时降低应激水平。</w:t>
            </w:r>
          </w:p>
          <w:p w14:paraId="5800EB2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刺杀、放血：将待宰生猪赶入屠宰间，使用电击击晕，从第一肋骨咽喉正中偏右0.5</w:t>
            </w:r>
            <w:r>
              <w:rPr>
                <w:rFonts w:hint="eastAsia" w:cs="Times New Roman"/>
                <w:lang w:val="en-US" w:eastAsia="zh-CN"/>
              </w:rPr>
              <w:t>~</w:t>
            </w:r>
            <w:r>
              <w:rPr>
                <w:rFonts w:hint="default" w:ascii="Times New Roman" w:hAnsi="Times New Roman" w:eastAsia="宋体" w:cs="Times New Roman"/>
                <w:lang w:val="en-US" w:eastAsia="zh-CN"/>
              </w:rPr>
              <w:t>1cm处向心脏方向刺入，再侧刀下拖切断颈部动脉和静脉进行放血，确保10min内血液完全排出，提升肉品色泽与保质期</w:t>
            </w:r>
            <w:r>
              <w:rPr>
                <w:rFonts w:hint="default" w:ascii="Times New Roman" w:hAnsi="Times New Roman" w:cs="Times New Roman"/>
                <w:lang w:val="en-US" w:eastAsia="zh-CN"/>
              </w:rPr>
              <w:t xml:space="preserve">。 </w:t>
            </w:r>
          </w:p>
          <w:p w14:paraId="564806B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浸泡脱毛：放血后的猪体应用喷淋水或清洗机冲淋，清洗血污、粪污及其他污染物后进入烫池浸泡，软化表皮角质层，配合机械脱毛设备完成去毛处理。</w:t>
            </w:r>
          </w:p>
          <w:p w14:paraId="638815C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清洗：浸泡脱毛后的猪体通过清水池清洗，同时防止污水回流污染胴体。</w:t>
            </w:r>
          </w:p>
          <w:p w14:paraId="738DAAB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开膛、修整冲淋：劈半锯开膛、人工净腔，将内脏取出分别进行整理清洗，并清洗去除了内脏的肉体。</w:t>
            </w:r>
          </w:p>
          <w:p w14:paraId="437BBFD9">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宰后检疫：将胴体、猪头、内脏、蹄等实施同步卫生检验。根据《中华人民共和国动物防疫法》《畜禽屠宰卫生检疫规范》（NY467-2001）《生猪屠宰产品品质检验规程》（GB/T17996-1999）《生猪屠宰操作规程》</w:t>
            </w:r>
            <w:r>
              <w:rPr>
                <w:rFonts w:hint="eastAsia" w:cs="Times New Roman"/>
                <w:lang w:val="en-US" w:eastAsia="zh-CN"/>
              </w:rPr>
              <w:t>（</w:t>
            </w:r>
            <w:r>
              <w:rPr>
                <w:rFonts w:hint="default" w:ascii="Times New Roman" w:hAnsi="Times New Roman" w:eastAsia="宋体" w:cs="Times New Roman"/>
                <w:lang w:val="en-US" w:eastAsia="zh-CN"/>
              </w:rPr>
              <w:t>GB/T    17236-2008</w:t>
            </w:r>
            <w:r>
              <w:rPr>
                <w:rFonts w:hint="eastAsia" w:cs="Times New Roman"/>
                <w:lang w:val="en-US" w:eastAsia="zh-CN"/>
              </w:rPr>
              <w:t>）</w:t>
            </w:r>
            <w:r>
              <w:rPr>
                <w:rFonts w:hint="default" w:ascii="Times New Roman" w:hAnsi="Times New Roman" w:eastAsia="宋体" w:cs="Times New Roman"/>
                <w:lang w:val="en-US" w:eastAsia="zh-CN"/>
              </w:rPr>
              <w:t>等相关规定进行处理。</w:t>
            </w:r>
          </w:p>
          <w:p w14:paraId="3ADE0D8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急宰间：项目应在厂区内设置一个</w:t>
            </w:r>
            <w:r>
              <w:rPr>
                <w:rFonts w:hint="default" w:ascii="Times New Roman" w:hAnsi="Times New Roman" w:cs="Times New Roman"/>
                <w:lang w:val="en-US" w:eastAsia="zh-CN"/>
              </w:rPr>
              <w:t>急宰间</w:t>
            </w:r>
            <w:r>
              <w:rPr>
                <w:rFonts w:hint="default" w:ascii="Times New Roman" w:hAnsi="Times New Roman" w:eastAsia="宋体" w:cs="Times New Roman"/>
                <w:lang w:val="en-US" w:eastAsia="zh-CN"/>
              </w:rPr>
              <w:t>，主要作用是暂时储存疑</w:t>
            </w:r>
            <w:r>
              <w:rPr>
                <w:rFonts w:hint="default" w:ascii="Times New Roman" w:hAnsi="Times New Roman" w:cs="Times New Roman"/>
                <w:lang w:val="en-US" w:eastAsia="zh-CN"/>
              </w:rPr>
              <w:t>似</w:t>
            </w:r>
            <w:r>
              <w:rPr>
                <w:rFonts w:hint="default" w:ascii="Times New Roman" w:hAnsi="Times New Roman" w:eastAsia="宋体" w:cs="Times New Roman"/>
                <w:lang w:val="en-US" w:eastAsia="zh-CN"/>
              </w:rPr>
              <w:t>病猪，宰杀病猪；处置不可食用内脏、检疫废物以及产生的碎肉渣等固体废物。屠宰过程中产生的不可食用内脏、检疫废物以及产生的碎肉渣以及肢解分割后的病猪等，</w:t>
            </w:r>
            <w:r>
              <w:rPr>
                <w:rFonts w:hint="default" w:ascii="Times New Roman" w:hAnsi="Times New Roman" w:cs="Times New Roman"/>
                <w:lang w:val="en-US" w:eastAsia="zh-CN"/>
              </w:rPr>
              <w:t>送往无害化处理单位</w:t>
            </w:r>
            <w:r>
              <w:rPr>
                <w:rFonts w:hint="default" w:ascii="Times New Roman" w:hAnsi="Times New Roman" w:eastAsia="宋体" w:cs="Times New Roman"/>
                <w:lang w:val="en-US" w:eastAsia="zh-CN"/>
              </w:rPr>
              <w:t>按照《病害动物和病害动物产品生物安全处理规程》</w:t>
            </w:r>
            <w:r>
              <w:rPr>
                <w:rFonts w:hint="eastAsia" w:cs="Times New Roman"/>
                <w:lang w:val="en-US" w:eastAsia="zh-CN"/>
              </w:rPr>
              <w:t>（</w:t>
            </w:r>
            <w:r>
              <w:rPr>
                <w:rFonts w:hint="default" w:ascii="Times New Roman" w:hAnsi="Times New Roman" w:eastAsia="宋体" w:cs="Times New Roman"/>
                <w:lang w:val="en-US" w:eastAsia="zh-CN"/>
              </w:rPr>
              <w:t>GB16548-2006</w:t>
            </w:r>
            <w:r>
              <w:rPr>
                <w:rFonts w:hint="eastAsia" w:cs="Times New Roman"/>
                <w:lang w:val="en-US" w:eastAsia="zh-CN"/>
              </w:rPr>
              <w:t>）</w:t>
            </w:r>
            <w:r>
              <w:rPr>
                <w:rFonts w:hint="default" w:ascii="Times New Roman" w:hAnsi="Times New Roman" w:eastAsia="宋体" w:cs="Times New Roman"/>
                <w:lang w:val="en-US" w:eastAsia="zh-CN"/>
              </w:rPr>
              <w:t>规定进行无害化处理。</w:t>
            </w:r>
          </w:p>
          <w:p w14:paraId="70DC262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w:t>
            </w:r>
            <w:r>
              <w:rPr>
                <w:rFonts w:hint="default" w:ascii="Times New Roman" w:hAnsi="Times New Roman" w:cs="Times New Roman"/>
                <w:b/>
                <w:bCs/>
                <w:lang w:val="en-US" w:eastAsia="zh-CN"/>
              </w:rPr>
              <w:t>2</w:t>
            </w:r>
            <w:r>
              <w:rPr>
                <w:rFonts w:hint="default" w:ascii="Times New Roman" w:hAnsi="Times New Roman" w:eastAsia="宋体" w:cs="Times New Roman"/>
                <w:b/>
                <w:bCs/>
                <w:lang w:val="en-US" w:eastAsia="zh-CN"/>
              </w:rPr>
              <w:t>）产污环节</w:t>
            </w:r>
          </w:p>
          <w:p w14:paraId="0BD344C7">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根据对生产工艺流程、生产设备和原辅材料的分析，确定本项目</w:t>
            </w:r>
            <w:r>
              <w:rPr>
                <w:rFonts w:hint="default" w:ascii="Times New Roman" w:hAnsi="Times New Roman" w:eastAsia="宋体" w:cs="Times New Roman"/>
                <w:lang w:val="en-US" w:eastAsia="zh-CN"/>
              </w:rPr>
              <w:t>运营期主要污染物</w:t>
            </w:r>
            <w:r>
              <w:rPr>
                <w:rFonts w:hint="default" w:ascii="Times New Roman" w:hAnsi="Times New Roman" w:cs="Times New Roman"/>
                <w:lang w:val="en-US" w:eastAsia="zh-CN"/>
              </w:rPr>
              <w:t>如下：</w:t>
            </w:r>
          </w:p>
          <w:p w14:paraId="1C0769B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废水：屠宰废水和职工生活污水。</w:t>
            </w:r>
          </w:p>
          <w:p w14:paraId="3FABE610">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废气：待宰圈、屠宰车间、猪粪便和胃肠内容物发酵及污水处理产生的恶臭。</w:t>
            </w:r>
          </w:p>
          <w:p w14:paraId="05F578D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噪</w:t>
            </w:r>
            <w:r>
              <w:rPr>
                <w:rFonts w:hint="eastAsia" w:cs="Times New Roman"/>
                <w:lang w:val="en-US" w:eastAsia="zh-CN"/>
              </w:rPr>
              <w:t>声</w:t>
            </w:r>
            <w:r>
              <w:rPr>
                <w:rFonts w:hint="default" w:ascii="Times New Roman" w:hAnsi="Times New Roman" w:cs="Times New Roman"/>
                <w:lang w:val="en-US" w:eastAsia="zh-CN"/>
              </w:rPr>
              <w:t>：机械设备噪声、运输噪声及猪叫声等。</w:t>
            </w:r>
          </w:p>
          <w:p w14:paraId="29C6E2CC">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固废：主要为猪粪便、猪毛、病死猪、猪肠胃内容物及废弃物、污水处理产生的污泥以及职工生活垃圾等。</w:t>
            </w:r>
          </w:p>
          <w:p w14:paraId="75AD83C5">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lang w:val="en-US"/>
              </w:rPr>
            </w:pPr>
            <w:r>
              <w:rPr>
                <w:rFonts w:hint="default" w:ascii="Times New Roman" w:hAnsi="Times New Roman" w:eastAsia="宋体" w:cs="Times New Roman"/>
                <w:color w:val="000000"/>
                <w:kern w:val="0"/>
                <w:sz w:val="24"/>
                <w:szCs w:val="24"/>
                <w:lang w:val="en-US" w:eastAsia="zh-CN" w:bidi="ar"/>
              </w:rPr>
              <w:t>主要产污情况见下表</w:t>
            </w:r>
            <w:r>
              <w:rPr>
                <w:rFonts w:hint="default" w:ascii="Times New Roman" w:hAnsi="Times New Roman" w:cs="Times New Roman"/>
                <w:color w:val="000000"/>
                <w:kern w:val="0"/>
                <w:sz w:val="24"/>
                <w:szCs w:val="24"/>
                <w:lang w:val="en-US" w:eastAsia="zh-CN" w:bidi="ar"/>
              </w:rPr>
              <w:t>2-</w:t>
            </w:r>
            <w:r>
              <w:rPr>
                <w:rFonts w:hint="eastAsia" w:cs="Times New Roman"/>
                <w:color w:val="000000"/>
                <w:kern w:val="0"/>
                <w:sz w:val="24"/>
                <w:szCs w:val="24"/>
                <w:lang w:val="en-US" w:eastAsia="zh-CN" w:bidi="ar"/>
              </w:rPr>
              <w:t>8</w:t>
            </w:r>
            <w:r>
              <w:rPr>
                <w:rFonts w:hint="default" w:ascii="Times New Roman" w:hAnsi="Times New Roman" w:cs="Times New Roman"/>
                <w:color w:val="000000"/>
                <w:kern w:val="0"/>
                <w:sz w:val="24"/>
                <w:szCs w:val="24"/>
                <w:lang w:val="en-US" w:eastAsia="zh-CN" w:bidi="ar"/>
              </w:rPr>
              <w:t>：</w:t>
            </w:r>
          </w:p>
          <w:p w14:paraId="3FF7CA91">
            <w:pPr>
              <w:keepNext w:val="0"/>
              <w:keepLines w:val="0"/>
              <w:pageBreakBefore w:val="0"/>
              <w:widowControl/>
              <w:suppressLineNumbers w:val="0"/>
              <w:wordWrap/>
              <w:overflowPunct/>
              <w:spacing w:beforeAutospacing="0" w:afterAutospacing="0" w:line="360" w:lineRule="auto"/>
              <w:ind w:left="0" w:leftChars="0" w:right="0" w:firstLine="0" w:firstLineChars="0"/>
              <w:jc w:val="center"/>
              <w:rPr>
                <w:rFonts w:hint="default" w:ascii="Times New Roman" w:hAnsi="Times New Roman" w:cs="Times New Roman"/>
                <w:b/>
                <w:bCs/>
                <w:sz w:val="21"/>
                <w:szCs w:val="21"/>
              </w:rPr>
            </w:pPr>
            <w:r>
              <w:rPr>
                <w:rFonts w:hint="default" w:ascii="Times New Roman" w:hAnsi="Times New Roman" w:cs="Times New Roman"/>
                <w:b/>
                <w:bCs/>
                <w:color w:val="000000"/>
                <w:kern w:val="0"/>
                <w:sz w:val="21"/>
                <w:szCs w:val="21"/>
                <w:lang w:val="en-US" w:eastAsia="zh-CN" w:bidi="ar"/>
              </w:rPr>
              <w:t>表2-</w:t>
            </w:r>
            <w:r>
              <w:rPr>
                <w:rFonts w:hint="eastAsia" w:cs="Times New Roman"/>
                <w:b/>
                <w:bCs/>
                <w:color w:val="000000"/>
                <w:kern w:val="0"/>
                <w:sz w:val="21"/>
                <w:szCs w:val="21"/>
                <w:lang w:val="en-US" w:eastAsia="zh-CN" w:bidi="ar"/>
              </w:rPr>
              <w:t>8</w:t>
            </w:r>
            <w:r>
              <w:rPr>
                <w:rFonts w:hint="default" w:ascii="Times New Roman" w:hAnsi="Times New Roman" w:cs="Times New Roman"/>
                <w:b/>
                <w:bCs/>
                <w:color w:val="000000"/>
                <w:kern w:val="0"/>
                <w:sz w:val="21"/>
                <w:szCs w:val="21"/>
                <w:lang w:val="en-US" w:eastAsia="zh-CN" w:bidi="ar"/>
              </w:rPr>
              <w:t xml:space="preserve"> </w:t>
            </w:r>
            <w:r>
              <w:rPr>
                <w:rFonts w:hint="default" w:ascii="Times New Roman" w:hAnsi="Times New Roman" w:eastAsia="宋体" w:cs="Times New Roman"/>
                <w:b/>
                <w:bCs/>
                <w:color w:val="000000"/>
                <w:kern w:val="0"/>
                <w:sz w:val="21"/>
                <w:szCs w:val="21"/>
                <w:lang w:val="en-US" w:eastAsia="zh-CN" w:bidi="ar"/>
              </w:rPr>
              <w:t>本项目运营期主要产污环节</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0"/>
              <w:gridCol w:w="2896"/>
              <w:gridCol w:w="4427"/>
            </w:tblGrid>
            <w:tr w14:paraId="0A586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noWrap w:val="0"/>
                  <w:vAlign w:val="center"/>
                </w:tcPr>
                <w:p w14:paraId="771CBC8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类别</w:t>
                  </w:r>
                </w:p>
              </w:tc>
              <w:tc>
                <w:tcPr>
                  <w:tcW w:w="0" w:type="auto"/>
                  <w:noWrap w:val="0"/>
                  <w:vAlign w:val="center"/>
                </w:tcPr>
                <w:p w14:paraId="3CFABEC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产污环节</w:t>
                  </w:r>
                </w:p>
              </w:tc>
              <w:tc>
                <w:tcPr>
                  <w:tcW w:w="0" w:type="auto"/>
                  <w:noWrap w:val="0"/>
                  <w:vAlign w:val="center"/>
                </w:tcPr>
                <w:p w14:paraId="6CED3E3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污染因子</w:t>
                  </w:r>
                </w:p>
              </w:tc>
            </w:tr>
            <w:tr w14:paraId="04CAD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noWrap w:val="0"/>
                  <w:vAlign w:val="center"/>
                </w:tcPr>
                <w:p w14:paraId="5C25A2D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废气</w:t>
                  </w:r>
                </w:p>
              </w:tc>
              <w:tc>
                <w:tcPr>
                  <w:tcW w:w="0" w:type="auto"/>
                  <w:noWrap w:val="0"/>
                  <w:vAlign w:val="center"/>
                </w:tcPr>
                <w:p w14:paraId="1905B62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生猪屠宰、切割、排泄物分解</w:t>
                  </w:r>
                </w:p>
              </w:tc>
              <w:tc>
                <w:tcPr>
                  <w:tcW w:w="0" w:type="auto"/>
                  <w:noWrap w:val="0"/>
                  <w:vAlign w:val="center"/>
                </w:tcPr>
                <w:p w14:paraId="3482AAD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vertAlign w:val="baseline"/>
                      <w:lang w:val="en-US" w:eastAsia="zh-CN"/>
                    </w:rPr>
                    <w:t>H</w:t>
                  </w:r>
                  <w:r>
                    <w:rPr>
                      <w:rFonts w:hint="default" w:ascii="Times New Roman" w:hAnsi="Times New Roman" w:eastAsia="宋体" w:cs="Times New Roman"/>
                      <w:sz w:val="21"/>
                      <w:szCs w:val="21"/>
                      <w:vertAlign w:val="subscript"/>
                      <w:lang w:val="en-US" w:eastAsia="zh-CN"/>
                    </w:rPr>
                    <w:t>2</w:t>
                  </w:r>
                  <w:r>
                    <w:rPr>
                      <w:rFonts w:hint="default" w:ascii="Times New Roman" w:hAnsi="Times New Roman" w:eastAsia="宋体" w:cs="Times New Roman"/>
                      <w:sz w:val="21"/>
                      <w:szCs w:val="21"/>
                      <w:vertAlign w:val="baseline"/>
                      <w:lang w:val="en-US" w:eastAsia="zh-CN"/>
                    </w:rPr>
                    <w:t>S</w:t>
                  </w:r>
                  <w:r>
                    <w:rPr>
                      <w:rFonts w:hint="default" w:ascii="Times New Roman" w:hAnsi="Times New Roman" w:cs="Times New Roman"/>
                      <w:sz w:val="21"/>
                      <w:szCs w:val="21"/>
                      <w:vertAlign w:val="baseline"/>
                      <w:lang w:val="en-US" w:eastAsia="zh-CN"/>
                    </w:rPr>
                    <w:t>、臭气浓度</w:t>
                  </w:r>
                </w:p>
              </w:tc>
            </w:tr>
            <w:tr w14:paraId="25D8A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0" w:type="auto"/>
                  <w:vMerge w:val="restart"/>
                  <w:noWrap w:val="0"/>
                  <w:vAlign w:val="center"/>
                </w:tcPr>
                <w:p w14:paraId="3F92B60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废水</w:t>
                  </w:r>
                </w:p>
              </w:tc>
              <w:tc>
                <w:tcPr>
                  <w:tcW w:w="0" w:type="auto"/>
                  <w:noWrap w:val="0"/>
                  <w:vAlign w:val="center"/>
                </w:tcPr>
                <w:p w14:paraId="580E438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生活污水</w:t>
                  </w:r>
                </w:p>
              </w:tc>
              <w:tc>
                <w:tcPr>
                  <w:tcW w:w="0" w:type="auto"/>
                  <w:noWrap w:val="0"/>
                  <w:vAlign w:val="center"/>
                </w:tcPr>
                <w:p w14:paraId="5BD3734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COD、BOD</w:t>
                  </w:r>
                  <w:r>
                    <w:rPr>
                      <w:rFonts w:hint="default" w:ascii="Times New Roman" w:hAnsi="Times New Roman" w:eastAsia="宋体" w:cs="Times New Roman"/>
                      <w:sz w:val="21"/>
                      <w:szCs w:val="21"/>
                      <w:vertAlign w:val="subscript"/>
                      <w:lang w:val="en-US" w:eastAsia="zh-CN"/>
                    </w:rPr>
                    <w:t>5</w:t>
                  </w:r>
                  <w:r>
                    <w:rPr>
                      <w:rFonts w:hint="default" w:ascii="Times New Roman" w:hAnsi="Times New Roman" w:eastAsia="宋体" w:cs="Times New Roman"/>
                      <w:sz w:val="21"/>
                      <w:szCs w:val="21"/>
                      <w:vertAlign w:val="baseline"/>
                      <w:lang w:val="en-US" w:eastAsia="zh-CN"/>
                    </w:rPr>
                    <w:t>、SS、NH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vertAlign w:val="baseline"/>
                      <w:lang w:val="en-US" w:eastAsia="zh-CN"/>
                    </w:rPr>
                    <w:t>-N</w:t>
                  </w:r>
                </w:p>
              </w:tc>
            </w:tr>
            <w:tr w14:paraId="521DC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noWrap w:val="0"/>
                  <w:vAlign w:val="center"/>
                </w:tcPr>
                <w:p w14:paraId="3AD108E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rPr>
                  </w:pPr>
                </w:p>
              </w:tc>
              <w:tc>
                <w:tcPr>
                  <w:tcW w:w="0" w:type="auto"/>
                  <w:noWrap w:val="0"/>
                  <w:vAlign w:val="center"/>
                </w:tcPr>
                <w:p w14:paraId="1CF406A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屠宰、清洗、切割、内脏处理等环节产生的生产废水</w:t>
                  </w:r>
                </w:p>
              </w:tc>
              <w:tc>
                <w:tcPr>
                  <w:tcW w:w="0" w:type="auto"/>
                  <w:noWrap w:val="0"/>
                  <w:vAlign w:val="center"/>
                </w:tcPr>
                <w:p w14:paraId="2139F55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COD、BOD</w:t>
                  </w:r>
                  <w:r>
                    <w:rPr>
                      <w:rFonts w:hint="default" w:ascii="Times New Roman" w:hAnsi="Times New Roman" w:eastAsia="宋体" w:cs="Times New Roman"/>
                      <w:sz w:val="21"/>
                      <w:szCs w:val="21"/>
                      <w:vertAlign w:val="subscript"/>
                      <w:lang w:val="en-US" w:eastAsia="zh-CN"/>
                    </w:rPr>
                    <w:t>5</w:t>
                  </w:r>
                  <w:r>
                    <w:rPr>
                      <w:rFonts w:hint="default" w:ascii="Times New Roman" w:hAnsi="Times New Roman" w:eastAsia="宋体" w:cs="Times New Roman"/>
                      <w:sz w:val="21"/>
                      <w:szCs w:val="21"/>
                      <w:vertAlign w:val="baseline"/>
                      <w:lang w:val="en-US" w:eastAsia="zh-CN"/>
                    </w:rPr>
                    <w:t>、SS、NH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vertAlign w:val="baseline"/>
                      <w:lang w:val="en-US" w:eastAsia="zh-CN"/>
                    </w:rPr>
                    <w:t>-N、动植物油、TN、TP、大肠菌群、病原微生物</w:t>
                  </w:r>
                </w:p>
              </w:tc>
            </w:tr>
            <w:tr w14:paraId="62BA5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noWrap w:val="0"/>
                  <w:vAlign w:val="center"/>
                </w:tcPr>
                <w:p w14:paraId="629D15C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噪声</w:t>
                  </w:r>
                </w:p>
              </w:tc>
              <w:tc>
                <w:tcPr>
                  <w:tcW w:w="0" w:type="auto"/>
                  <w:noWrap w:val="0"/>
                  <w:vAlign w:val="center"/>
                </w:tcPr>
                <w:p w14:paraId="1A152D3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生产设备、动物叫声、通风系统、污水处理设施机械运行等</w:t>
                  </w:r>
                </w:p>
              </w:tc>
              <w:tc>
                <w:tcPr>
                  <w:tcW w:w="0" w:type="auto"/>
                  <w:noWrap w:val="0"/>
                  <w:vAlign w:val="center"/>
                </w:tcPr>
                <w:p w14:paraId="4A2F0ED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L</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Aeq</w:t>
                  </w:r>
                </w:p>
              </w:tc>
            </w:tr>
            <w:tr w14:paraId="5F9E9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noWrap w:val="0"/>
                  <w:vAlign w:val="center"/>
                </w:tcPr>
                <w:p w14:paraId="3A96489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固废</w:t>
                  </w:r>
                </w:p>
              </w:tc>
              <w:tc>
                <w:tcPr>
                  <w:tcW w:w="0" w:type="auto"/>
                  <w:noWrap w:val="0"/>
                  <w:vAlign w:val="center"/>
                </w:tcPr>
                <w:p w14:paraId="059E8CE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待宰产生固废、生猪屠宰、清洗、切割、污水处理</w:t>
                  </w:r>
                </w:p>
              </w:tc>
              <w:tc>
                <w:tcPr>
                  <w:tcW w:w="0" w:type="auto"/>
                  <w:noWrap w:val="0"/>
                  <w:vAlign w:val="center"/>
                </w:tcPr>
                <w:p w14:paraId="445804B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动物尸体、内脏、骨头、毛发、病猪与未通过检疫的病害猪肉、栅渣、污水处理产出的污泥</w:t>
                  </w:r>
                </w:p>
              </w:tc>
            </w:tr>
          </w:tbl>
          <w:p w14:paraId="0C0B456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eastAsia="宋体" w:cs="Times New Roman"/>
                <w:vertAlign w:val="baseline"/>
                <w:lang w:val="en-US" w:eastAsia="zh-CN"/>
              </w:rPr>
            </w:pPr>
          </w:p>
        </w:tc>
      </w:tr>
      <w:tr w14:paraId="7A411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 w:type="dxa"/>
            <w:noWrap w:val="0"/>
            <w:vAlign w:val="center"/>
          </w:tcPr>
          <w:p w14:paraId="50392EC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cs="Times New Roman"/>
                <w:vertAlign w:val="baseline"/>
              </w:rPr>
            </w:pPr>
            <w:r>
              <w:rPr>
                <w:rFonts w:hint="default" w:ascii="Times New Roman" w:hAnsi="Times New Roman" w:cs="Times New Roman"/>
                <w:u w:val="none"/>
                <w:lang w:val="en-US" w:eastAsia="zh-CN"/>
              </w:rPr>
              <w:t>与项目有关的原有环境污染问题</w:t>
            </w:r>
          </w:p>
        </w:tc>
        <w:tc>
          <w:tcPr>
            <w:tcW w:w="8073" w:type="dxa"/>
            <w:noWrap w:val="0"/>
            <w:vAlign w:val="top"/>
          </w:tcPr>
          <w:p w14:paraId="2C41855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本项目为新建项目，厂房选址位于城镇开发边界区外，位于村庄建设区，项目评价范围内没有自然保护区、生态脆弱区等特殊环境敏感目标，不存在本项目有关原有污染及有关环境问题，该项目为农村生态类型，无需要特殊保护的野生动、植物。</w:t>
            </w:r>
          </w:p>
          <w:p w14:paraId="20FC6F7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本项目西南侧</w:t>
            </w:r>
            <w:r>
              <w:rPr>
                <w:rFonts w:hint="eastAsia" w:cs="Times New Roman"/>
                <w:vertAlign w:val="baseline"/>
                <w:lang w:val="en-US" w:eastAsia="zh-CN"/>
              </w:rPr>
              <w:t>120</w:t>
            </w:r>
            <w:r>
              <w:rPr>
                <w:rFonts w:hint="default" w:ascii="Times New Roman" w:hAnsi="Times New Roman" w:cs="Times New Roman"/>
                <w:vertAlign w:val="baseline"/>
                <w:lang w:val="en-US" w:eastAsia="zh-CN"/>
              </w:rPr>
              <w:t>米处有一</w:t>
            </w:r>
            <w:r>
              <w:rPr>
                <w:rFonts w:hint="eastAsia" w:cs="Times New Roman"/>
                <w:vertAlign w:val="baseline"/>
                <w:lang w:val="en-US" w:eastAsia="zh-CN"/>
              </w:rPr>
              <w:t>座</w:t>
            </w:r>
            <w:r>
              <w:rPr>
                <w:rFonts w:hint="default" w:ascii="Times New Roman" w:hAnsi="Times New Roman" w:cs="Times New Roman"/>
                <w:vertAlign w:val="baseline"/>
                <w:lang w:val="en-US" w:eastAsia="zh-CN"/>
              </w:rPr>
              <w:t>垃圾中转站，</w:t>
            </w:r>
            <w:r>
              <w:rPr>
                <w:rFonts w:hint="eastAsia" w:cs="Times New Roman"/>
                <w:vertAlign w:val="baseline"/>
                <w:lang w:val="en-US" w:eastAsia="zh-CN"/>
              </w:rPr>
              <w:t>中间有植被和山体阻断，</w:t>
            </w:r>
            <w:r>
              <w:rPr>
                <w:rFonts w:hint="default" w:ascii="Times New Roman" w:hAnsi="Times New Roman" w:cs="Times New Roman"/>
                <w:vertAlign w:val="baseline"/>
                <w:lang w:val="en-US" w:eastAsia="zh-CN"/>
              </w:rPr>
              <w:t>可能会对本项目造成以下影响：</w:t>
            </w:r>
          </w:p>
          <w:p w14:paraId="7788B4C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eastAsia="宋体" w:cs="Times New Roman"/>
                <w:vertAlign w:val="baseline"/>
                <w:lang w:val="en-US" w:eastAsia="zh-CN"/>
              </w:rPr>
              <w:t>①</w:t>
            </w:r>
            <w:r>
              <w:rPr>
                <w:rFonts w:hint="default" w:ascii="Times New Roman" w:hAnsi="Times New Roman" w:cs="Times New Roman"/>
                <w:vertAlign w:val="baseline"/>
                <w:lang w:val="en-US" w:eastAsia="zh-CN"/>
              </w:rPr>
              <w:t>废气与异味扩散。</w:t>
            </w:r>
          </w:p>
          <w:p w14:paraId="014060C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垃圾中转站产生的H</w:t>
            </w:r>
            <w:r>
              <w:rPr>
                <w:rFonts w:hint="default" w:ascii="Times New Roman" w:hAnsi="Times New Roman" w:cs="Times New Roman"/>
                <w:vertAlign w:val="subscript"/>
                <w:lang w:val="en-US" w:eastAsia="zh-CN"/>
              </w:rPr>
              <w:t>2</w:t>
            </w:r>
            <w:r>
              <w:rPr>
                <w:rFonts w:hint="default" w:ascii="Times New Roman" w:hAnsi="Times New Roman" w:cs="Times New Roman"/>
                <w:vertAlign w:val="baseline"/>
                <w:lang w:val="en-US" w:eastAsia="zh-CN"/>
              </w:rPr>
              <w:t>S、NH</w:t>
            </w:r>
            <w:r>
              <w:rPr>
                <w:rFonts w:hint="default" w:ascii="Times New Roman" w:hAnsi="Times New Roman" w:cs="Times New Roman"/>
                <w:vertAlign w:val="subscript"/>
                <w:lang w:val="en-US" w:eastAsia="zh-CN"/>
              </w:rPr>
              <w:t>3</w:t>
            </w:r>
            <w:r>
              <w:rPr>
                <w:rFonts w:hint="default" w:ascii="Times New Roman" w:hAnsi="Times New Roman" w:cs="Times New Roman"/>
                <w:vertAlign w:val="baseline"/>
                <w:lang w:val="en-US" w:eastAsia="zh-CN"/>
              </w:rPr>
              <w:t>等恶臭气体，若未经有效处理，可能扩散到屠宰场区域，加剧屠宰场本身的异味问题。屠宰场在加工过程中也会释放类似气体，两者叠加可能对周边空气质量造成更大压力。</w:t>
            </w:r>
          </w:p>
          <w:p w14:paraId="5D621C3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eastAsia="宋体" w:cs="Times New Roman"/>
                <w:vertAlign w:val="baseline"/>
                <w:lang w:val="en-US" w:eastAsia="zh-CN"/>
              </w:rPr>
              <w:t>②</w:t>
            </w:r>
            <w:r>
              <w:rPr>
                <w:rFonts w:hint="default" w:ascii="Times New Roman" w:hAnsi="Times New Roman" w:cs="Times New Roman"/>
                <w:vertAlign w:val="baseline"/>
                <w:lang w:val="en-US" w:eastAsia="zh-CN"/>
              </w:rPr>
              <w:t>废水与污水交互影响</w:t>
            </w:r>
          </w:p>
          <w:p w14:paraId="1045232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屠宰场产生的废水（如血水、油脂污水）需经严格处理 ，若与垃圾中转站的渗透液混合，可能增加污水处理难度，导致污染物超标排放。</w:t>
            </w:r>
          </w:p>
          <w:p w14:paraId="68DBC3A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eastAsia="宋体" w:cs="Times New Roman"/>
                <w:vertAlign w:val="baseline"/>
                <w:lang w:val="en-US" w:eastAsia="zh-CN"/>
              </w:rPr>
              <w:t>③</w:t>
            </w:r>
            <w:r>
              <w:rPr>
                <w:rFonts w:hint="default" w:ascii="Times New Roman" w:hAnsi="Times New Roman" w:cs="Times New Roman"/>
                <w:vertAlign w:val="baseline"/>
                <w:lang w:val="en-US" w:eastAsia="zh-CN"/>
              </w:rPr>
              <w:t>固体废弃物二点交叉处理风险</w:t>
            </w:r>
          </w:p>
          <w:p w14:paraId="30DA6B9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屠宰场产生的动物内脏、碎肉等有机废弃物若与垃圾中转站的混合垃圾混合处理，可能增加病原体传播风险，尤其是当两者均未实现分类处理时。</w:t>
            </w:r>
          </w:p>
          <w:p w14:paraId="5450416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eastAsia="宋体" w:cs="Times New Roman"/>
                <w:vertAlign w:val="baseline"/>
                <w:lang w:val="en-US" w:eastAsia="zh-CN"/>
              </w:rPr>
              <w:t>④</w:t>
            </w:r>
            <w:r>
              <w:rPr>
                <w:rFonts w:hint="default" w:ascii="Times New Roman" w:hAnsi="Times New Roman" w:cs="Times New Roman"/>
                <w:vertAlign w:val="baseline"/>
                <w:lang w:val="en-US" w:eastAsia="zh-CN"/>
              </w:rPr>
              <w:t>动物疫病传播隐患</w:t>
            </w:r>
          </w:p>
          <w:p w14:paraId="2EB47BF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垃圾中转站可能成为蚊蝇、啮齿类动物的滋生地，这些生物可能携带病原体进入屠宰场，威胁动物健康，垃圾中的腐败物质未及时清理，可能成为疫病传播的媒介。</w:t>
            </w:r>
          </w:p>
          <w:p w14:paraId="4A0E4D5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应对防范措施：</w:t>
            </w:r>
          </w:p>
          <w:p w14:paraId="1AAB33A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①</w:t>
            </w:r>
            <w:r>
              <w:rPr>
                <w:rFonts w:hint="default" w:ascii="Times New Roman" w:hAnsi="Times New Roman" w:cs="Times New Roman"/>
                <w:sz w:val="24"/>
                <w:szCs w:val="24"/>
                <w:vertAlign w:val="baseline"/>
                <w:lang w:val="en-US" w:eastAsia="zh-CN"/>
              </w:rPr>
              <w:t>调整屠宰工业布局，使生产车间、产品储存尽量远离垃圾站一侧。</w:t>
            </w:r>
          </w:p>
          <w:p w14:paraId="5905005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②</w:t>
            </w:r>
            <w:r>
              <w:rPr>
                <w:rFonts w:hint="default" w:ascii="Times New Roman" w:hAnsi="Times New Roman" w:cs="Times New Roman"/>
                <w:sz w:val="24"/>
                <w:szCs w:val="24"/>
                <w:vertAlign w:val="baseline"/>
                <w:lang w:val="en-US" w:eastAsia="zh-CN"/>
              </w:rPr>
              <w:t>垃圾中转站位于本项目清洁区的下风向</w:t>
            </w:r>
            <w:r>
              <w:rPr>
                <w:rFonts w:hint="default" w:ascii="Times New Roman" w:hAnsi="Times New Roman" w:eastAsia="宋体" w:cs="Times New Roman"/>
                <w:sz w:val="24"/>
                <w:szCs w:val="24"/>
                <w:vertAlign w:val="baseline"/>
                <w:lang w:val="en-US" w:eastAsia="zh-CN"/>
              </w:rPr>
              <w:t>，</w:t>
            </w:r>
            <w:r>
              <w:rPr>
                <w:rFonts w:hint="default" w:ascii="Times New Roman" w:hAnsi="Times New Roman" w:cs="Times New Roman"/>
                <w:sz w:val="24"/>
                <w:szCs w:val="24"/>
                <w:vertAlign w:val="baseline"/>
                <w:lang w:val="en-US" w:eastAsia="zh-CN"/>
              </w:rPr>
              <w:t>垃圾中转站异味难进入，仍需做好防范措施，保证厂区风向从清洁区到污染区单向流动，减小风险</w:t>
            </w:r>
            <w:r>
              <w:rPr>
                <w:rFonts w:hint="default" w:ascii="Times New Roman" w:hAnsi="Times New Roman" w:eastAsia="宋体" w:cs="Times New Roman"/>
                <w:sz w:val="24"/>
                <w:szCs w:val="24"/>
                <w:vertAlign w:val="baseline"/>
                <w:lang w:val="en-US" w:eastAsia="zh-CN"/>
              </w:rPr>
              <w:t>。</w:t>
            </w:r>
          </w:p>
          <w:p w14:paraId="7E5202F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0" w:firstLineChars="0"/>
              <w:textAlignment w:val="auto"/>
              <w:rPr>
                <w:rFonts w:hint="default" w:ascii="Times New Roman" w:hAnsi="Times New Roman" w:cs="Times New Roman"/>
                <w:lang w:val="en-US" w:eastAsia="zh-CN"/>
              </w:rPr>
            </w:pPr>
            <w:r>
              <w:rPr>
                <w:rFonts w:hint="default" w:ascii="Times New Roman" w:hAnsi="Times New Roman" w:eastAsia="宋体" w:cs="Times New Roman"/>
                <w:sz w:val="24"/>
                <w:szCs w:val="24"/>
                <w:vertAlign w:val="baseline"/>
                <w:lang w:val="en-US" w:eastAsia="zh-CN"/>
              </w:rPr>
              <w:t>③在厂区靠近垃圾中转站的一侧种植高大乔木，设置物理阻挡墙。</w:t>
            </w:r>
            <w:r>
              <w:rPr>
                <w:rFonts w:hint="default" w:ascii="Times New Roman" w:hAnsi="Times New Roman" w:eastAsia="宋体" w:cs="Times New Roman"/>
                <w:sz w:val="24"/>
                <w:szCs w:val="24"/>
                <w:vertAlign w:val="baseline"/>
                <w:lang w:val="en-US" w:eastAsia="zh-CN"/>
              </w:rPr>
              <w:br w:type="textWrapping"/>
            </w:r>
            <w:r>
              <w:rPr>
                <w:rFonts w:hint="default" w:ascii="Times New Roman" w:hAnsi="Times New Roman" w:cs="Times New Roman"/>
                <w:sz w:val="24"/>
                <w:szCs w:val="24"/>
                <w:vertAlign w:val="baseline"/>
                <w:lang w:val="en-US" w:eastAsia="zh-CN"/>
              </w:rPr>
              <w:t>在落实以上措施的基础上，垃圾中转站对本项目影响较小。</w:t>
            </w:r>
          </w:p>
        </w:tc>
      </w:tr>
    </w:tbl>
    <w:p w14:paraId="41D9F288">
      <w:pPr>
        <w:pageBreakBefore w:val="0"/>
        <w:wordWrap/>
        <w:overflowPunct/>
        <w:spacing w:beforeAutospacing="0" w:afterAutospacing="0" w:line="360" w:lineRule="auto"/>
        <w:ind w:left="0" w:leftChars="0" w:right="0"/>
        <w:rPr>
          <w:rFonts w:hint="default" w:ascii="Times New Roman" w:hAnsi="Times New Roman" w:cs="Times New Roman"/>
          <w:lang w:val="en-US" w:eastAsia="zh-CN"/>
        </w:rPr>
      </w:pPr>
      <w:r>
        <w:rPr>
          <w:rFonts w:hint="default" w:ascii="Times New Roman" w:hAnsi="Times New Roman" w:cs="Times New Roman"/>
          <w:lang w:val="en-US" w:eastAsia="zh-CN"/>
        </w:rPr>
        <w:br w:type="page"/>
      </w:r>
    </w:p>
    <w:p w14:paraId="67F78380">
      <w:pPr>
        <w:pStyle w:val="2"/>
        <w:keepNext/>
        <w:keepLines/>
        <w:pageBreakBefore w:val="0"/>
        <w:widowControl w:val="0"/>
        <w:kinsoku/>
        <w:wordWrap/>
        <w:overflowPunct/>
        <w:topLinePunct w:val="0"/>
        <w:autoSpaceDE/>
        <w:autoSpaceDN/>
        <w:bidi w:val="0"/>
        <w:adjustRightInd/>
        <w:snapToGrid/>
        <w:spacing w:beforeAutospacing="0" w:afterAutospacing="0" w:line="360" w:lineRule="auto"/>
        <w:ind w:left="0" w:leftChars="0" w:right="0"/>
        <w:textAlignment w:val="auto"/>
        <w:outlineLvl w:val="0"/>
        <w:rPr>
          <w:rFonts w:hint="default" w:ascii="Times New Roman" w:hAnsi="Times New Roman" w:cs="Times New Roman"/>
        </w:rPr>
      </w:pPr>
      <w:bookmarkStart w:id="11" w:name="_Toc7597"/>
      <w:bookmarkStart w:id="12" w:name="_Toc2161"/>
      <w:bookmarkStart w:id="13" w:name="_Toc13868"/>
      <w:r>
        <w:rPr>
          <w:rFonts w:hint="default" w:ascii="Times New Roman" w:hAnsi="Times New Roman" w:cs="Times New Roman"/>
          <w:lang w:val="en-US" w:eastAsia="zh-CN"/>
        </w:rPr>
        <w:t>三、区域环境质量现状、环境保护目标及评价标准</w:t>
      </w:r>
      <w:bookmarkEnd w:id="11"/>
      <w:bookmarkEnd w:id="12"/>
      <w:bookmarkEnd w:id="13"/>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7849"/>
      </w:tblGrid>
      <w:tr w14:paraId="2EDEB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noWrap w:val="0"/>
            <w:vAlign w:val="center"/>
          </w:tcPr>
          <w:p w14:paraId="110F4AC1">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eastAsia="宋体" w:cs="Times New Roman"/>
                <w:vertAlign w:val="baseline"/>
                <w:lang w:val="en-US" w:eastAsia="zh-CN"/>
              </w:rPr>
            </w:pPr>
            <w:r>
              <w:rPr>
                <w:rFonts w:hint="default" w:ascii="Times New Roman" w:hAnsi="Times New Roman" w:cs="Times New Roman"/>
                <w:vertAlign w:val="baseline"/>
                <w:lang w:val="en-US" w:eastAsia="zh-CN"/>
              </w:rPr>
              <w:t>区域环境质量现状</w:t>
            </w:r>
          </w:p>
        </w:tc>
        <w:tc>
          <w:tcPr>
            <w:tcW w:w="7849" w:type="dxa"/>
            <w:noWrap w:val="0"/>
            <w:vAlign w:val="top"/>
          </w:tcPr>
          <w:p w14:paraId="733627A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1、环境空气质量现状</w:t>
            </w:r>
          </w:p>
          <w:p w14:paraId="74FBBA3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cs="Times New Roman"/>
                <w:b/>
                <w:bCs/>
                <w:color w:val="000000"/>
                <w:kern w:val="0"/>
                <w:sz w:val="24"/>
                <w:szCs w:val="24"/>
                <w:lang w:val="en-US" w:eastAsia="zh-CN" w:bidi="ar"/>
              </w:rPr>
            </w:pPr>
            <w:r>
              <w:rPr>
                <w:rFonts w:hint="default" w:ascii="Times New Roman" w:hAnsi="Times New Roman" w:cs="Times New Roman"/>
                <w:b/>
                <w:bCs/>
                <w:color w:val="000000"/>
                <w:kern w:val="0"/>
                <w:sz w:val="24"/>
                <w:szCs w:val="24"/>
                <w:lang w:val="en-US" w:eastAsia="zh-CN" w:bidi="ar"/>
              </w:rPr>
              <w:t>（1）常规污染因子</w:t>
            </w:r>
          </w:p>
          <w:p w14:paraId="23CA985B">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kern w:val="0"/>
                <w:sz w:val="24"/>
              </w:rPr>
            </w:pPr>
            <w:r>
              <w:rPr>
                <w:rFonts w:hint="default" w:ascii="Times New Roman" w:hAnsi="Times New Roman" w:cs="Times New Roman"/>
                <w:kern w:val="0"/>
                <w:sz w:val="24"/>
                <w:lang w:val="en-US" w:eastAsia="zh-CN"/>
              </w:rPr>
              <w:t>根据《建设项目环境影响报告表编制技术指南》（2021年），常规污染物引用与建设项目距离近的有效数据，包括近3年的规划环境影响评价的监测数据，国家、地方环境空气质量监测网数据或生态环境主管部门公开发布的质量数据等。</w:t>
            </w:r>
          </w:p>
          <w:p w14:paraId="109FAD4A">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kern w:val="0"/>
                <w:sz w:val="24"/>
              </w:rPr>
            </w:pPr>
            <w:r>
              <w:rPr>
                <w:rFonts w:hint="default" w:ascii="Times New Roman" w:hAnsi="Times New Roman" w:cs="Times New Roman"/>
                <w:kern w:val="0"/>
                <w:sz w:val="24"/>
              </w:rPr>
              <w:t>根据衡阳市生态环境局《关于202</w:t>
            </w:r>
            <w:r>
              <w:rPr>
                <w:rFonts w:hint="default" w:ascii="Times New Roman" w:hAnsi="Times New Roman" w:cs="Times New Roman"/>
                <w:kern w:val="0"/>
                <w:sz w:val="24"/>
                <w:lang w:val="en-US" w:eastAsia="zh-CN"/>
              </w:rPr>
              <w:t>4</w:t>
            </w:r>
            <w:r>
              <w:rPr>
                <w:rFonts w:hint="default" w:ascii="Times New Roman" w:hAnsi="Times New Roman" w:cs="Times New Roman"/>
                <w:kern w:val="0"/>
                <w:sz w:val="24"/>
              </w:rPr>
              <w:t>年12月及1~12月全市环境质量状况的通报》中相关数据进行判定，其判定结果如下：</w:t>
            </w:r>
          </w:p>
          <w:p w14:paraId="7CB6703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表3-1</w:t>
            </w:r>
            <w:r>
              <w:rPr>
                <w:rFonts w:hint="default" w:ascii="Times New Roman" w:hAnsi="Times New Roman" w:cs="Times New Roman"/>
                <w:b/>
                <w:bCs/>
                <w:kern w:val="0"/>
                <w:sz w:val="21"/>
                <w:szCs w:val="21"/>
                <w:lang w:val="en-US" w:eastAsia="zh-CN"/>
              </w:rPr>
              <w:t xml:space="preserve"> </w:t>
            </w:r>
            <w:r>
              <w:rPr>
                <w:rFonts w:hint="default" w:ascii="Times New Roman" w:hAnsi="Times New Roman" w:cs="Times New Roman"/>
                <w:b/>
                <w:bCs/>
                <w:kern w:val="0"/>
                <w:sz w:val="21"/>
                <w:szCs w:val="21"/>
              </w:rPr>
              <w:t>区域空气质量现状评价表（单位：μg/m3）</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883"/>
              <w:gridCol w:w="1669"/>
              <w:gridCol w:w="1579"/>
              <w:gridCol w:w="1580"/>
              <w:gridCol w:w="1086"/>
              <w:gridCol w:w="803"/>
            </w:tblGrid>
            <w:tr w14:paraId="2CA64FE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PrEx>
              <w:trPr>
                <w:trHeight w:val="454" w:hRule="atLeast"/>
              </w:trPr>
              <w:tc>
                <w:tcPr>
                  <w:tcW w:w="581" w:type="pct"/>
                  <w:tcBorders>
                    <w:tl2br w:val="nil"/>
                    <w:tr2bl w:val="nil"/>
                  </w:tcBorders>
                  <w:noWrap w:val="0"/>
                  <w:vAlign w:val="center"/>
                </w:tcPr>
                <w:p w14:paraId="5AA2786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序号</w:t>
                  </w:r>
                </w:p>
              </w:tc>
              <w:tc>
                <w:tcPr>
                  <w:tcW w:w="1097" w:type="pct"/>
                  <w:tcBorders>
                    <w:tl2br w:val="nil"/>
                    <w:tr2bl w:val="nil"/>
                  </w:tcBorders>
                  <w:noWrap w:val="0"/>
                  <w:vAlign w:val="center"/>
                </w:tcPr>
                <w:p w14:paraId="74155E3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年评价指标</w:t>
                  </w:r>
                </w:p>
              </w:tc>
              <w:tc>
                <w:tcPr>
                  <w:tcW w:w="1038" w:type="pct"/>
                  <w:tcBorders>
                    <w:tl2br w:val="nil"/>
                    <w:tr2bl w:val="nil"/>
                  </w:tcBorders>
                  <w:noWrap w:val="0"/>
                  <w:vAlign w:val="center"/>
                </w:tcPr>
                <w:p w14:paraId="4CE0AE6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现状值</w:t>
                  </w:r>
                </w:p>
              </w:tc>
              <w:tc>
                <w:tcPr>
                  <w:tcW w:w="1039" w:type="pct"/>
                  <w:tcBorders>
                    <w:tl2br w:val="nil"/>
                    <w:tr2bl w:val="nil"/>
                  </w:tcBorders>
                  <w:noWrap w:val="0"/>
                  <w:vAlign w:val="center"/>
                </w:tcPr>
                <w:p w14:paraId="251EC97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标准值</w:t>
                  </w:r>
                </w:p>
              </w:tc>
              <w:tc>
                <w:tcPr>
                  <w:tcW w:w="714" w:type="pct"/>
                  <w:tcBorders>
                    <w:tl2br w:val="nil"/>
                    <w:tr2bl w:val="nil"/>
                  </w:tcBorders>
                  <w:noWrap w:val="0"/>
                  <w:vAlign w:val="center"/>
                </w:tcPr>
                <w:p w14:paraId="6CB7FF7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占标率</w:t>
                  </w:r>
                </w:p>
                <w:p w14:paraId="3EA2FCC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w:t>
                  </w:r>
                </w:p>
              </w:tc>
              <w:tc>
                <w:tcPr>
                  <w:tcW w:w="528" w:type="pct"/>
                  <w:tcBorders>
                    <w:tl2br w:val="nil"/>
                    <w:tr2bl w:val="nil"/>
                  </w:tcBorders>
                  <w:noWrap w:val="0"/>
                  <w:vAlign w:val="center"/>
                </w:tcPr>
                <w:p w14:paraId="7FED428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b/>
                      <w:bCs/>
                      <w:kern w:val="0"/>
                      <w:sz w:val="21"/>
                      <w:szCs w:val="21"/>
                    </w:rPr>
                  </w:pPr>
                  <w:r>
                    <w:rPr>
                      <w:rFonts w:hint="default" w:ascii="Times New Roman" w:hAnsi="Times New Roman" w:cs="Times New Roman"/>
                      <w:b/>
                      <w:bCs/>
                      <w:kern w:val="0"/>
                      <w:sz w:val="21"/>
                      <w:szCs w:val="21"/>
                    </w:rPr>
                    <w:t>是否达标</w:t>
                  </w:r>
                </w:p>
              </w:tc>
            </w:tr>
            <w:tr w14:paraId="3934FFA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1" w:type="pct"/>
                  <w:tcBorders>
                    <w:tl2br w:val="nil"/>
                    <w:tr2bl w:val="nil"/>
                  </w:tcBorders>
                  <w:noWrap w:val="0"/>
                  <w:vAlign w:val="center"/>
                </w:tcPr>
                <w:p w14:paraId="4079922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PM</w:t>
                  </w:r>
                  <w:r>
                    <w:rPr>
                      <w:rFonts w:hint="default" w:ascii="Times New Roman" w:hAnsi="Times New Roman" w:cs="Times New Roman"/>
                      <w:kern w:val="0"/>
                      <w:sz w:val="21"/>
                      <w:szCs w:val="21"/>
                      <w:vertAlign w:val="subscript"/>
                    </w:rPr>
                    <w:t>10</w:t>
                  </w:r>
                </w:p>
              </w:tc>
              <w:tc>
                <w:tcPr>
                  <w:tcW w:w="1097" w:type="pct"/>
                  <w:tcBorders>
                    <w:tl2br w:val="nil"/>
                    <w:tr2bl w:val="nil"/>
                  </w:tcBorders>
                  <w:noWrap w:val="0"/>
                  <w:vAlign w:val="center"/>
                </w:tcPr>
                <w:p w14:paraId="77A1752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年平均质量浓度</w:t>
                  </w:r>
                </w:p>
              </w:tc>
              <w:tc>
                <w:tcPr>
                  <w:tcW w:w="1038" w:type="pct"/>
                  <w:tcBorders>
                    <w:tl2br w:val="nil"/>
                    <w:tr2bl w:val="nil"/>
                  </w:tcBorders>
                  <w:noWrap w:val="0"/>
                  <w:vAlign w:val="center"/>
                </w:tcPr>
                <w:p w14:paraId="61234C1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44</w:t>
                  </w:r>
                </w:p>
              </w:tc>
              <w:tc>
                <w:tcPr>
                  <w:tcW w:w="1039" w:type="pct"/>
                  <w:tcBorders>
                    <w:tl2br w:val="nil"/>
                    <w:tr2bl w:val="nil"/>
                  </w:tcBorders>
                  <w:noWrap w:val="0"/>
                  <w:vAlign w:val="center"/>
                </w:tcPr>
                <w:p w14:paraId="620AD89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70</w:t>
                  </w:r>
                </w:p>
              </w:tc>
              <w:tc>
                <w:tcPr>
                  <w:tcW w:w="714" w:type="pct"/>
                  <w:tcBorders>
                    <w:tl2br w:val="nil"/>
                    <w:tr2bl w:val="nil"/>
                  </w:tcBorders>
                  <w:noWrap w:val="0"/>
                  <w:vAlign w:val="center"/>
                </w:tcPr>
                <w:p w14:paraId="346902D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62.9</w:t>
                  </w:r>
                </w:p>
              </w:tc>
              <w:tc>
                <w:tcPr>
                  <w:tcW w:w="528" w:type="pct"/>
                  <w:tcBorders>
                    <w:tl2br w:val="nil"/>
                    <w:tr2bl w:val="nil"/>
                  </w:tcBorders>
                  <w:noWrap w:val="0"/>
                  <w:vAlign w:val="center"/>
                </w:tcPr>
                <w:p w14:paraId="465A57E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达标</w:t>
                  </w:r>
                </w:p>
              </w:tc>
            </w:tr>
            <w:tr w14:paraId="20D257AC">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1" w:type="pct"/>
                  <w:tcBorders>
                    <w:tl2br w:val="nil"/>
                    <w:tr2bl w:val="nil"/>
                  </w:tcBorders>
                  <w:noWrap w:val="0"/>
                  <w:vAlign w:val="center"/>
                </w:tcPr>
                <w:p w14:paraId="0B1D247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PM</w:t>
                  </w:r>
                  <w:r>
                    <w:rPr>
                      <w:rFonts w:hint="default" w:ascii="Times New Roman" w:hAnsi="Times New Roman" w:cs="Times New Roman"/>
                      <w:kern w:val="0"/>
                      <w:sz w:val="21"/>
                      <w:szCs w:val="21"/>
                      <w:vertAlign w:val="subscript"/>
                    </w:rPr>
                    <w:t>2.5</w:t>
                  </w:r>
                </w:p>
              </w:tc>
              <w:tc>
                <w:tcPr>
                  <w:tcW w:w="1097" w:type="pct"/>
                  <w:tcBorders>
                    <w:tl2br w:val="nil"/>
                    <w:tr2bl w:val="nil"/>
                  </w:tcBorders>
                  <w:noWrap w:val="0"/>
                  <w:vAlign w:val="center"/>
                </w:tcPr>
                <w:p w14:paraId="7712143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年平均质量浓度</w:t>
                  </w:r>
                </w:p>
              </w:tc>
              <w:tc>
                <w:tcPr>
                  <w:tcW w:w="1038" w:type="pct"/>
                  <w:tcBorders>
                    <w:tl2br w:val="nil"/>
                    <w:tr2bl w:val="nil"/>
                  </w:tcBorders>
                  <w:noWrap w:val="0"/>
                  <w:vAlign w:val="center"/>
                </w:tcPr>
                <w:p w14:paraId="615EFAA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31</w:t>
                  </w:r>
                </w:p>
              </w:tc>
              <w:tc>
                <w:tcPr>
                  <w:tcW w:w="1039" w:type="pct"/>
                  <w:tcBorders>
                    <w:tl2br w:val="nil"/>
                    <w:tr2bl w:val="nil"/>
                  </w:tcBorders>
                  <w:noWrap w:val="0"/>
                  <w:vAlign w:val="center"/>
                </w:tcPr>
                <w:p w14:paraId="3E69786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35</w:t>
                  </w:r>
                </w:p>
              </w:tc>
              <w:tc>
                <w:tcPr>
                  <w:tcW w:w="714" w:type="pct"/>
                  <w:tcBorders>
                    <w:tl2br w:val="nil"/>
                    <w:tr2bl w:val="nil"/>
                  </w:tcBorders>
                  <w:noWrap w:val="0"/>
                  <w:vAlign w:val="center"/>
                </w:tcPr>
                <w:p w14:paraId="324E7CC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88.6</w:t>
                  </w:r>
                </w:p>
              </w:tc>
              <w:tc>
                <w:tcPr>
                  <w:tcW w:w="528" w:type="pct"/>
                  <w:tcBorders>
                    <w:tl2br w:val="nil"/>
                    <w:tr2bl w:val="nil"/>
                  </w:tcBorders>
                  <w:noWrap w:val="0"/>
                  <w:vAlign w:val="center"/>
                </w:tcPr>
                <w:p w14:paraId="14CBCF2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达标</w:t>
                  </w:r>
                </w:p>
              </w:tc>
            </w:tr>
            <w:tr w14:paraId="1991F12E">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1" w:type="pct"/>
                  <w:tcBorders>
                    <w:tl2br w:val="nil"/>
                    <w:tr2bl w:val="nil"/>
                  </w:tcBorders>
                  <w:noWrap w:val="0"/>
                  <w:vAlign w:val="center"/>
                </w:tcPr>
                <w:p w14:paraId="4C2EC65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CO</w:t>
                  </w:r>
                </w:p>
              </w:tc>
              <w:tc>
                <w:tcPr>
                  <w:tcW w:w="1097" w:type="pct"/>
                  <w:tcBorders>
                    <w:tl2br w:val="nil"/>
                    <w:tr2bl w:val="nil"/>
                  </w:tcBorders>
                  <w:noWrap w:val="0"/>
                  <w:vAlign w:val="center"/>
                </w:tcPr>
                <w:p w14:paraId="381EFF9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24小时平均第95百分位数浓度</w:t>
                  </w:r>
                </w:p>
              </w:tc>
              <w:tc>
                <w:tcPr>
                  <w:tcW w:w="1038" w:type="pct"/>
                  <w:tcBorders>
                    <w:tl2br w:val="nil"/>
                    <w:tr2bl w:val="nil"/>
                  </w:tcBorders>
                  <w:noWrap w:val="0"/>
                  <w:vAlign w:val="center"/>
                </w:tcPr>
                <w:p w14:paraId="28DA552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r>
                    <w:rPr>
                      <w:rFonts w:hint="default" w:ascii="Times New Roman" w:hAnsi="Times New Roman" w:cs="Times New Roman"/>
                      <w:kern w:val="0"/>
                      <w:sz w:val="21"/>
                      <w:szCs w:val="21"/>
                      <w:lang w:val="en-US" w:eastAsia="zh-CN"/>
                    </w:rPr>
                    <w:t>0</w:t>
                  </w:r>
                  <w:r>
                    <w:rPr>
                      <w:rFonts w:hint="default" w:ascii="Times New Roman" w:hAnsi="Times New Roman" w:cs="Times New Roman"/>
                      <w:kern w:val="0"/>
                      <w:sz w:val="21"/>
                      <w:szCs w:val="21"/>
                    </w:rPr>
                    <w:t>（mg/m</w:t>
                  </w:r>
                  <w:r>
                    <w:rPr>
                      <w:rFonts w:hint="default" w:ascii="Times New Roman" w:hAnsi="Times New Roman" w:cs="Times New Roman"/>
                      <w:kern w:val="0"/>
                      <w:sz w:val="21"/>
                      <w:szCs w:val="21"/>
                      <w:vertAlign w:val="superscript"/>
                    </w:rPr>
                    <w:t>3</w:t>
                  </w:r>
                  <w:r>
                    <w:rPr>
                      <w:rFonts w:hint="default" w:ascii="Times New Roman" w:hAnsi="Times New Roman" w:cs="Times New Roman"/>
                      <w:kern w:val="0"/>
                      <w:sz w:val="21"/>
                      <w:szCs w:val="21"/>
                    </w:rPr>
                    <w:t>）</w:t>
                  </w:r>
                </w:p>
              </w:tc>
              <w:tc>
                <w:tcPr>
                  <w:tcW w:w="1039" w:type="pct"/>
                  <w:tcBorders>
                    <w:tl2br w:val="nil"/>
                    <w:tr2bl w:val="nil"/>
                  </w:tcBorders>
                  <w:noWrap w:val="0"/>
                  <w:vAlign w:val="center"/>
                </w:tcPr>
                <w:p w14:paraId="045C1E8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lang w:val="en-US" w:eastAsia="zh-CN"/>
                    </w:rPr>
                    <w:t>4</w:t>
                  </w:r>
                  <w:r>
                    <w:rPr>
                      <w:rFonts w:hint="default" w:ascii="Times New Roman" w:hAnsi="Times New Roman" w:cs="Times New Roman"/>
                      <w:kern w:val="0"/>
                      <w:sz w:val="21"/>
                      <w:szCs w:val="21"/>
                    </w:rPr>
                    <w:t>.0（mg/m</w:t>
                  </w:r>
                  <w:r>
                    <w:rPr>
                      <w:rFonts w:hint="default" w:ascii="Times New Roman" w:hAnsi="Times New Roman" w:cs="Times New Roman"/>
                      <w:kern w:val="0"/>
                      <w:sz w:val="21"/>
                      <w:szCs w:val="21"/>
                      <w:vertAlign w:val="superscript"/>
                    </w:rPr>
                    <w:t>3</w:t>
                  </w:r>
                  <w:r>
                    <w:rPr>
                      <w:rFonts w:hint="default" w:ascii="Times New Roman" w:hAnsi="Times New Roman" w:cs="Times New Roman"/>
                      <w:kern w:val="0"/>
                      <w:sz w:val="21"/>
                      <w:szCs w:val="21"/>
                    </w:rPr>
                    <w:t>）</w:t>
                  </w:r>
                </w:p>
              </w:tc>
              <w:tc>
                <w:tcPr>
                  <w:tcW w:w="714" w:type="pct"/>
                  <w:tcBorders>
                    <w:tl2br w:val="nil"/>
                    <w:tr2bl w:val="nil"/>
                  </w:tcBorders>
                  <w:noWrap w:val="0"/>
                  <w:vAlign w:val="center"/>
                </w:tcPr>
                <w:p w14:paraId="4B78E2E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25</w:t>
                  </w:r>
                </w:p>
              </w:tc>
              <w:tc>
                <w:tcPr>
                  <w:tcW w:w="528" w:type="pct"/>
                  <w:tcBorders>
                    <w:tl2br w:val="nil"/>
                    <w:tr2bl w:val="nil"/>
                  </w:tcBorders>
                  <w:noWrap w:val="0"/>
                  <w:vAlign w:val="center"/>
                </w:tcPr>
                <w:p w14:paraId="6D81AF9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达标</w:t>
                  </w:r>
                </w:p>
              </w:tc>
            </w:tr>
            <w:tr w14:paraId="6970348B">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1" w:type="pct"/>
                  <w:tcBorders>
                    <w:tl2br w:val="nil"/>
                    <w:tr2bl w:val="nil"/>
                  </w:tcBorders>
                  <w:noWrap w:val="0"/>
                  <w:vAlign w:val="center"/>
                </w:tcPr>
                <w:p w14:paraId="15615FA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O</w:t>
                  </w:r>
                  <w:r>
                    <w:rPr>
                      <w:rFonts w:hint="default" w:ascii="Times New Roman" w:hAnsi="Times New Roman" w:cs="Times New Roman"/>
                      <w:kern w:val="0"/>
                      <w:sz w:val="21"/>
                      <w:szCs w:val="21"/>
                      <w:vertAlign w:val="subscript"/>
                    </w:rPr>
                    <w:t>3</w:t>
                  </w:r>
                </w:p>
              </w:tc>
              <w:tc>
                <w:tcPr>
                  <w:tcW w:w="1097" w:type="pct"/>
                  <w:tcBorders>
                    <w:tl2br w:val="nil"/>
                    <w:tr2bl w:val="nil"/>
                  </w:tcBorders>
                  <w:noWrap w:val="0"/>
                  <w:vAlign w:val="center"/>
                </w:tcPr>
                <w:p w14:paraId="784E538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sz w:val="21"/>
                      <w:szCs w:val="21"/>
                    </w:rPr>
                    <w:t>日最大8h滑动平均值的</w:t>
                  </w:r>
                  <w:r>
                    <w:rPr>
                      <w:rFonts w:hint="default" w:ascii="Times New Roman" w:hAnsi="Times New Roman" w:cs="Times New Roman"/>
                      <w:kern w:val="0"/>
                      <w:sz w:val="21"/>
                      <w:szCs w:val="21"/>
                    </w:rPr>
                    <w:t>第90百分位数浓度</w:t>
                  </w:r>
                </w:p>
              </w:tc>
              <w:tc>
                <w:tcPr>
                  <w:tcW w:w="1038" w:type="pct"/>
                  <w:tcBorders>
                    <w:tl2br w:val="nil"/>
                    <w:tr2bl w:val="nil"/>
                  </w:tcBorders>
                  <w:noWrap w:val="0"/>
                  <w:vAlign w:val="center"/>
                </w:tcPr>
                <w:p w14:paraId="622A594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128</w:t>
                  </w:r>
                </w:p>
              </w:tc>
              <w:tc>
                <w:tcPr>
                  <w:tcW w:w="1039" w:type="pct"/>
                  <w:tcBorders>
                    <w:tl2br w:val="nil"/>
                    <w:tr2bl w:val="nil"/>
                  </w:tcBorders>
                  <w:noWrap w:val="0"/>
                  <w:vAlign w:val="center"/>
                </w:tcPr>
                <w:p w14:paraId="4D8C62A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160</w:t>
                  </w:r>
                </w:p>
              </w:tc>
              <w:tc>
                <w:tcPr>
                  <w:tcW w:w="714" w:type="pct"/>
                  <w:tcBorders>
                    <w:tl2br w:val="nil"/>
                    <w:tr2bl w:val="nil"/>
                  </w:tcBorders>
                  <w:noWrap w:val="0"/>
                  <w:vAlign w:val="center"/>
                </w:tcPr>
                <w:p w14:paraId="75B8C23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80</w:t>
                  </w:r>
                </w:p>
              </w:tc>
              <w:tc>
                <w:tcPr>
                  <w:tcW w:w="528" w:type="pct"/>
                  <w:tcBorders>
                    <w:tl2br w:val="nil"/>
                    <w:tr2bl w:val="nil"/>
                  </w:tcBorders>
                  <w:noWrap w:val="0"/>
                  <w:vAlign w:val="center"/>
                </w:tcPr>
                <w:p w14:paraId="24074E8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达标</w:t>
                  </w:r>
                </w:p>
              </w:tc>
            </w:tr>
            <w:tr w14:paraId="1D288318">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1" w:type="pct"/>
                  <w:tcBorders>
                    <w:tl2br w:val="nil"/>
                    <w:tr2bl w:val="nil"/>
                  </w:tcBorders>
                  <w:noWrap w:val="0"/>
                  <w:vAlign w:val="center"/>
                </w:tcPr>
                <w:p w14:paraId="4A12961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SO</w:t>
                  </w:r>
                  <w:r>
                    <w:rPr>
                      <w:rFonts w:hint="default" w:ascii="Times New Roman" w:hAnsi="Times New Roman" w:cs="Times New Roman"/>
                      <w:kern w:val="0"/>
                      <w:sz w:val="21"/>
                      <w:szCs w:val="21"/>
                      <w:vertAlign w:val="subscript"/>
                    </w:rPr>
                    <w:t>2</w:t>
                  </w:r>
                </w:p>
              </w:tc>
              <w:tc>
                <w:tcPr>
                  <w:tcW w:w="1097" w:type="pct"/>
                  <w:tcBorders>
                    <w:tl2br w:val="nil"/>
                    <w:tr2bl w:val="nil"/>
                  </w:tcBorders>
                  <w:noWrap w:val="0"/>
                  <w:vAlign w:val="center"/>
                </w:tcPr>
                <w:p w14:paraId="469CCBE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sz w:val="21"/>
                      <w:szCs w:val="21"/>
                    </w:rPr>
                    <w:t>年平均质量浓度</w:t>
                  </w:r>
                </w:p>
              </w:tc>
              <w:tc>
                <w:tcPr>
                  <w:tcW w:w="1038" w:type="pct"/>
                  <w:tcBorders>
                    <w:tl2br w:val="nil"/>
                    <w:tr2bl w:val="nil"/>
                  </w:tcBorders>
                  <w:noWrap w:val="0"/>
                  <w:vAlign w:val="center"/>
                </w:tcPr>
                <w:p w14:paraId="440CC3A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5</w:t>
                  </w:r>
                </w:p>
              </w:tc>
              <w:tc>
                <w:tcPr>
                  <w:tcW w:w="1039" w:type="pct"/>
                  <w:tcBorders>
                    <w:tl2br w:val="nil"/>
                    <w:tr2bl w:val="nil"/>
                  </w:tcBorders>
                  <w:noWrap w:val="0"/>
                  <w:vAlign w:val="center"/>
                </w:tcPr>
                <w:p w14:paraId="075EA63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60</w:t>
                  </w:r>
                </w:p>
              </w:tc>
              <w:tc>
                <w:tcPr>
                  <w:tcW w:w="714" w:type="pct"/>
                  <w:tcBorders>
                    <w:tl2br w:val="nil"/>
                    <w:tr2bl w:val="nil"/>
                  </w:tcBorders>
                  <w:noWrap w:val="0"/>
                  <w:vAlign w:val="center"/>
                </w:tcPr>
                <w:p w14:paraId="479F502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8.3</w:t>
                  </w:r>
                </w:p>
              </w:tc>
              <w:tc>
                <w:tcPr>
                  <w:tcW w:w="528" w:type="pct"/>
                  <w:tcBorders>
                    <w:tl2br w:val="nil"/>
                    <w:tr2bl w:val="nil"/>
                  </w:tcBorders>
                  <w:noWrap w:val="0"/>
                  <w:vAlign w:val="center"/>
                </w:tcPr>
                <w:p w14:paraId="2872298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达标</w:t>
                  </w:r>
                </w:p>
              </w:tc>
            </w:tr>
            <w:tr w14:paraId="69327AA5">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581" w:type="pct"/>
                  <w:tcBorders>
                    <w:tl2br w:val="nil"/>
                    <w:tr2bl w:val="nil"/>
                  </w:tcBorders>
                  <w:noWrap w:val="0"/>
                  <w:vAlign w:val="center"/>
                </w:tcPr>
                <w:p w14:paraId="1047343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NO</w:t>
                  </w:r>
                  <w:r>
                    <w:rPr>
                      <w:rFonts w:hint="default" w:ascii="Times New Roman" w:hAnsi="Times New Roman" w:cs="Times New Roman"/>
                      <w:kern w:val="0"/>
                      <w:sz w:val="21"/>
                      <w:szCs w:val="21"/>
                      <w:vertAlign w:val="subscript"/>
                    </w:rPr>
                    <w:t>2</w:t>
                  </w:r>
                </w:p>
              </w:tc>
              <w:tc>
                <w:tcPr>
                  <w:tcW w:w="1097" w:type="pct"/>
                  <w:tcBorders>
                    <w:tl2br w:val="nil"/>
                    <w:tr2bl w:val="nil"/>
                  </w:tcBorders>
                  <w:noWrap w:val="0"/>
                  <w:vAlign w:val="center"/>
                </w:tcPr>
                <w:p w14:paraId="244AAA0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sz w:val="21"/>
                      <w:szCs w:val="21"/>
                    </w:rPr>
                    <w:t>年平均质量浓度</w:t>
                  </w:r>
                </w:p>
              </w:tc>
              <w:tc>
                <w:tcPr>
                  <w:tcW w:w="1038" w:type="pct"/>
                  <w:tcBorders>
                    <w:tl2br w:val="nil"/>
                    <w:tr2bl w:val="nil"/>
                  </w:tcBorders>
                  <w:noWrap w:val="0"/>
                  <w:vAlign w:val="center"/>
                </w:tcPr>
                <w:p w14:paraId="68E664D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12</w:t>
                  </w:r>
                </w:p>
              </w:tc>
              <w:tc>
                <w:tcPr>
                  <w:tcW w:w="1039" w:type="pct"/>
                  <w:tcBorders>
                    <w:tl2br w:val="nil"/>
                    <w:tr2bl w:val="nil"/>
                  </w:tcBorders>
                  <w:noWrap w:val="0"/>
                  <w:vAlign w:val="center"/>
                </w:tcPr>
                <w:p w14:paraId="5421C0F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40</w:t>
                  </w:r>
                </w:p>
              </w:tc>
              <w:tc>
                <w:tcPr>
                  <w:tcW w:w="714" w:type="pct"/>
                  <w:tcBorders>
                    <w:tl2br w:val="nil"/>
                    <w:tr2bl w:val="nil"/>
                  </w:tcBorders>
                  <w:noWrap w:val="0"/>
                  <w:vAlign w:val="center"/>
                </w:tcPr>
                <w:p w14:paraId="44258B8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30</w:t>
                  </w:r>
                </w:p>
              </w:tc>
              <w:tc>
                <w:tcPr>
                  <w:tcW w:w="528" w:type="pct"/>
                  <w:tcBorders>
                    <w:tl2br w:val="nil"/>
                    <w:tr2bl w:val="nil"/>
                  </w:tcBorders>
                  <w:noWrap w:val="0"/>
                  <w:vAlign w:val="center"/>
                </w:tcPr>
                <w:p w14:paraId="03756FF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达标</w:t>
                  </w:r>
                </w:p>
              </w:tc>
            </w:tr>
          </w:tbl>
          <w:p w14:paraId="1BA8F79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kern w:val="0"/>
                <w:sz w:val="24"/>
              </w:rPr>
            </w:pPr>
            <w:r>
              <w:rPr>
                <w:rFonts w:hint="default" w:ascii="Times New Roman" w:hAnsi="Times New Roman" w:cs="Times New Roman"/>
                <w:kern w:val="0"/>
                <w:sz w:val="24"/>
                <w:lang w:val="en-US" w:eastAsia="zh-CN"/>
              </w:rPr>
              <w:t>南岳区</w:t>
            </w:r>
            <w:r>
              <w:rPr>
                <w:rFonts w:hint="default" w:ascii="Times New Roman" w:hAnsi="Times New Roman" w:cs="Times New Roman"/>
                <w:kern w:val="0"/>
                <w:sz w:val="24"/>
              </w:rPr>
              <w:t>二氧化硫、二氧化氮、可吸入颗粒物（PM10）、细颗粒物（PM</w:t>
            </w:r>
            <w:r>
              <w:rPr>
                <w:rFonts w:hint="default" w:ascii="Times New Roman" w:hAnsi="Times New Roman" w:cs="Times New Roman"/>
                <w:kern w:val="0"/>
                <w:sz w:val="24"/>
                <w:vertAlign w:val="subscript"/>
              </w:rPr>
              <w:t>2.5</w:t>
            </w:r>
            <w:r>
              <w:rPr>
                <w:rFonts w:hint="default" w:ascii="Times New Roman" w:hAnsi="Times New Roman" w:cs="Times New Roman"/>
                <w:kern w:val="0"/>
                <w:sz w:val="24"/>
              </w:rPr>
              <w:t>）和一氧化碳年</w:t>
            </w:r>
            <w:r>
              <w:rPr>
                <w:rFonts w:hint="eastAsia" w:cs="Times New Roman"/>
                <w:kern w:val="0"/>
                <w:sz w:val="24"/>
                <w:lang w:val="en-US" w:eastAsia="zh-CN"/>
              </w:rPr>
              <w:t>度</w:t>
            </w:r>
            <w:r>
              <w:rPr>
                <w:rFonts w:hint="default" w:ascii="Times New Roman" w:hAnsi="Times New Roman" w:cs="Times New Roman"/>
                <w:kern w:val="0"/>
                <w:sz w:val="24"/>
              </w:rPr>
              <w:t>评价浓度（第95百分位数）、臭氧年评价浓度（第90百分位数）均达到《环境空气质量标准》（GB3095-2012）二级标准。故</w:t>
            </w:r>
            <w:r>
              <w:rPr>
                <w:rFonts w:hint="default" w:ascii="Times New Roman" w:hAnsi="Times New Roman" w:cs="Times New Roman"/>
                <w:b w:val="0"/>
                <w:bCs w:val="0"/>
                <w:kern w:val="0"/>
                <w:sz w:val="24"/>
              </w:rPr>
              <w:t>项目所在区域为达标区。</w:t>
            </w:r>
          </w:p>
          <w:p w14:paraId="0B2F1B3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b/>
                <w:bCs/>
                <w:kern w:val="0"/>
                <w:sz w:val="24"/>
              </w:rPr>
            </w:pPr>
            <w:r>
              <w:rPr>
                <w:rFonts w:hint="default" w:ascii="Times New Roman" w:hAnsi="Times New Roman" w:eastAsia="宋体" w:cs="Times New Roman"/>
                <w:b/>
                <w:bCs/>
                <w:kern w:val="0"/>
                <w:sz w:val="24"/>
                <w:lang w:val="en-US" w:eastAsia="zh-CN"/>
              </w:rPr>
              <w:t>（2）</w:t>
            </w:r>
            <w:r>
              <w:rPr>
                <w:rFonts w:hint="default" w:ascii="Times New Roman" w:hAnsi="Times New Roman" w:eastAsia="宋体" w:cs="Times New Roman"/>
                <w:b/>
                <w:bCs/>
                <w:kern w:val="0"/>
                <w:sz w:val="24"/>
              </w:rPr>
              <w:t>特征污染物</w:t>
            </w:r>
          </w:p>
          <w:p w14:paraId="5D68D92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lang w:val="en-US" w:eastAsia="zh-CN"/>
              </w:rPr>
            </w:pPr>
            <w:r>
              <w:rPr>
                <w:rFonts w:hint="default" w:ascii="Times New Roman" w:hAnsi="Times New Roman" w:eastAsia="宋体" w:cs="Times New Roman"/>
                <w:kern w:val="0"/>
                <w:sz w:val="24"/>
                <w:lang w:val="en-US" w:eastAsia="zh-CN"/>
              </w:rPr>
              <w:t>根据《建设项目环境影响报告表编制指南</w:t>
            </w:r>
            <w:r>
              <w:rPr>
                <w:rFonts w:hint="eastAsia" w:cs="Times New Roman"/>
                <w:kern w:val="0"/>
                <w:sz w:val="24"/>
                <w:lang w:val="en-US" w:eastAsia="zh-CN"/>
              </w:rPr>
              <w:t>（</w:t>
            </w:r>
            <w:r>
              <w:rPr>
                <w:rFonts w:hint="default" w:ascii="Times New Roman" w:hAnsi="Times New Roman" w:eastAsia="宋体" w:cs="Times New Roman"/>
                <w:kern w:val="0"/>
                <w:sz w:val="24"/>
                <w:lang w:val="en-US" w:eastAsia="zh-CN"/>
              </w:rPr>
              <w:t>污染影响类</w:t>
            </w:r>
            <w:r>
              <w:rPr>
                <w:rFonts w:hint="eastAsia" w:cs="Times New Roman"/>
                <w:kern w:val="0"/>
                <w:sz w:val="24"/>
                <w:lang w:val="en-US" w:eastAsia="zh-CN"/>
              </w:rPr>
              <w:t>）</w:t>
            </w:r>
            <w:r>
              <w:rPr>
                <w:rFonts w:hint="default" w:ascii="Times New Roman" w:hAnsi="Times New Roman" w:eastAsia="宋体" w:cs="Times New Roman"/>
                <w:kern w:val="0"/>
                <w:sz w:val="24"/>
                <w:lang w:val="en-US" w:eastAsia="zh-CN"/>
              </w:rPr>
              <w:t>》中提出的</w:t>
            </w:r>
            <w:r>
              <w:rPr>
                <w:rFonts w:hint="eastAsia" w:ascii="宋体" w:hAnsi="宋体" w:eastAsia="宋体" w:cs="宋体"/>
                <w:kern w:val="0"/>
                <w:sz w:val="24"/>
                <w:lang w:val="en-US" w:eastAsia="zh-CN"/>
              </w:rPr>
              <w:t>“</w:t>
            </w:r>
            <w:r>
              <w:rPr>
                <w:rFonts w:hint="default" w:ascii="Times New Roman" w:hAnsi="Times New Roman" w:eastAsia="宋体" w:cs="Times New Roman"/>
                <w:kern w:val="0"/>
                <w:sz w:val="24"/>
                <w:lang w:val="en-US" w:eastAsia="zh-CN"/>
              </w:rPr>
              <w:t>排放国家、地方环境空气质量标准中有标准限值要求的特征污染物时，引用建设项目周边5千米范围内近3年的现有监测数据，无相关数据的选择当季主导风向下风向1个点位补充不少于3天的监测数据</w:t>
            </w:r>
            <w:r>
              <w:rPr>
                <w:rFonts w:hint="eastAsia" w:ascii="宋体" w:hAnsi="宋体" w:eastAsia="宋体" w:cs="宋体"/>
                <w:kern w:val="0"/>
                <w:sz w:val="24"/>
                <w:lang w:val="en-US" w:eastAsia="zh-CN"/>
              </w:rPr>
              <w:t>”</w:t>
            </w:r>
            <w:r>
              <w:rPr>
                <w:rFonts w:hint="default" w:ascii="Times New Roman" w:hAnsi="Times New Roman" w:eastAsia="宋体" w:cs="Times New Roman"/>
                <w:kern w:val="0"/>
                <w:sz w:val="24"/>
                <w:lang w:val="en-US" w:eastAsia="zh-CN"/>
              </w:rPr>
              <w:t>。本项目特征污染物为</w:t>
            </w:r>
            <w:r>
              <w:rPr>
                <w:rFonts w:hint="default" w:ascii="Times New Roman" w:hAnsi="Times New Roman" w:cs="Times New Roman"/>
                <w:kern w:val="0"/>
                <w:sz w:val="24"/>
                <w:lang w:val="en-US" w:eastAsia="zh-CN"/>
              </w:rPr>
              <w:t>NH</w:t>
            </w:r>
            <w:r>
              <w:rPr>
                <w:rFonts w:hint="default" w:ascii="Times New Roman" w:hAnsi="Times New Roman" w:cs="Times New Roman"/>
                <w:kern w:val="0"/>
                <w:sz w:val="24"/>
                <w:vertAlign w:val="subscript"/>
                <w:lang w:val="en-US" w:eastAsia="zh-CN"/>
              </w:rPr>
              <w:t>3</w:t>
            </w:r>
            <w:r>
              <w:rPr>
                <w:rFonts w:hint="default" w:ascii="Times New Roman" w:hAnsi="Times New Roman" w:cs="Times New Roman"/>
                <w:kern w:val="0"/>
                <w:sz w:val="24"/>
                <w:lang w:val="en-US" w:eastAsia="zh-CN"/>
              </w:rPr>
              <w:t>、H</w:t>
            </w:r>
            <w:r>
              <w:rPr>
                <w:rFonts w:hint="default" w:ascii="Times New Roman" w:hAnsi="Times New Roman" w:cs="Times New Roman"/>
                <w:kern w:val="0"/>
                <w:sz w:val="24"/>
                <w:vertAlign w:val="subscript"/>
                <w:lang w:val="en-US" w:eastAsia="zh-CN"/>
              </w:rPr>
              <w:t>2</w:t>
            </w:r>
            <w:r>
              <w:rPr>
                <w:rFonts w:hint="default" w:ascii="Times New Roman" w:hAnsi="Times New Roman" w:cs="Times New Roman"/>
                <w:kern w:val="0"/>
                <w:sz w:val="24"/>
                <w:lang w:val="en-US" w:eastAsia="zh-CN"/>
              </w:rPr>
              <w:t>S、臭气浓度</w:t>
            </w:r>
            <w:r>
              <w:rPr>
                <w:rFonts w:hint="default" w:ascii="Times New Roman" w:hAnsi="Times New Roman" w:eastAsia="宋体" w:cs="Times New Roman"/>
                <w:kern w:val="0"/>
                <w:sz w:val="24"/>
                <w:lang w:val="en-US" w:eastAsia="zh-CN"/>
              </w:rPr>
              <w:t>。</w:t>
            </w:r>
          </w:p>
          <w:p w14:paraId="4958AB3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lang w:val="en-US" w:eastAsia="zh-CN"/>
              </w:rPr>
            </w:pPr>
            <w:r>
              <w:rPr>
                <w:rFonts w:hint="default" w:ascii="Times New Roman" w:hAnsi="Times New Roman" w:eastAsia="宋体" w:cs="Times New Roman"/>
                <w:kern w:val="0"/>
                <w:sz w:val="24"/>
                <w:lang w:val="en-US" w:eastAsia="zh-CN"/>
              </w:rPr>
              <w:t>本次评价引用《衡阳市南岳区祝融眼科医院建设项目》中衡阳职安环保科技有限责任公司于2022年9月12日~9月14日</w:t>
            </w:r>
            <w:r>
              <w:rPr>
                <w:rFonts w:hint="default" w:ascii="Times New Roman" w:hAnsi="Times New Roman" w:cs="Times New Roman"/>
                <w:kern w:val="0"/>
                <w:sz w:val="24"/>
                <w:lang w:val="en-US" w:eastAsia="zh-CN"/>
              </w:rPr>
              <w:t>对</w:t>
            </w:r>
            <w:r>
              <w:rPr>
                <w:rFonts w:hint="default" w:ascii="Times New Roman" w:hAnsi="Times New Roman" w:eastAsia="宋体" w:cs="Times New Roman"/>
                <w:kern w:val="0"/>
                <w:sz w:val="24"/>
                <w:lang w:val="en-US" w:eastAsia="zh-CN"/>
              </w:rPr>
              <w:t>南岳区交通运输局的环境空气质量现状进行了监测，监测点G1位于本项目</w:t>
            </w:r>
            <w:r>
              <w:rPr>
                <w:rFonts w:hint="default" w:ascii="Times New Roman" w:hAnsi="Times New Roman" w:cs="Times New Roman"/>
                <w:kern w:val="0"/>
                <w:sz w:val="24"/>
                <w:lang w:val="en-US" w:eastAsia="zh-CN"/>
              </w:rPr>
              <w:t>东北</w:t>
            </w:r>
            <w:r>
              <w:rPr>
                <w:rFonts w:hint="default" w:ascii="Times New Roman" w:hAnsi="Times New Roman" w:eastAsia="宋体" w:cs="Times New Roman"/>
                <w:kern w:val="0"/>
                <w:sz w:val="24"/>
                <w:lang w:val="en-US" w:eastAsia="zh-CN"/>
              </w:rPr>
              <w:t>侧</w:t>
            </w:r>
            <w:r>
              <w:rPr>
                <w:rFonts w:hint="default" w:ascii="Times New Roman" w:hAnsi="Times New Roman" w:cs="Times New Roman"/>
                <w:kern w:val="0"/>
                <w:sz w:val="24"/>
                <w:lang w:val="en-US" w:eastAsia="zh-CN"/>
              </w:rPr>
              <w:t>46</w:t>
            </w:r>
            <w:r>
              <w:rPr>
                <w:rFonts w:hint="default" w:ascii="Times New Roman" w:hAnsi="Times New Roman" w:eastAsia="宋体" w:cs="Times New Roman"/>
                <w:kern w:val="0"/>
                <w:sz w:val="24"/>
                <w:lang w:val="en-US" w:eastAsia="zh-CN"/>
              </w:rPr>
              <w:t>00米，具体监测数据见下表。</w:t>
            </w:r>
          </w:p>
          <w:p w14:paraId="55AB3AA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监测布点：</w:t>
            </w:r>
            <w:r>
              <w:rPr>
                <w:rFonts w:hint="default" w:ascii="Times New Roman" w:hAnsi="Times New Roman" w:eastAsia="宋体" w:cs="Times New Roman"/>
                <w:kern w:val="0"/>
                <w:sz w:val="24"/>
                <w:lang w:val="en-US" w:eastAsia="zh-CN"/>
              </w:rPr>
              <w:t>南岳区交通运输局</w:t>
            </w:r>
            <w:r>
              <w:rPr>
                <w:rFonts w:hint="default" w:ascii="Times New Roman" w:hAnsi="Times New Roman" w:eastAsia="宋体" w:cs="Times New Roman"/>
                <w:kern w:val="0"/>
                <w:sz w:val="24"/>
              </w:rPr>
              <w:t>（位于本项目</w:t>
            </w:r>
            <w:r>
              <w:rPr>
                <w:rFonts w:hint="default" w:ascii="Times New Roman" w:hAnsi="Times New Roman" w:eastAsia="宋体" w:cs="Times New Roman"/>
                <w:kern w:val="0"/>
                <w:sz w:val="24"/>
                <w:lang w:val="en-US" w:eastAsia="zh-CN"/>
              </w:rPr>
              <w:t>东北侧4600米</w:t>
            </w:r>
            <w:r>
              <w:rPr>
                <w:rFonts w:hint="default" w:ascii="Times New Roman" w:hAnsi="Times New Roman" w:eastAsia="宋体" w:cs="Times New Roman"/>
                <w:kern w:val="0"/>
                <w:sz w:val="24"/>
              </w:rPr>
              <w:t>）。</w:t>
            </w:r>
          </w:p>
          <w:p w14:paraId="5B4EDFF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监测因子：</w:t>
            </w:r>
            <w:r>
              <w:rPr>
                <w:rFonts w:hint="default" w:ascii="Times New Roman" w:hAnsi="Times New Roman" w:eastAsia="宋体" w:cs="Times New Roman"/>
                <w:kern w:val="0"/>
                <w:sz w:val="24"/>
                <w:lang w:val="en-US" w:eastAsia="zh-CN"/>
              </w:rPr>
              <w:t>NH</w:t>
            </w:r>
            <w:r>
              <w:rPr>
                <w:rFonts w:hint="default" w:ascii="Times New Roman" w:hAnsi="Times New Roman" w:eastAsia="宋体" w:cs="Times New Roman"/>
                <w:kern w:val="0"/>
                <w:sz w:val="24"/>
                <w:vertAlign w:val="subscript"/>
                <w:lang w:val="en-US" w:eastAsia="zh-CN"/>
              </w:rPr>
              <w:t>3</w:t>
            </w:r>
            <w:r>
              <w:rPr>
                <w:rFonts w:hint="default" w:ascii="Times New Roman" w:hAnsi="Times New Roman" w:eastAsia="宋体" w:cs="Times New Roman"/>
                <w:kern w:val="0"/>
                <w:sz w:val="24"/>
                <w:lang w:val="en-US" w:eastAsia="zh-CN"/>
              </w:rPr>
              <w:t>、H</w:t>
            </w:r>
            <w:r>
              <w:rPr>
                <w:rFonts w:hint="default" w:ascii="Times New Roman" w:hAnsi="Times New Roman" w:eastAsia="宋体" w:cs="Times New Roman"/>
                <w:kern w:val="0"/>
                <w:sz w:val="24"/>
                <w:vertAlign w:val="subscript"/>
                <w:lang w:val="en-US" w:eastAsia="zh-CN"/>
              </w:rPr>
              <w:t>2</w:t>
            </w:r>
            <w:r>
              <w:rPr>
                <w:rFonts w:hint="default" w:ascii="Times New Roman" w:hAnsi="Times New Roman" w:eastAsia="宋体" w:cs="Times New Roman"/>
                <w:kern w:val="0"/>
                <w:sz w:val="24"/>
                <w:lang w:val="en-US" w:eastAsia="zh-CN"/>
              </w:rPr>
              <w:t>S、臭气浓度</w:t>
            </w:r>
            <w:r>
              <w:rPr>
                <w:rFonts w:hint="default" w:ascii="Times New Roman" w:hAnsi="Times New Roman" w:eastAsia="宋体" w:cs="Times New Roman"/>
                <w:kern w:val="0"/>
                <w:sz w:val="24"/>
              </w:rPr>
              <w:t>。</w:t>
            </w:r>
          </w:p>
          <w:p w14:paraId="0D55D8F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监测时间：</w:t>
            </w:r>
            <w:r>
              <w:rPr>
                <w:rFonts w:hint="default" w:ascii="Times New Roman" w:hAnsi="Times New Roman" w:eastAsia="宋体" w:cs="Times New Roman"/>
                <w:kern w:val="0"/>
                <w:sz w:val="24"/>
                <w:lang w:val="en-US" w:eastAsia="zh-CN"/>
              </w:rPr>
              <w:t>2022年9月12日~9月14日</w:t>
            </w:r>
            <w:r>
              <w:rPr>
                <w:rFonts w:hint="default" w:ascii="Times New Roman" w:hAnsi="Times New Roman" w:eastAsia="宋体" w:cs="Times New Roman"/>
                <w:kern w:val="0"/>
                <w:sz w:val="24"/>
              </w:rPr>
              <w:t>。</w:t>
            </w:r>
          </w:p>
          <w:p w14:paraId="52E6F57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执行标准：</w:t>
            </w:r>
            <w:r>
              <w:rPr>
                <w:rFonts w:hint="default" w:ascii="Times New Roman" w:hAnsi="Times New Roman" w:eastAsia="宋体" w:cs="Times New Roman"/>
                <w:kern w:val="0"/>
                <w:sz w:val="24"/>
                <w:lang w:val="en-US" w:eastAsia="zh-CN"/>
              </w:rPr>
              <w:t>NH</w:t>
            </w:r>
            <w:r>
              <w:rPr>
                <w:rFonts w:hint="default" w:ascii="Times New Roman" w:hAnsi="Times New Roman" w:eastAsia="宋体" w:cs="Times New Roman"/>
                <w:kern w:val="0"/>
                <w:sz w:val="24"/>
                <w:vertAlign w:val="subscript"/>
                <w:lang w:val="en-US" w:eastAsia="zh-CN"/>
              </w:rPr>
              <w:t>3</w:t>
            </w:r>
            <w:r>
              <w:rPr>
                <w:rFonts w:hint="default" w:ascii="Times New Roman" w:hAnsi="Times New Roman" w:eastAsia="宋体" w:cs="Times New Roman"/>
                <w:kern w:val="0"/>
                <w:sz w:val="24"/>
                <w:lang w:val="en-US" w:eastAsia="zh-CN"/>
              </w:rPr>
              <w:t>、H</w:t>
            </w:r>
            <w:r>
              <w:rPr>
                <w:rFonts w:hint="default" w:ascii="Times New Roman" w:hAnsi="Times New Roman" w:eastAsia="宋体" w:cs="Times New Roman"/>
                <w:kern w:val="0"/>
                <w:sz w:val="24"/>
                <w:vertAlign w:val="subscript"/>
                <w:lang w:val="en-US" w:eastAsia="zh-CN"/>
              </w:rPr>
              <w:t>2</w:t>
            </w:r>
            <w:r>
              <w:rPr>
                <w:rFonts w:hint="default" w:ascii="Times New Roman" w:hAnsi="Times New Roman" w:eastAsia="宋体" w:cs="Times New Roman"/>
                <w:kern w:val="0"/>
                <w:sz w:val="24"/>
                <w:lang w:val="en-US" w:eastAsia="zh-CN"/>
              </w:rPr>
              <w:t>S执行《环境影响评价技术导则 大气环境》（HJ 2.2-2018）附录D参考限值：NH</w:t>
            </w:r>
            <w:r>
              <w:rPr>
                <w:rFonts w:hint="default" w:ascii="Times New Roman" w:hAnsi="Times New Roman" w:eastAsia="宋体" w:cs="Times New Roman"/>
                <w:kern w:val="0"/>
                <w:sz w:val="24"/>
                <w:vertAlign w:val="subscript"/>
                <w:lang w:val="en-US" w:eastAsia="zh-CN"/>
              </w:rPr>
              <w:t>3</w:t>
            </w:r>
            <w:r>
              <w:rPr>
                <w:rFonts w:hint="default" w:ascii="Times New Roman" w:hAnsi="Times New Roman" w:eastAsia="宋体" w:cs="Times New Roman"/>
                <w:kern w:val="0"/>
                <w:sz w:val="24"/>
                <w:lang w:val="en-US" w:eastAsia="zh-CN"/>
              </w:rPr>
              <w:t>≤200μg/m</w:t>
            </w:r>
            <w:r>
              <w:rPr>
                <w:rFonts w:hint="default" w:ascii="Times New Roman" w:hAnsi="Times New Roman" w:eastAsia="宋体" w:cs="Times New Roman"/>
                <w:kern w:val="0"/>
                <w:sz w:val="24"/>
                <w:vertAlign w:val="superscript"/>
                <w:lang w:val="en-US" w:eastAsia="zh-CN"/>
              </w:rPr>
              <w:t>3</w:t>
            </w:r>
            <w:r>
              <w:rPr>
                <w:rFonts w:hint="default" w:ascii="Times New Roman" w:hAnsi="Times New Roman" w:eastAsia="宋体" w:cs="Times New Roman"/>
                <w:kern w:val="0"/>
                <w:sz w:val="24"/>
                <w:lang w:val="en-US" w:eastAsia="zh-CN"/>
              </w:rPr>
              <w:t>，H</w:t>
            </w:r>
            <w:r>
              <w:rPr>
                <w:rFonts w:hint="default" w:ascii="Times New Roman" w:hAnsi="Times New Roman" w:eastAsia="宋体" w:cs="Times New Roman"/>
                <w:kern w:val="0"/>
                <w:sz w:val="24"/>
                <w:vertAlign w:val="subscript"/>
                <w:lang w:val="en-US" w:eastAsia="zh-CN"/>
              </w:rPr>
              <w:t>2</w:t>
            </w:r>
            <w:r>
              <w:rPr>
                <w:rFonts w:hint="default" w:ascii="Times New Roman" w:hAnsi="Times New Roman" w:eastAsia="宋体" w:cs="Times New Roman"/>
                <w:kern w:val="0"/>
                <w:sz w:val="24"/>
                <w:lang w:val="en-US" w:eastAsia="zh-CN"/>
              </w:rPr>
              <w:t>S≤10μg/m³，臭气浓度执行《恶臭污染物排放标准》表1中新扩改建项目二级标准浓度限值要求：臭气浓度≤20（无量纲）。</w:t>
            </w:r>
          </w:p>
          <w:p w14:paraId="3B8302D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监测结果统计与评价：监测及评价结果见表3-</w:t>
            </w:r>
            <w:r>
              <w:rPr>
                <w:rFonts w:hint="default" w:ascii="Times New Roman" w:hAnsi="Times New Roman" w:eastAsia="宋体" w:cs="Times New Roman"/>
                <w:kern w:val="0"/>
                <w:sz w:val="24"/>
                <w:lang w:val="en-US" w:eastAsia="zh-CN"/>
              </w:rPr>
              <w:t>2</w:t>
            </w:r>
            <w:r>
              <w:rPr>
                <w:rFonts w:hint="default" w:ascii="Times New Roman" w:hAnsi="Times New Roman" w:eastAsia="宋体" w:cs="Times New Roman"/>
                <w:kern w:val="0"/>
                <w:sz w:val="24"/>
              </w:rPr>
              <w:t>。</w:t>
            </w:r>
          </w:p>
          <w:p w14:paraId="03D962D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rPr>
            </w:pPr>
            <w:bookmarkStart w:id="14" w:name="_Ref14016"/>
            <w:r>
              <w:rPr>
                <w:rFonts w:hint="default" w:ascii="Times New Roman" w:hAnsi="Times New Roman" w:eastAsia="宋体" w:cs="Times New Roman"/>
                <w:b/>
                <w:bCs/>
                <w:kern w:val="0"/>
                <w:sz w:val="21"/>
                <w:szCs w:val="21"/>
              </w:rPr>
              <w:t xml:space="preserve">表 </w:t>
            </w:r>
            <w:bookmarkEnd w:id="14"/>
            <w:r>
              <w:rPr>
                <w:rFonts w:hint="default" w:ascii="Times New Roman" w:hAnsi="Times New Roman" w:eastAsia="宋体" w:cs="Times New Roman"/>
                <w:b/>
                <w:bCs/>
                <w:kern w:val="0"/>
                <w:sz w:val="21"/>
                <w:szCs w:val="21"/>
                <w:lang w:val="en-US" w:eastAsia="zh-CN"/>
              </w:rPr>
              <w:t>3-2 引用监测结果  单位：mg/m</w:t>
            </w:r>
            <w:r>
              <w:rPr>
                <w:rFonts w:hint="default" w:ascii="Times New Roman" w:hAnsi="Times New Roman" w:eastAsia="宋体" w:cs="Times New Roman"/>
                <w:b/>
                <w:bCs/>
                <w:kern w:val="0"/>
                <w:sz w:val="21"/>
                <w:szCs w:val="21"/>
                <w:vertAlign w:val="superscript"/>
                <w:lang w:val="en-US" w:eastAsia="zh-CN"/>
              </w:rPr>
              <w:t>3</w:t>
            </w:r>
            <w:r>
              <w:rPr>
                <w:rFonts w:hint="default" w:ascii="Times New Roman" w:hAnsi="Times New Roman" w:eastAsia="宋体" w:cs="Times New Roman"/>
                <w:b/>
                <w:bCs/>
                <w:kern w:val="0"/>
                <w:sz w:val="21"/>
                <w:szCs w:val="21"/>
                <w:lang w:val="en-US" w:eastAsia="zh-CN"/>
              </w:rPr>
              <w:t>，臭气浓度：无量纲</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874"/>
              <w:gridCol w:w="935"/>
              <w:gridCol w:w="964"/>
              <w:gridCol w:w="1161"/>
              <w:gridCol w:w="1014"/>
              <w:gridCol w:w="837"/>
              <w:gridCol w:w="837"/>
            </w:tblGrid>
            <w:tr w14:paraId="38EB2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noWrap w:val="0"/>
                  <w:vAlign w:val="center"/>
                </w:tcPr>
                <w:p w14:paraId="70EA1EC0">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监测点位</w:t>
                  </w:r>
                </w:p>
              </w:tc>
              <w:tc>
                <w:tcPr>
                  <w:tcW w:w="573" w:type="pct"/>
                  <w:noWrap w:val="0"/>
                  <w:vAlign w:val="center"/>
                </w:tcPr>
                <w:p w14:paraId="00ACFB10">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污染物</w:t>
                  </w:r>
                </w:p>
              </w:tc>
              <w:tc>
                <w:tcPr>
                  <w:tcW w:w="613" w:type="pct"/>
                  <w:noWrap w:val="0"/>
                  <w:vAlign w:val="center"/>
                </w:tcPr>
                <w:p w14:paraId="227E333C">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平均时间</w:t>
                  </w:r>
                </w:p>
              </w:tc>
              <w:tc>
                <w:tcPr>
                  <w:tcW w:w="632" w:type="pct"/>
                  <w:noWrap w:val="0"/>
                  <w:vAlign w:val="center"/>
                </w:tcPr>
                <w:p w14:paraId="1FC87BB9">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评价标准</w:t>
                  </w:r>
                </w:p>
              </w:tc>
              <w:tc>
                <w:tcPr>
                  <w:tcW w:w="761" w:type="pct"/>
                  <w:noWrap w:val="0"/>
                  <w:vAlign w:val="center"/>
                </w:tcPr>
                <w:p w14:paraId="56E0ECD2">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监测浓度范围</w:t>
                  </w:r>
                </w:p>
              </w:tc>
              <w:tc>
                <w:tcPr>
                  <w:tcW w:w="665" w:type="pct"/>
                  <w:noWrap w:val="0"/>
                  <w:vAlign w:val="center"/>
                </w:tcPr>
                <w:p w14:paraId="6B5EC2FB">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最大浓度占标率/%</w:t>
                  </w:r>
                </w:p>
              </w:tc>
              <w:tc>
                <w:tcPr>
                  <w:tcW w:w="549" w:type="pct"/>
                  <w:noWrap w:val="0"/>
                  <w:vAlign w:val="center"/>
                </w:tcPr>
                <w:p w14:paraId="504B1749">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超标率/%</w:t>
                  </w:r>
                </w:p>
              </w:tc>
              <w:tc>
                <w:tcPr>
                  <w:tcW w:w="549" w:type="pct"/>
                  <w:noWrap w:val="0"/>
                  <w:vAlign w:val="center"/>
                </w:tcPr>
                <w:p w14:paraId="106C192F">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达标情况</w:t>
                  </w:r>
                </w:p>
              </w:tc>
            </w:tr>
            <w:tr w14:paraId="2B767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vMerge w:val="restart"/>
                  <w:noWrap w:val="0"/>
                  <w:vAlign w:val="center"/>
                </w:tcPr>
                <w:p w14:paraId="3C03D30D">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G1南岳区交通运输局</w:t>
                  </w:r>
                </w:p>
              </w:tc>
              <w:tc>
                <w:tcPr>
                  <w:tcW w:w="573" w:type="pct"/>
                  <w:noWrap w:val="0"/>
                  <w:vAlign w:val="center"/>
                </w:tcPr>
                <w:p w14:paraId="2BE84278">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p>
              </w:tc>
              <w:tc>
                <w:tcPr>
                  <w:tcW w:w="613" w:type="pct"/>
                  <w:noWrap w:val="0"/>
                  <w:vAlign w:val="center"/>
                </w:tcPr>
                <w:p w14:paraId="1DE2E5C4">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1小时平均</w:t>
                  </w:r>
                </w:p>
              </w:tc>
              <w:tc>
                <w:tcPr>
                  <w:tcW w:w="632" w:type="pct"/>
                  <w:noWrap w:val="0"/>
                  <w:vAlign w:val="center"/>
                </w:tcPr>
                <w:p w14:paraId="09C0CFDE">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0.2</w:t>
                  </w:r>
                </w:p>
              </w:tc>
              <w:tc>
                <w:tcPr>
                  <w:tcW w:w="761" w:type="pct"/>
                  <w:noWrap w:val="0"/>
                  <w:vAlign w:val="center"/>
                </w:tcPr>
                <w:p w14:paraId="1CE98DA9">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0.02~0.04</w:t>
                  </w:r>
                </w:p>
              </w:tc>
              <w:tc>
                <w:tcPr>
                  <w:tcW w:w="665" w:type="pct"/>
                  <w:noWrap w:val="0"/>
                  <w:vAlign w:val="center"/>
                </w:tcPr>
                <w:p w14:paraId="54C3F37C">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549" w:type="pct"/>
                  <w:noWrap w:val="0"/>
                  <w:vAlign w:val="center"/>
                </w:tcPr>
                <w:p w14:paraId="7171C0CD">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549" w:type="pct"/>
                  <w:noWrap w:val="0"/>
                  <w:vAlign w:val="center"/>
                </w:tcPr>
                <w:p w14:paraId="7F23F4E1">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达标</w:t>
                  </w:r>
                </w:p>
              </w:tc>
            </w:tr>
            <w:tr w14:paraId="546B2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vMerge w:val="continue"/>
                  <w:noWrap w:val="0"/>
                  <w:vAlign w:val="center"/>
                </w:tcPr>
                <w:p w14:paraId="45F8BFFC">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p>
              </w:tc>
              <w:tc>
                <w:tcPr>
                  <w:tcW w:w="573" w:type="pct"/>
                  <w:noWrap w:val="0"/>
                  <w:vAlign w:val="center"/>
                </w:tcPr>
                <w:p w14:paraId="617D774D">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H</w:t>
                  </w:r>
                  <w:r>
                    <w:rPr>
                      <w:rFonts w:hint="default" w:ascii="Times New Roman" w:hAnsi="Times New Roman" w:cs="Times New Roman"/>
                      <w:color w:val="auto"/>
                      <w:sz w:val="21"/>
                      <w:szCs w:val="21"/>
                      <w:vertAlign w:val="subscript"/>
                      <w:lang w:val="en-US" w:eastAsia="zh-CN"/>
                    </w:rPr>
                    <w:t>2</w:t>
                  </w:r>
                  <w:r>
                    <w:rPr>
                      <w:rFonts w:hint="default" w:ascii="Times New Roman" w:hAnsi="Times New Roman" w:cs="Times New Roman"/>
                      <w:color w:val="auto"/>
                      <w:sz w:val="21"/>
                      <w:szCs w:val="21"/>
                      <w:lang w:val="en-US" w:eastAsia="zh-CN"/>
                    </w:rPr>
                    <w:t>S</w:t>
                  </w:r>
                </w:p>
              </w:tc>
              <w:tc>
                <w:tcPr>
                  <w:tcW w:w="613" w:type="pct"/>
                  <w:noWrap w:val="0"/>
                  <w:vAlign w:val="center"/>
                </w:tcPr>
                <w:p w14:paraId="608734A0">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1小时平均</w:t>
                  </w:r>
                </w:p>
              </w:tc>
              <w:tc>
                <w:tcPr>
                  <w:tcW w:w="632" w:type="pct"/>
                  <w:noWrap w:val="0"/>
                  <w:vAlign w:val="center"/>
                </w:tcPr>
                <w:p w14:paraId="16FB5BF0">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0.01</w:t>
                  </w:r>
                </w:p>
              </w:tc>
              <w:tc>
                <w:tcPr>
                  <w:tcW w:w="761" w:type="pct"/>
                  <w:noWrap w:val="0"/>
                  <w:vAlign w:val="center"/>
                </w:tcPr>
                <w:p w14:paraId="4D2A55DD">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N.D</w:t>
                  </w:r>
                </w:p>
              </w:tc>
              <w:tc>
                <w:tcPr>
                  <w:tcW w:w="665" w:type="pct"/>
                  <w:noWrap w:val="0"/>
                  <w:vAlign w:val="center"/>
                </w:tcPr>
                <w:p w14:paraId="558F8574">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49" w:type="pct"/>
                  <w:noWrap w:val="0"/>
                  <w:vAlign w:val="center"/>
                </w:tcPr>
                <w:p w14:paraId="0D7EB206">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549" w:type="pct"/>
                  <w:noWrap w:val="0"/>
                  <w:vAlign w:val="center"/>
                </w:tcPr>
                <w:p w14:paraId="1F2965A2">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达标</w:t>
                  </w:r>
                </w:p>
              </w:tc>
            </w:tr>
            <w:tr w14:paraId="3E6D5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53" w:type="pct"/>
                  <w:vMerge w:val="continue"/>
                  <w:noWrap w:val="0"/>
                  <w:vAlign w:val="center"/>
                </w:tcPr>
                <w:p w14:paraId="1D906FF4">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p>
              </w:tc>
              <w:tc>
                <w:tcPr>
                  <w:tcW w:w="573" w:type="pct"/>
                  <w:noWrap w:val="0"/>
                  <w:vAlign w:val="center"/>
                </w:tcPr>
                <w:p w14:paraId="644C4424">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臭气浓度</w:t>
                  </w:r>
                </w:p>
              </w:tc>
              <w:tc>
                <w:tcPr>
                  <w:tcW w:w="613" w:type="pct"/>
                  <w:noWrap w:val="0"/>
                  <w:vAlign w:val="center"/>
                </w:tcPr>
                <w:p w14:paraId="27C9E68A">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1小时平均</w:t>
                  </w:r>
                </w:p>
              </w:tc>
              <w:tc>
                <w:tcPr>
                  <w:tcW w:w="632" w:type="pct"/>
                  <w:noWrap w:val="0"/>
                  <w:vAlign w:val="center"/>
                </w:tcPr>
                <w:p w14:paraId="0D983BE1">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761" w:type="pct"/>
                  <w:noWrap w:val="0"/>
                  <w:vAlign w:val="center"/>
                </w:tcPr>
                <w:p w14:paraId="4A6BEE5F">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665" w:type="pct"/>
                  <w:noWrap w:val="0"/>
                  <w:vAlign w:val="center"/>
                </w:tcPr>
                <w:p w14:paraId="7E8B5D97">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49" w:type="pct"/>
                  <w:noWrap w:val="0"/>
                  <w:vAlign w:val="center"/>
                </w:tcPr>
                <w:p w14:paraId="06ADB5DD">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549" w:type="pct"/>
                  <w:noWrap w:val="0"/>
                  <w:vAlign w:val="center"/>
                </w:tcPr>
                <w:p w14:paraId="1E01EBA9">
                  <w:pPr>
                    <w:pStyle w:val="37"/>
                    <w:keepNext w:val="0"/>
                    <w:keepLines w:val="0"/>
                    <w:pageBreakBefore w:val="0"/>
                    <w:widowControl w:val="0"/>
                    <w:kinsoku/>
                    <w:wordWrap/>
                    <w:overflowPunct/>
                    <w:topLinePunct w:val="0"/>
                    <w:autoSpaceDE/>
                    <w:autoSpaceDN/>
                    <w:bidi w:val="0"/>
                    <w:adjustRightInd/>
                    <w:snapToGrid w:val="0"/>
                    <w:spacing w:beforeAutospacing="0" w:afterAutospacing="0" w:line="240" w:lineRule="auto"/>
                    <w:ind w:left="0" w:leftChars="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达标</w:t>
                  </w:r>
                </w:p>
              </w:tc>
            </w:tr>
          </w:tbl>
          <w:p w14:paraId="720F12DC">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kern w:val="0"/>
                <w:sz w:val="24"/>
              </w:rPr>
              <w:t>由监测结果可知，</w:t>
            </w:r>
            <w:r>
              <w:rPr>
                <w:rFonts w:hint="default" w:ascii="Times New Roman" w:hAnsi="Times New Roman" w:eastAsia="宋体" w:cs="Times New Roman"/>
                <w:kern w:val="0"/>
                <w:sz w:val="24"/>
                <w:lang w:val="en-US" w:eastAsia="zh-CN"/>
              </w:rPr>
              <w:t>NH</w:t>
            </w:r>
            <w:r>
              <w:rPr>
                <w:rFonts w:hint="default" w:ascii="Times New Roman" w:hAnsi="Times New Roman" w:eastAsia="宋体" w:cs="Times New Roman"/>
                <w:kern w:val="0"/>
                <w:sz w:val="24"/>
                <w:vertAlign w:val="subscript"/>
                <w:lang w:val="en-US" w:eastAsia="zh-CN"/>
              </w:rPr>
              <w:t>3</w:t>
            </w:r>
            <w:r>
              <w:rPr>
                <w:rFonts w:hint="default" w:ascii="Times New Roman" w:hAnsi="Times New Roman" w:eastAsia="宋体" w:cs="Times New Roman"/>
                <w:kern w:val="0"/>
                <w:sz w:val="24"/>
                <w:lang w:val="en-US" w:eastAsia="zh-CN"/>
              </w:rPr>
              <w:t>、H</w:t>
            </w:r>
            <w:r>
              <w:rPr>
                <w:rFonts w:hint="default" w:ascii="Times New Roman" w:hAnsi="Times New Roman" w:eastAsia="宋体" w:cs="Times New Roman"/>
                <w:kern w:val="0"/>
                <w:sz w:val="24"/>
                <w:vertAlign w:val="subscript"/>
                <w:lang w:val="en-US" w:eastAsia="zh-CN"/>
              </w:rPr>
              <w:t>2</w:t>
            </w:r>
            <w:r>
              <w:rPr>
                <w:rFonts w:hint="default" w:ascii="Times New Roman" w:hAnsi="Times New Roman" w:eastAsia="宋体" w:cs="Times New Roman"/>
                <w:kern w:val="0"/>
                <w:sz w:val="24"/>
                <w:lang w:val="en-US" w:eastAsia="zh-CN"/>
              </w:rPr>
              <w:t>S</w:t>
            </w:r>
            <w:r>
              <w:rPr>
                <w:rFonts w:hint="default" w:ascii="Times New Roman" w:hAnsi="Times New Roman" w:eastAsia="宋体" w:cs="Times New Roman"/>
                <w:kern w:val="0"/>
                <w:sz w:val="24"/>
              </w:rPr>
              <w:t>监测数据能够满足《环境影响评价技术导则大气环境》（HJ2.2-2018）附录D中推荐标准限值</w:t>
            </w:r>
            <w:r>
              <w:rPr>
                <w:rFonts w:hint="default" w:ascii="Times New Roman" w:hAnsi="Times New Roman" w:eastAsia="宋体" w:cs="Times New Roman"/>
                <w:kern w:val="0"/>
                <w:sz w:val="24"/>
                <w:lang w:eastAsia="zh-CN"/>
              </w:rPr>
              <w:t>。</w:t>
            </w:r>
            <w:r>
              <w:rPr>
                <w:rFonts w:hint="default" w:ascii="Times New Roman" w:hAnsi="Times New Roman" w:eastAsia="宋体" w:cs="Times New Roman"/>
                <w:kern w:val="0"/>
                <w:sz w:val="24"/>
                <w:lang w:val="en-US" w:eastAsia="zh-CN"/>
              </w:rPr>
              <w:t>臭气浓度满足《恶臭污染物排放标准》表1中新扩改建项目二级标准浓度限值要求。</w:t>
            </w:r>
          </w:p>
          <w:p w14:paraId="0182925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2、地表水环境质量现状调查及评价</w:t>
            </w:r>
          </w:p>
          <w:p w14:paraId="65D5F62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96" w:firstLineChars="200"/>
              <w:jc w:val="both"/>
              <w:textAlignment w:val="auto"/>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lang w:val="en-US" w:eastAsia="zh-CN"/>
              </w:rPr>
              <w:t>根据《建设项目环境影响报告表编制技术指南（污染影响类）（试行）》</w:t>
            </w:r>
            <w:r>
              <w:rPr>
                <w:rFonts w:hint="default" w:ascii="Times New Roman" w:hAnsi="Times New Roman" w:cs="Times New Roman"/>
                <w:spacing w:val="4"/>
                <w:sz w:val="24"/>
                <w:szCs w:val="24"/>
                <w:lang w:val="en-US" w:eastAsia="zh-CN"/>
              </w:rPr>
              <w:t>，</w:t>
            </w:r>
            <w:r>
              <w:rPr>
                <w:rFonts w:hint="default" w:ascii="Times New Roman" w:hAnsi="Times New Roman" w:eastAsia="宋体" w:cs="Times New Roman"/>
                <w:spacing w:val="4"/>
                <w:sz w:val="24"/>
                <w:szCs w:val="24"/>
                <w:lang w:val="en-US" w:eastAsia="zh-CN"/>
              </w:rPr>
              <w:t>地表水环境引用与建设项目距离近的有效数据，据衡阳市生态环境局发布的《关于202</w:t>
            </w:r>
            <w:r>
              <w:rPr>
                <w:rFonts w:hint="default" w:ascii="Times New Roman" w:hAnsi="Times New Roman" w:cs="Times New Roman"/>
                <w:spacing w:val="4"/>
                <w:sz w:val="24"/>
                <w:szCs w:val="24"/>
                <w:lang w:val="en-US" w:eastAsia="zh-CN"/>
              </w:rPr>
              <w:t>4</w:t>
            </w:r>
            <w:r>
              <w:rPr>
                <w:rFonts w:hint="default" w:ascii="Times New Roman" w:hAnsi="Times New Roman" w:eastAsia="宋体" w:cs="Times New Roman"/>
                <w:spacing w:val="4"/>
                <w:sz w:val="24"/>
                <w:szCs w:val="24"/>
                <w:lang w:val="en-US" w:eastAsia="zh-CN"/>
              </w:rPr>
              <w:t>年12月及1～12月全市环境质量状况的通报》可知其水质监测情况如下图所示：</w:t>
            </w:r>
          </w:p>
          <w:p w14:paraId="0DB35DB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eastAsia="宋体" w:cs="Times New Roman"/>
                <w:spacing w:val="4"/>
                <w:sz w:val="24"/>
                <w:szCs w:val="24"/>
                <w:lang w:val="en-US" w:eastAsia="zh-CN"/>
              </w:rPr>
            </w:pPr>
            <w:r>
              <w:rPr>
                <w:rFonts w:hint="default" w:ascii="Times New Roman" w:hAnsi="Times New Roman" w:cs="Times New Roman"/>
              </w:rPr>
              <w:drawing>
                <wp:inline distT="0" distB="0" distL="114300" distR="114300">
                  <wp:extent cx="4724400" cy="28956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8"/>
                          <a:stretch>
                            <a:fillRect/>
                          </a:stretch>
                        </pic:blipFill>
                        <pic:spPr>
                          <a:xfrm>
                            <a:off x="0" y="0"/>
                            <a:ext cx="4724400" cy="2895600"/>
                          </a:xfrm>
                          <a:prstGeom prst="rect">
                            <a:avLst/>
                          </a:prstGeom>
                          <a:noFill/>
                          <a:ln>
                            <a:noFill/>
                          </a:ln>
                        </pic:spPr>
                      </pic:pic>
                    </a:graphicData>
                  </a:graphic>
                </wp:inline>
              </w:drawing>
            </w:r>
          </w:p>
          <w:p w14:paraId="035F3400">
            <w:pPr>
              <w:pStyle w:val="25"/>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bCs/>
                <w:spacing w:val="6"/>
                <w:lang w:eastAsia="zh-CN"/>
              </w:rPr>
            </w:pPr>
            <w:r>
              <w:rPr>
                <w:rFonts w:hint="default" w:ascii="Times New Roman" w:hAnsi="Times New Roman" w:eastAsia="宋体" w:cs="Times New Roman"/>
                <w:b/>
                <w:bCs/>
                <w:kern w:val="0"/>
                <w:sz w:val="21"/>
                <w:szCs w:val="21"/>
                <w:lang w:val="en-US" w:eastAsia="zh-CN" w:bidi="ar-SA"/>
              </w:rPr>
              <w:t>图3-1</w:t>
            </w:r>
            <w:r>
              <w:rPr>
                <w:rFonts w:hint="default" w:ascii="Times New Roman" w:hAnsi="Times New Roman" w:cs="Times New Roman"/>
                <w:b/>
                <w:bCs/>
                <w:kern w:val="0"/>
                <w:sz w:val="21"/>
                <w:szCs w:val="21"/>
                <w:lang w:val="en-US" w:eastAsia="zh-CN" w:bidi="ar-SA"/>
              </w:rPr>
              <w:t xml:space="preserve"> </w:t>
            </w:r>
            <w:r>
              <w:rPr>
                <w:rFonts w:hint="default" w:ascii="Times New Roman" w:hAnsi="Times New Roman" w:eastAsia="宋体" w:cs="Times New Roman"/>
                <w:b/>
                <w:bCs/>
                <w:kern w:val="0"/>
                <w:sz w:val="21"/>
                <w:szCs w:val="21"/>
                <w:lang w:val="en-US" w:eastAsia="zh-CN" w:bidi="ar-SA"/>
              </w:rPr>
              <w:t>项目区域地表水水质情况</w:t>
            </w:r>
          </w:p>
          <w:p w14:paraId="44B9410A">
            <w:pPr>
              <w:pStyle w:val="25"/>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508" w:firstLineChars="200"/>
              <w:textAlignment w:val="auto"/>
              <w:rPr>
                <w:rFonts w:hint="default" w:ascii="Times New Roman" w:hAnsi="Times New Roman" w:cs="Times New Roman"/>
                <w:spacing w:val="9"/>
                <w:sz w:val="24"/>
                <w:szCs w:val="24"/>
                <w:lang w:val="en-US" w:eastAsia="zh-CN"/>
              </w:rPr>
            </w:pPr>
            <w:r>
              <w:rPr>
                <w:rFonts w:hint="default" w:ascii="Times New Roman" w:hAnsi="Times New Roman" w:eastAsia="宋体" w:cs="Times New Roman"/>
                <w:spacing w:val="7"/>
                <w:sz w:val="24"/>
                <w:szCs w:val="24"/>
                <w:lang w:val="en-US" w:eastAsia="zh-CN"/>
              </w:rPr>
              <w:t>由</w:t>
            </w:r>
            <w:r>
              <w:rPr>
                <w:rFonts w:hint="default" w:ascii="Times New Roman" w:hAnsi="Times New Roman" w:eastAsia="宋体" w:cs="Times New Roman"/>
                <w:spacing w:val="7"/>
                <w:sz w:val="24"/>
                <w:szCs w:val="24"/>
              </w:rPr>
              <w:t>上</w:t>
            </w:r>
            <w:r>
              <w:rPr>
                <w:rFonts w:hint="default" w:ascii="Times New Roman" w:hAnsi="Times New Roman" w:cs="Times New Roman"/>
                <w:spacing w:val="7"/>
                <w:sz w:val="24"/>
                <w:szCs w:val="24"/>
                <w:lang w:val="en-US" w:eastAsia="zh-CN"/>
              </w:rPr>
              <w:t>图</w:t>
            </w:r>
            <w:r>
              <w:rPr>
                <w:rFonts w:hint="default" w:ascii="Times New Roman" w:hAnsi="Times New Roman" w:eastAsia="宋体" w:cs="Times New Roman"/>
                <w:spacing w:val="7"/>
                <w:sz w:val="24"/>
                <w:szCs w:val="24"/>
              </w:rPr>
              <w:t>可知，</w:t>
            </w:r>
            <w:r>
              <w:rPr>
                <w:rFonts w:hint="default" w:ascii="Times New Roman" w:hAnsi="Times New Roman" w:cs="Times New Roman"/>
                <w:spacing w:val="7"/>
                <w:sz w:val="24"/>
                <w:szCs w:val="24"/>
                <w:lang w:val="en-US" w:eastAsia="zh-CN"/>
              </w:rPr>
              <w:t>南岳区</w:t>
            </w:r>
            <w:r>
              <w:rPr>
                <w:rFonts w:hint="default" w:ascii="Times New Roman" w:hAnsi="Times New Roman" w:eastAsia="宋体" w:cs="Times New Roman"/>
                <w:spacing w:val="7"/>
                <w:sz w:val="24"/>
                <w:szCs w:val="24"/>
              </w:rPr>
              <w:t>监测断面水质</w:t>
            </w:r>
            <w:r>
              <w:rPr>
                <w:rFonts w:hint="default" w:ascii="Times New Roman" w:hAnsi="Times New Roman" w:cs="Times New Roman"/>
                <w:spacing w:val="7"/>
                <w:sz w:val="24"/>
                <w:szCs w:val="24"/>
                <w:lang w:val="en-US" w:eastAsia="zh-CN"/>
              </w:rPr>
              <w:t>均</w:t>
            </w:r>
            <w:r>
              <w:rPr>
                <w:rFonts w:hint="default" w:ascii="Times New Roman" w:hAnsi="Times New Roman" w:eastAsia="宋体" w:cs="Times New Roman"/>
                <w:spacing w:val="7"/>
                <w:sz w:val="24"/>
                <w:szCs w:val="24"/>
              </w:rPr>
              <w:t>满足</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十四五</w:t>
            </w:r>
            <w:r>
              <w:rPr>
                <w:rFonts w:hint="eastAsia" w:ascii="宋体" w:hAnsi="宋体" w:eastAsia="宋体" w:cs="宋体"/>
                <w:spacing w:val="7"/>
                <w:sz w:val="24"/>
                <w:szCs w:val="24"/>
                <w:lang w:eastAsia="zh-CN"/>
              </w:rPr>
              <w:t>”</w:t>
            </w:r>
            <w:r>
              <w:rPr>
                <w:rFonts w:hint="default" w:ascii="Times New Roman" w:hAnsi="Times New Roman" w:eastAsia="宋体" w:cs="Times New Roman"/>
                <w:spacing w:val="7"/>
                <w:sz w:val="24"/>
                <w:szCs w:val="24"/>
              </w:rPr>
              <w:t>省控考核目标</w:t>
            </w:r>
            <w:r>
              <w:rPr>
                <w:rFonts w:hint="default" w:ascii="Times New Roman" w:hAnsi="Times New Roman" w:cs="Times New Roman"/>
                <w:spacing w:val="9"/>
                <w:sz w:val="24"/>
                <w:szCs w:val="24"/>
                <w:lang w:eastAsia="zh-CN"/>
              </w:rPr>
              <w:t>。</w:t>
            </w:r>
            <w:r>
              <w:rPr>
                <w:rFonts w:hint="default" w:ascii="Times New Roman" w:hAnsi="Times New Roman" w:cs="Times New Roman"/>
                <w:spacing w:val="9"/>
                <w:sz w:val="24"/>
                <w:szCs w:val="24"/>
                <w:lang w:val="en-US" w:eastAsia="zh-CN"/>
              </w:rPr>
              <w:t>故项目所在区域地表水达标。</w:t>
            </w:r>
          </w:p>
          <w:p w14:paraId="41AC478E">
            <w:pPr>
              <w:keepNext w:val="0"/>
              <w:keepLines w:val="0"/>
              <w:pageBreakBefore w:val="0"/>
              <w:wordWrap/>
              <w:overflowPunct/>
              <w:topLinePunct w:val="0"/>
              <w:bidi w:val="0"/>
              <w:adjustRightInd/>
              <w:snapToGrid/>
              <w:spacing w:beforeAutospacing="0" w:afterAutospacing="0" w:line="360" w:lineRule="auto"/>
              <w:ind w:left="0" w:leftChars="0" w:right="0" w:firstLine="482" w:firstLineChars="200"/>
              <w:rPr>
                <w:rFonts w:hint="default" w:ascii="Times New Roman" w:hAnsi="Times New Roman" w:cs="Times New Roman"/>
                <w:b/>
                <w:bCs/>
                <w:lang w:val="en-US" w:eastAsia="zh-CN"/>
              </w:rPr>
            </w:pPr>
            <w:r>
              <w:rPr>
                <w:rFonts w:hint="default" w:ascii="Times New Roman" w:hAnsi="Times New Roman" w:cs="Times New Roman"/>
                <w:b/>
                <w:bCs/>
                <w:lang w:val="en-US" w:eastAsia="zh-CN"/>
              </w:rPr>
              <w:t>3、声环境质量现状</w:t>
            </w:r>
          </w:p>
          <w:p w14:paraId="2CEB52C8">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left="0" w:leftChars="0" w:right="0" w:firstLine="0" w:firstLineChars="0"/>
              <w:jc w:val="left"/>
              <w:textAlignment w:val="baseline"/>
              <w:rPr>
                <w:rFonts w:hint="default" w:ascii="Times New Roman" w:hAnsi="Times New Roman" w:eastAsia="宋体" w:cs="Times New Roman"/>
                <w:color w:val="auto"/>
                <w:position w:val="18"/>
                <w:sz w:val="24"/>
                <w:szCs w:val="24"/>
                <w:lang w:eastAsia="zh-CN"/>
              </w:rPr>
            </w:pPr>
            <w:r>
              <w:rPr>
                <w:rFonts w:hint="default" w:ascii="Times New Roman" w:hAnsi="Times New Roman" w:eastAsia="宋体" w:cs="Times New Roman"/>
                <w:color w:val="auto"/>
                <w:position w:val="18"/>
                <w:sz w:val="24"/>
                <w:szCs w:val="24"/>
                <w:lang w:eastAsia="zh-CN"/>
              </w:rPr>
              <w:t>根据《建设项目环境影响报告表编制技术指南（污染影响类）（试行）》中具体编制要求</w:t>
            </w:r>
            <w:r>
              <w:rPr>
                <w:rFonts w:hint="eastAsia" w:ascii="宋体" w:hAnsi="宋体" w:eastAsia="宋体" w:cs="宋体"/>
                <w:color w:val="auto"/>
                <w:position w:val="18"/>
                <w:sz w:val="24"/>
                <w:szCs w:val="24"/>
                <w:lang w:eastAsia="zh-CN"/>
              </w:rPr>
              <w:t>“声环境、厂界外周边50米范围内存在声环境保护目标的建设项目，应监测保护目标声环境质量现状并评价达标情况”</w:t>
            </w:r>
            <w:r>
              <w:rPr>
                <w:rFonts w:hint="default" w:ascii="Times New Roman" w:hAnsi="Times New Roman" w:eastAsia="宋体" w:cs="Times New Roman"/>
                <w:color w:val="auto"/>
                <w:position w:val="18"/>
                <w:sz w:val="24"/>
                <w:szCs w:val="24"/>
                <w:lang w:eastAsia="zh-CN"/>
              </w:rPr>
              <w:t>。</w:t>
            </w:r>
            <w:r>
              <w:rPr>
                <w:rFonts w:hint="default" w:ascii="Times New Roman" w:hAnsi="Times New Roman" w:cs="Times New Roman"/>
                <w:color w:val="auto"/>
                <w:position w:val="18"/>
                <w:sz w:val="24"/>
                <w:szCs w:val="24"/>
                <w:lang w:val="en-US" w:eastAsia="zh-CN"/>
              </w:rPr>
              <w:t>本</w:t>
            </w:r>
            <w:r>
              <w:rPr>
                <w:rFonts w:hint="default" w:ascii="Times New Roman" w:hAnsi="Times New Roman" w:eastAsia="宋体" w:cs="Times New Roman"/>
                <w:color w:val="auto"/>
                <w:position w:val="18"/>
                <w:sz w:val="24"/>
                <w:szCs w:val="24"/>
                <w:lang w:eastAsia="zh-CN"/>
              </w:rPr>
              <w:t>项目厂界</w:t>
            </w:r>
            <w:r>
              <w:rPr>
                <w:rFonts w:hint="default" w:ascii="Times New Roman" w:hAnsi="Times New Roman" w:cs="Times New Roman"/>
                <w:color w:val="auto"/>
                <w:position w:val="18"/>
                <w:sz w:val="24"/>
                <w:szCs w:val="24"/>
                <w:lang w:val="en-US" w:eastAsia="zh-CN"/>
              </w:rPr>
              <w:t>37m处有一</w:t>
            </w:r>
            <w:r>
              <w:rPr>
                <w:rFonts w:hint="eastAsia" w:ascii="Times New Roman" w:hAnsi="Times New Roman" w:cs="Times New Roman"/>
                <w:color w:val="auto"/>
                <w:position w:val="18"/>
                <w:sz w:val="24"/>
                <w:szCs w:val="24"/>
                <w:lang w:val="en-US" w:eastAsia="zh-CN"/>
              </w:rPr>
              <w:t>户居民</w:t>
            </w:r>
            <w:r>
              <w:rPr>
                <w:rFonts w:hint="default" w:ascii="Times New Roman" w:hAnsi="Times New Roman" w:eastAsia="宋体" w:cs="Times New Roman"/>
                <w:color w:val="auto"/>
                <w:position w:val="18"/>
                <w:sz w:val="24"/>
                <w:szCs w:val="24"/>
                <w:lang w:eastAsia="zh-CN"/>
              </w:rPr>
              <w:t>，因此需要进行声环境质量监测。</w:t>
            </w:r>
          </w:p>
          <w:p w14:paraId="18A22AEF">
            <w:pPr>
              <w:pStyle w:val="12"/>
              <w:bidi w:val="0"/>
              <w:jc w:val="center"/>
              <w:rPr>
                <w:rFonts w:hint="default" w:ascii="Times New Roman" w:hAnsi="Times New Roman" w:eastAsia="宋体" w:cs="Times New Roman"/>
                <w:b/>
                <w:bCs/>
                <w:lang w:eastAsia="zh-CN"/>
              </w:rPr>
            </w:pPr>
            <w:r>
              <w:rPr>
                <w:rFonts w:hint="default" w:ascii="Times New Roman" w:hAnsi="Times New Roman" w:eastAsia="宋体" w:cs="Times New Roman"/>
                <w:b/>
                <w:bCs/>
                <w:lang w:val="en-US" w:eastAsia="zh-CN"/>
              </w:rPr>
              <w:t>表3-3 声环境质量检测结果</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4"/>
              <w:gridCol w:w="1524"/>
              <w:gridCol w:w="1525"/>
              <w:gridCol w:w="1524"/>
              <w:gridCol w:w="1526"/>
            </w:tblGrid>
            <w:tr w14:paraId="463CE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4" w:type="dxa"/>
                  <w:vAlign w:val="center"/>
                </w:tcPr>
                <w:p w14:paraId="1EE50A4A">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检测点位</w:t>
                  </w:r>
                </w:p>
              </w:tc>
              <w:tc>
                <w:tcPr>
                  <w:tcW w:w="1524" w:type="dxa"/>
                  <w:vAlign w:val="center"/>
                </w:tcPr>
                <w:p w14:paraId="273BD0FF">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主要声源</w:t>
                  </w:r>
                </w:p>
              </w:tc>
              <w:tc>
                <w:tcPr>
                  <w:tcW w:w="1525" w:type="dxa"/>
                  <w:vAlign w:val="center"/>
                </w:tcPr>
                <w:p w14:paraId="46A1DF0A">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检测点位</w:t>
                  </w:r>
                </w:p>
              </w:tc>
              <w:tc>
                <w:tcPr>
                  <w:tcW w:w="1524" w:type="dxa"/>
                  <w:vAlign w:val="center"/>
                </w:tcPr>
                <w:p w14:paraId="21D33301">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p>
              </w:tc>
              <w:tc>
                <w:tcPr>
                  <w:tcW w:w="1526" w:type="dxa"/>
                  <w:vAlign w:val="center"/>
                </w:tcPr>
                <w:p w14:paraId="44BD88C1">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声环境质量噪声L</w:t>
                  </w:r>
                  <w:r>
                    <w:rPr>
                      <w:rFonts w:hint="default" w:ascii="Times New Roman" w:hAnsi="Times New Roman" w:cs="Times New Roman"/>
                      <w:color w:val="auto"/>
                      <w:position w:val="18"/>
                      <w:sz w:val="21"/>
                      <w:szCs w:val="21"/>
                      <w:vertAlign w:val="subscript"/>
                      <w:lang w:val="en-US" w:eastAsia="zh-CN"/>
                    </w:rPr>
                    <w:t>eq</w:t>
                  </w:r>
                  <w:r>
                    <w:rPr>
                      <w:rFonts w:hint="default" w:ascii="Times New Roman" w:hAnsi="Times New Roman" w:cs="Times New Roman"/>
                      <w:color w:val="auto"/>
                      <w:position w:val="18"/>
                      <w:sz w:val="21"/>
                      <w:szCs w:val="21"/>
                      <w:vertAlign w:val="baseline"/>
                      <w:lang w:val="en-US" w:eastAsia="zh-CN"/>
                    </w:rPr>
                    <w:t>dB（A）</w:t>
                  </w:r>
                </w:p>
              </w:tc>
            </w:tr>
            <w:tr w14:paraId="38CD7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4" w:type="dxa"/>
                  <w:vMerge w:val="restart"/>
                  <w:vAlign w:val="center"/>
                </w:tcPr>
                <w:p w14:paraId="1D5EC731">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西北侧厂界37m居民点</w:t>
                  </w:r>
                </w:p>
              </w:tc>
              <w:tc>
                <w:tcPr>
                  <w:tcW w:w="1524" w:type="dxa"/>
                  <w:vMerge w:val="restart"/>
                  <w:vAlign w:val="center"/>
                </w:tcPr>
                <w:p w14:paraId="7382B972">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交通、环境</w:t>
                  </w:r>
                </w:p>
              </w:tc>
              <w:tc>
                <w:tcPr>
                  <w:tcW w:w="1525" w:type="dxa"/>
                  <w:vAlign w:val="center"/>
                </w:tcPr>
                <w:p w14:paraId="68C9EE74">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昼间</w:t>
                  </w:r>
                </w:p>
              </w:tc>
              <w:tc>
                <w:tcPr>
                  <w:tcW w:w="1524" w:type="dxa"/>
                  <w:vAlign w:val="center"/>
                </w:tcPr>
                <w:p w14:paraId="76592EF0">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14：01~14：21</w:t>
                  </w:r>
                </w:p>
              </w:tc>
              <w:tc>
                <w:tcPr>
                  <w:tcW w:w="1526" w:type="dxa"/>
                  <w:vAlign w:val="center"/>
                </w:tcPr>
                <w:p w14:paraId="10B9084D">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51.0</w:t>
                  </w:r>
                </w:p>
              </w:tc>
            </w:tr>
            <w:tr w14:paraId="19594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4" w:type="dxa"/>
                  <w:vMerge w:val="continue"/>
                  <w:vAlign w:val="center"/>
                </w:tcPr>
                <w:p w14:paraId="095259C3">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p>
              </w:tc>
              <w:tc>
                <w:tcPr>
                  <w:tcW w:w="1524" w:type="dxa"/>
                  <w:vMerge w:val="continue"/>
                  <w:vAlign w:val="center"/>
                </w:tcPr>
                <w:p w14:paraId="5A664415">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p>
              </w:tc>
              <w:tc>
                <w:tcPr>
                  <w:tcW w:w="1525" w:type="dxa"/>
                  <w:vAlign w:val="center"/>
                </w:tcPr>
                <w:p w14:paraId="4980C56B">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夜间</w:t>
                  </w:r>
                </w:p>
              </w:tc>
              <w:tc>
                <w:tcPr>
                  <w:tcW w:w="1524" w:type="dxa"/>
                  <w:vAlign w:val="center"/>
                </w:tcPr>
                <w:p w14:paraId="6BEB216A">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22：04~22：24</w:t>
                  </w:r>
                </w:p>
              </w:tc>
              <w:tc>
                <w:tcPr>
                  <w:tcW w:w="1526" w:type="dxa"/>
                  <w:vAlign w:val="center"/>
                </w:tcPr>
                <w:p w14:paraId="3B64E9BB">
                  <w:pPr>
                    <w:pStyle w:val="25"/>
                    <w:keepNext w:val="0"/>
                    <w:keepLines w:val="0"/>
                    <w:pageBreakBefore w:val="0"/>
                    <w:widowControl/>
                    <w:kinsoku w:val="0"/>
                    <w:wordWrap/>
                    <w:overflowPunct/>
                    <w:topLinePunct w:val="0"/>
                    <w:autoSpaceDE w:val="0"/>
                    <w:autoSpaceDN w:val="0"/>
                    <w:bidi w:val="0"/>
                    <w:adjustRightInd/>
                    <w:snapToGrid/>
                    <w:spacing w:beforeAutospacing="0" w:afterAutospacing="0" w:line="240" w:lineRule="auto"/>
                    <w:ind w:right="0"/>
                    <w:jc w:val="center"/>
                    <w:textAlignment w:val="baseline"/>
                    <w:rPr>
                      <w:rFonts w:hint="default" w:ascii="Times New Roman" w:hAnsi="Times New Roman" w:eastAsia="宋体" w:cs="Times New Roman"/>
                      <w:color w:val="auto"/>
                      <w:position w:val="18"/>
                      <w:sz w:val="24"/>
                      <w:szCs w:val="24"/>
                      <w:vertAlign w:val="baseline"/>
                      <w:lang w:eastAsia="zh-CN"/>
                    </w:rPr>
                  </w:pPr>
                  <w:r>
                    <w:rPr>
                      <w:rFonts w:hint="default" w:ascii="Times New Roman" w:hAnsi="Times New Roman" w:cs="Times New Roman"/>
                      <w:color w:val="auto"/>
                      <w:position w:val="18"/>
                      <w:sz w:val="21"/>
                      <w:szCs w:val="21"/>
                      <w:vertAlign w:val="baseline"/>
                      <w:lang w:val="en-US" w:eastAsia="zh-CN"/>
                    </w:rPr>
                    <w:t>49.8</w:t>
                  </w:r>
                </w:p>
              </w:tc>
            </w:tr>
          </w:tbl>
          <w:p w14:paraId="5D2023C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eastAsia"/>
                <w:lang w:val="en-US" w:eastAsia="zh-CN"/>
              </w:rPr>
              <w:t>根据监测结果，本项目声环境质量达到</w:t>
            </w:r>
            <w:r>
              <w:rPr>
                <w:rFonts w:hint="default" w:ascii="Times New Roman" w:hAnsi="Times New Roman" w:cs="Times New Roman"/>
                <w:vertAlign w:val="baseline"/>
                <w:lang w:val="en-US" w:eastAsia="zh-CN"/>
              </w:rPr>
              <w:t>《工业企业厂界环境噪声排放标准》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default" w:ascii="Times New Roman" w:hAnsi="Times New Roman" w:cs="Times New Roman"/>
                <w:color w:val="000000"/>
                <w:kern w:val="0"/>
                <w:sz w:val="24"/>
                <w:szCs w:val="24"/>
                <w:lang w:val="en-US" w:eastAsia="zh-CN" w:bidi="ar"/>
              </w:rPr>
              <w:t>）中2类标准（即昼间≤60dB</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A</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，夜间≤50dB</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A</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w:t>
            </w:r>
            <w:r>
              <w:rPr>
                <w:rFonts w:hint="eastAsia" w:cs="Times New Roman"/>
                <w:color w:val="000000"/>
                <w:kern w:val="0"/>
                <w:sz w:val="24"/>
                <w:szCs w:val="24"/>
                <w:lang w:val="en-US" w:eastAsia="zh-CN" w:bidi="ar"/>
              </w:rPr>
              <w:t>。</w:t>
            </w:r>
          </w:p>
          <w:p w14:paraId="7111F427">
            <w:pPr>
              <w:keepNext w:val="0"/>
              <w:keepLines w:val="0"/>
              <w:pageBreakBefore w:val="0"/>
              <w:widowControl w:val="0"/>
              <w:wordWrap/>
              <w:overflowPunct/>
              <w:topLinePunct w:val="0"/>
              <w:bidi w:val="0"/>
              <w:adjustRightInd/>
              <w:snapToGrid/>
              <w:spacing w:beforeAutospacing="0" w:afterAutospacing="0" w:line="360" w:lineRule="auto"/>
              <w:ind w:left="0" w:leftChars="0" w:right="0" w:firstLine="482" w:firstLineChars="200"/>
              <w:rPr>
                <w:rFonts w:hint="default" w:ascii="Times New Roman" w:hAnsi="Times New Roman" w:cs="Times New Roman"/>
                <w:b/>
                <w:bCs/>
                <w:lang w:val="en-US" w:eastAsia="zh-CN"/>
              </w:rPr>
            </w:pPr>
            <w:r>
              <w:rPr>
                <w:rFonts w:hint="default" w:ascii="Times New Roman" w:hAnsi="Times New Roman" w:cs="Times New Roman"/>
                <w:b/>
                <w:bCs/>
                <w:lang w:val="en-US" w:eastAsia="zh-CN"/>
              </w:rPr>
              <w:t>4、生态环境质量现状</w:t>
            </w:r>
          </w:p>
          <w:p w14:paraId="47DDD2EA">
            <w:pPr>
              <w:pStyle w:val="25"/>
              <w:keepNext w:val="0"/>
              <w:keepLines w:val="0"/>
              <w:pageBreakBefore w:val="0"/>
              <w:widowControl w:val="0"/>
              <w:kinsoku w:val="0"/>
              <w:wordWrap/>
              <w:overflowPunct/>
              <w:topLinePunct w:val="0"/>
              <w:autoSpaceDE w:val="0"/>
              <w:autoSpaceDN w:val="0"/>
              <w:bidi w:val="0"/>
              <w:adjustRightInd/>
              <w:snapToGrid/>
              <w:spacing w:beforeAutospacing="0" w:afterAutospacing="0" w:line="360" w:lineRule="auto"/>
              <w:ind w:left="0" w:leftChars="0" w:right="0" w:firstLine="488" w:firstLineChars="200"/>
              <w:jc w:val="left"/>
              <w:textAlignment w:val="baseline"/>
              <w:rPr>
                <w:rFonts w:hint="eastAsia" w:ascii="宋体" w:hAnsi="宋体" w:eastAsia="宋体" w:cs="宋体"/>
                <w:color w:val="auto"/>
                <w:spacing w:val="2"/>
                <w:position w:val="12"/>
                <w:sz w:val="24"/>
                <w:szCs w:val="24"/>
                <w:lang w:eastAsia="zh-CN"/>
              </w:rPr>
            </w:pPr>
            <w:r>
              <w:rPr>
                <w:rFonts w:hint="default" w:ascii="Times New Roman" w:hAnsi="Times New Roman" w:eastAsia="宋体" w:cs="Times New Roman"/>
                <w:color w:val="auto"/>
                <w:spacing w:val="2"/>
                <w:position w:val="12"/>
                <w:sz w:val="24"/>
                <w:szCs w:val="24"/>
                <w:lang w:eastAsia="zh-CN"/>
              </w:rPr>
              <w:t>根据《建设项目环境影响报告表编制技术指南</w:t>
            </w:r>
            <w:r>
              <w:rPr>
                <w:rFonts w:hint="eastAsia" w:ascii="Times New Roman" w:hAnsi="Times New Roman" w:cs="Times New Roman"/>
                <w:color w:val="auto"/>
                <w:spacing w:val="2"/>
                <w:position w:val="12"/>
                <w:sz w:val="24"/>
                <w:szCs w:val="24"/>
                <w:lang w:eastAsia="zh-CN"/>
              </w:rPr>
              <w:t>（</w:t>
            </w:r>
            <w:r>
              <w:rPr>
                <w:rFonts w:hint="default" w:ascii="Times New Roman" w:hAnsi="Times New Roman" w:eastAsia="宋体" w:cs="Times New Roman"/>
                <w:color w:val="auto"/>
                <w:spacing w:val="2"/>
                <w:position w:val="12"/>
                <w:sz w:val="24"/>
                <w:szCs w:val="24"/>
                <w:lang w:eastAsia="zh-CN"/>
              </w:rPr>
              <w:t>污染影响类</w:t>
            </w:r>
            <w:r>
              <w:rPr>
                <w:rFonts w:hint="eastAsia" w:ascii="Times New Roman" w:hAnsi="Times New Roman" w:cs="Times New Roman"/>
                <w:color w:val="auto"/>
                <w:spacing w:val="2"/>
                <w:position w:val="12"/>
                <w:sz w:val="24"/>
                <w:szCs w:val="24"/>
                <w:lang w:eastAsia="zh-CN"/>
              </w:rPr>
              <w:t>）</w:t>
            </w:r>
            <w:r>
              <w:rPr>
                <w:rFonts w:hint="default" w:ascii="Times New Roman" w:hAnsi="Times New Roman" w:eastAsia="宋体" w:cs="Times New Roman"/>
                <w:color w:val="auto"/>
                <w:spacing w:val="2"/>
                <w:position w:val="12"/>
                <w:sz w:val="24"/>
                <w:szCs w:val="24"/>
                <w:lang w:eastAsia="zh-CN"/>
              </w:rPr>
              <w:t>》，</w:t>
            </w:r>
            <w:r>
              <w:rPr>
                <w:rFonts w:hint="eastAsia" w:ascii="宋体" w:hAnsi="宋体" w:eastAsia="宋体" w:cs="宋体"/>
                <w:color w:val="auto"/>
                <w:spacing w:val="2"/>
                <w:position w:val="12"/>
                <w:sz w:val="24"/>
                <w:szCs w:val="24"/>
                <w:lang w:eastAsia="zh-CN"/>
              </w:rPr>
              <w:t>“产业园区外建设项目新增用地且用地范围内含有生态环境保护目标时，应进行生态现状调查”。本项目</w:t>
            </w:r>
            <w:r>
              <w:rPr>
                <w:rFonts w:hint="eastAsia" w:ascii="宋体" w:hAnsi="宋体" w:eastAsia="宋体" w:cs="宋体"/>
                <w:color w:val="auto"/>
                <w:spacing w:val="2"/>
                <w:position w:val="12"/>
                <w:sz w:val="24"/>
                <w:szCs w:val="24"/>
                <w:lang w:val="en-US" w:eastAsia="zh-CN"/>
              </w:rPr>
              <w:t>用地为村庄建设区，空地，用地范围内不含生态环境保护目标</w:t>
            </w:r>
            <w:r>
              <w:rPr>
                <w:rFonts w:hint="eastAsia" w:ascii="宋体" w:hAnsi="宋体" w:eastAsia="宋体" w:cs="宋体"/>
                <w:color w:val="auto"/>
                <w:spacing w:val="2"/>
                <w:position w:val="12"/>
                <w:sz w:val="24"/>
                <w:szCs w:val="24"/>
                <w:lang w:eastAsia="zh-CN"/>
              </w:rPr>
              <w:t>，</w:t>
            </w:r>
            <w:r>
              <w:rPr>
                <w:rFonts w:hint="eastAsia" w:cs="宋体"/>
                <w:color w:val="auto"/>
                <w:spacing w:val="2"/>
                <w:position w:val="12"/>
                <w:sz w:val="24"/>
                <w:szCs w:val="24"/>
                <w:lang w:val="en-US" w:eastAsia="zh-CN"/>
              </w:rPr>
              <w:t>可</w:t>
            </w:r>
            <w:r>
              <w:rPr>
                <w:rFonts w:hint="eastAsia" w:ascii="宋体" w:hAnsi="宋体" w:eastAsia="宋体" w:cs="宋体"/>
                <w:color w:val="auto"/>
                <w:spacing w:val="2"/>
                <w:position w:val="12"/>
                <w:sz w:val="24"/>
                <w:szCs w:val="24"/>
                <w:lang w:eastAsia="zh-CN"/>
              </w:rPr>
              <w:t>不对生态环境质量现状进行评价分析。</w:t>
            </w:r>
          </w:p>
          <w:p w14:paraId="3FBA4073">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5、电磁辐射</w:t>
            </w:r>
          </w:p>
          <w:p w14:paraId="439A6DA5">
            <w:pPr>
              <w:pStyle w:val="2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本项目不涉及电磁辐射影响，不需开展电磁辐射现状监测与评价。</w:t>
            </w:r>
          </w:p>
          <w:p w14:paraId="3770CDE4">
            <w:pPr>
              <w:keepNext w:val="0"/>
              <w:keepLines w:val="0"/>
              <w:pageBreakBefore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6、地下水及土壤环境质量现状</w:t>
            </w:r>
          </w:p>
          <w:p w14:paraId="10BB12F1">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8" w:firstLineChars="200"/>
              <w:jc w:val="left"/>
              <w:textAlignment w:val="auto"/>
              <w:rPr>
                <w:rFonts w:hint="default" w:ascii="Times New Roman" w:hAnsi="Times New Roman" w:cs="Times New Roman"/>
                <w:lang w:val="en-US" w:eastAsia="zh-CN"/>
              </w:rPr>
            </w:pPr>
            <w:r>
              <w:rPr>
                <w:rFonts w:hint="default" w:ascii="Times New Roman" w:hAnsi="Times New Roman" w:eastAsia="宋体" w:cs="Times New Roman"/>
                <w:color w:val="auto"/>
                <w:spacing w:val="2"/>
                <w:kern w:val="2"/>
                <w:position w:val="12"/>
                <w:sz w:val="24"/>
                <w:szCs w:val="24"/>
                <w:lang w:val="en-US" w:eastAsia="zh-CN" w:bidi="ar-SA"/>
              </w:rPr>
              <w:t>根据《建设项目环境影响报告表编制技术指南（污染影响类）（试行）》 中具体编制要求</w:t>
            </w:r>
            <w:r>
              <w:rPr>
                <w:rFonts w:hint="default" w:ascii="Times New Roman" w:hAnsi="Times New Roman" w:cs="Times New Roman"/>
                <w:color w:val="auto"/>
                <w:spacing w:val="2"/>
                <w:kern w:val="2"/>
                <w:position w:val="12"/>
                <w:sz w:val="24"/>
                <w:szCs w:val="24"/>
                <w:lang w:val="en-US" w:eastAsia="zh-CN" w:bidi="ar-SA"/>
              </w:rPr>
              <w:t>“</w:t>
            </w:r>
            <w:r>
              <w:rPr>
                <w:rFonts w:hint="default" w:ascii="Times New Roman" w:hAnsi="Times New Roman" w:eastAsia="宋体" w:cs="Times New Roman"/>
                <w:color w:val="auto"/>
                <w:spacing w:val="2"/>
                <w:kern w:val="2"/>
                <w:position w:val="12"/>
                <w:sz w:val="24"/>
                <w:szCs w:val="24"/>
                <w:lang w:val="en-US" w:eastAsia="zh-CN" w:bidi="ar-SA"/>
              </w:rPr>
              <w:t>原则上不开展环境质量现状调查。建设项目存在土壤、地下水环境污染途径的，应结合污染源、保护目标分布情况开展现状调查以留作背景值。</w:t>
            </w:r>
            <w:r>
              <w:rPr>
                <w:rFonts w:hint="default" w:ascii="Times New Roman" w:hAnsi="Times New Roman" w:cs="Times New Roman"/>
                <w:color w:val="auto"/>
                <w:spacing w:val="2"/>
                <w:kern w:val="2"/>
                <w:position w:val="12"/>
                <w:sz w:val="24"/>
                <w:szCs w:val="24"/>
                <w:lang w:val="en-US" w:eastAsia="zh-CN" w:bidi="ar-SA"/>
              </w:rPr>
              <w:t>”</w:t>
            </w:r>
            <w:r>
              <w:rPr>
                <w:rFonts w:hint="default" w:ascii="Times New Roman" w:hAnsi="Times New Roman" w:eastAsia="宋体" w:cs="Times New Roman"/>
                <w:color w:val="auto"/>
                <w:spacing w:val="2"/>
                <w:kern w:val="2"/>
                <w:position w:val="12"/>
                <w:sz w:val="24"/>
                <w:szCs w:val="24"/>
                <w:lang w:val="en-US" w:eastAsia="zh-CN" w:bidi="ar-SA"/>
              </w:rPr>
              <w:t>项目用地为</w:t>
            </w:r>
            <w:r>
              <w:rPr>
                <w:rFonts w:hint="default" w:ascii="Times New Roman" w:hAnsi="Times New Roman" w:cs="Times New Roman"/>
                <w:color w:val="auto"/>
                <w:spacing w:val="2"/>
                <w:kern w:val="2"/>
                <w:position w:val="12"/>
                <w:sz w:val="24"/>
                <w:szCs w:val="24"/>
                <w:lang w:val="en-US" w:eastAsia="zh-CN" w:bidi="ar-SA"/>
              </w:rPr>
              <w:t>村庄建设区</w:t>
            </w:r>
            <w:r>
              <w:rPr>
                <w:rFonts w:hint="default" w:ascii="Times New Roman" w:hAnsi="Times New Roman" w:eastAsia="宋体" w:cs="Times New Roman"/>
                <w:color w:val="auto"/>
                <w:spacing w:val="2"/>
                <w:kern w:val="2"/>
                <w:position w:val="12"/>
                <w:sz w:val="24"/>
                <w:szCs w:val="24"/>
                <w:lang w:val="en-US" w:eastAsia="zh-CN" w:bidi="ar-SA"/>
              </w:rPr>
              <w:t>，</w:t>
            </w:r>
            <w:r>
              <w:rPr>
                <w:rFonts w:hint="default" w:ascii="Times New Roman" w:hAnsi="Times New Roman" w:cs="Times New Roman"/>
                <w:color w:val="auto"/>
                <w:spacing w:val="2"/>
                <w:kern w:val="2"/>
                <w:position w:val="12"/>
                <w:sz w:val="24"/>
                <w:szCs w:val="24"/>
                <w:lang w:val="en-US" w:eastAsia="zh-CN" w:bidi="ar-SA"/>
              </w:rPr>
              <w:t>目前为空地，</w:t>
            </w:r>
            <w:r>
              <w:rPr>
                <w:rFonts w:hint="default" w:ascii="Times New Roman" w:hAnsi="Times New Roman" w:eastAsia="宋体" w:cs="Times New Roman"/>
                <w:color w:val="auto"/>
                <w:spacing w:val="2"/>
                <w:kern w:val="2"/>
                <w:position w:val="12"/>
                <w:sz w:val="24"/>
                <w:szCs w:val="24"/>
                <w:lang w:val="en-US" w:eastAsia="zh-CN" w:bidi="ar-SA"/>
              </w:rPr>
              <w:t>项目厂界外</w:t>
            </w:r>
            <w:r>
              <w:rPr>
                <w:rFonts w:hint="default" w:ascii="Times New Roman" w:hAnsi="Times New Roman" w:cs="Times New Roman"/>
                <w:color w:val="auto"/>
                <w:spacing w:val="2"/>
                <w:kern w:val="2"/>
                <w:position w:val="12"/>
                <w:sz w:val="24"/>
                <w:szCs w:val="24"/>
                <w:lang w:val="en-US" w:eastAsia="zh-CN" w:bidi="ar-SA"/>
              </w:rPr>
              <w:t xml:space="preserve"> </w:t>
            </w:r>
            <w:r>
              <w:rPr>
                <w:rFonts w:hint="default" w:ascii="Times New Roman" w:hAnsi="Times New Roman" w:eastAsia="宋体" w:cs="Times New Roman"/>
                <w:color w:val="auto"/>
                <w:spacing w:val="2"/>
                <w:kern w:val="2"/>
                <w:position w:val="12"/>
                <w:sz w:val="24"/>
                <w:szCs w:val="24"/>
                <w:lang w:val="en-US" w:eastAsia="zh-CN" w:bidi="ar-SA"/>
              </w:rPr>
              <w:t>500</w:t>
            </w:r>
            <w:r>
              <w:rPr>
                <w:rFonts w:hint="default" w:ascii="Times New Roman" w:hAnsi="Times New Roman" w:cs="Times New Roman"/>
                <w:color w:val="auto"/>
                <w:spacing w:val="2"/>
                <w:kern w:val="2"/>
                <w:position w:val="12"/>
                <w:sz w:val="24"/>
                <w:szCs w:val="24"/>
                <w:lang w:val="en-US" w:eastAsia="zh-CN" w:bidi="ar-SA"/>
              </w:rPr>
              <w:t xml:space="preserve"> </w:t>
            </w:r>
            <w:r>
              <w:rPr>
                <w:rFonts w:hint="default" w:ascii="Times New Roman" w:hAnsi="Times New Roman" w:eastAsia="宋体" w:cs="Times New Roman"/>
                <w:color w:val="auto"/>
                <w:spacing w:val="2"/>
                <w:kern w:val="2"/>
                <w:position w:val="12"/>
                <w:sz w:val="24"/>
                <w:szCs w:val="24"/>
                <w:lang w:val="en-US" w:eastAsia="zh-CN" w:bidi="ar-SA"/>
              </w:rPr>
              <w:t>米范围内不存在地下水集中式饮用水水源、矿泉水、温泉等特殊地下水资源，且项目不存在地下水、土壤环境污染途径，不开展地下水、土壤环境质量现状调查。</w:t>
            </w:r>
          </w:p>
        </w:tc>
      </w:tr>
      <w:tr w14:paraId="09D55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noWrap w:val="0"/>
            <w:vAlign w:val="center"/>
          </w:tcPr>
          <w:p w14:paraId="7C24F28F">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环境</w:t>
            </w:r>
          </w:p>
          <w:p w14:paraId="1E805D6C">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保护</w:t>
            </w:r>
          </w:p>
          <w:p w14:paraId="09006B5C">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目标</w:t>
            </w:r>
          </w:p>
        </w:tc>
        <w:tc>
          <w:tcPr>
            <w:tcW w:w="7849" w:type="dxa"/>
            <w:noWrap w:val="0"/>
            <w:vAlign w:val="top"/>
          </w:tcPr>
          <w:p w14:paraId="38A2FFAB">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cs="Times New Roman"/>
                <w:b/>
                <w:bCs/>
              </w:rPr>
            </w:pPr>
            <w:r>
              <w:rPr>
                <w:rFonts w:hint="default" w:ascii="Times New Roman" w:hAnsi="Times New Roman" w:eastAsia="宋体" w:cs="Times New Roman"/>
                <w:b/>
                <w:bCs/>
                <w:color w:val="000000"/>
                <w:kern w:val="0"/>
                <w:sz w:val="24"/>
                <w:szCs w:val="24"/>
                <w:lang w:val="en-US" w:eastAsia="zh-CN" w:bidi="ar"/>
              </w:rPr>
              <w:t>1、大气环境</w:t>
            </w:r>
          </w:p>
          <w:p w14:paraId="6CE0EB91">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w:t>
            </w:r>
            <w:r>
              <w:rPr>
                <w:rFonts w:hint="eastAsia" w:cs="Times New Roman"/>
                <w:color w:val="000000"/>
                <w:kern w:val="0"/>
                <w:sz w:val="24"/>
                <w:szCs w:val="24"/>
                <w:lang w:val="en-US" w:eastAsia="zh-CN" w:bidi="ar"/>
              </w:rPr>
              <w:t>厂</w:t>
            </w:r>
            <w:r>
              <w:rPr>
                <w:rFonts w:hint="default" w:ascii="Times New Roman" w:hAnsi="Times New Roman" w:eastAsia="宋体" w:cs="Times New Roman"/>
                <w:color w:val="000000"/>
                <w:kern w:val="0"/>
                <w:sz w:val="24"/>
                <w:szCs w:val="24"/>
                <w:lang w:val="en-US" w:eastAsia="zh-CN" w:bidi="ar"/>
              </w:rPr>
              <w:t>界 500m 范围内大气环境保护目标见下表。</w:t>
            </w:r>
          </w:p>
          <w:p w14:paraId="51CB1955">
            <w:pPr>
              <w:pStyle w:val="25"/>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表 3-</w:t>
            </w:r>
            <w:r>
              <w:rPr>
                <w:rFonts w:hint="default" w:ascii="Times New Roman" w:hAnsi="Times New Roman" w:cs="Times New Roman"/>
                <w:b/>
                <w:bCs/>
                <w:kern w:val="0"/>
                <w:sz w:val="21"/>
                <w:szCs w:val="21"/>
                <w:lang w:val="en-US" w:eastAsia="zh-CN" w:bidi="ar-SA"/>
              </w:rPr>
              <w:t>4</w:t>
            </w:r>
            <w:r>
              <w:rPr>
                <w:rFonts w:hint="default" w:ascii="Times New Roman" w:hAnsi="Times New Roman" w:eastAsia="宋体" w:cs="Times New Roman"/>
                <w:b/>
                <w:bCs/>
                <w:kern w:val="0"/>
                <w:sz w:val="21"/>
                <w:szCs w:val="21"/>
                <w:lang w:val="en-US" w:eastAsia="zh-CN" w:bidi="ar-SA"/>
              </w:rPr>
              <w:t xml:space="preserve"> 环境保护目标一览表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8"/>
              <w:gridCol w:w="1266"/>
              <w:gridCol w:w="1161"/>
              <w:gridCol w:w="960"/>
              <w:gridCol w:w="691"/>
              <w:gridCol w:w="859"/>
              <w:gridCol w:w="626"/>
              <w:gridCol w:w="902"/>
            </w:tblGrid>
            <w:tr w14:paraId="4CEE1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vMerge w:val="restart"/>
                  <w:noWrap w:val="0"/>
                  <w:vAlign w:val="center"/>
                </w:tcPr>
                <w:p w14:paraId="0ED099E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名称</w:t>
                  </w:r>
                </w:p>
              </w:tc>
              <w:tc>
                <w:tcPr>
                  <w:tcW w:w="1591" w:type="pct"/>
                  <w:gridSpan w:val="2"/>
                  <w:noWrap w:val="0"/>
                  <w:vAlign w:val="center"/>
                </w:tcPr>
                <w:p w14:paraId="0626F2D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坐标</w:t>
                  </w:r>
                </w:p>
              </w:tc>
              <w:tc>
                <w:tcPr>
                  <w:tcW w:w="629" w:type="pct"/>
                  <w:vMerge w:val="restart"/>
                  <w:noWrap w:val="0"/>
                  <w:vAlign w:val="center"/>
                </w:tcPr>
                <w:p w14:paraId="3AB81DE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功能</w:t>
                  </w:r>
                </w:p>
              </w:tc>
              <w:tc>
                <w:tcPr>
                  <w:tcW w:w="453" w:type="pct"/>
                  <w:vMerge w:val="restart"/>
                  <w:noWrap w:val="0"/>
                  <w:vAlign w:val="center"/>
                </w:tcPr>
                <w:p w14:paraId="3261852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环境功能区</w:t>
                  </w:r>
                </w:p>
              </w:tc>
              <w:tc>
                <w:tcPr>
                  <w:tcW w:w="563" w:type="pct"/>
                  <w:vMerge w:val="restart"/>
                  <w:noWrap w:val="0"/>
                  <w:vAlign w:val="center"/>
                </w:tcPr>
                <w:p w14:paraId="34C6485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规模</w:t>
                  </w:r>
                </w:p>
              </w:tc>
              <w:tc>
                <w:tcPr>
                  <w:tcW w:w="410" w:type="pct"/>
                  <w:vMerge w:val="restart"/>
                  <w:noWrap w:val="0"/>
                  <w:vAlign w:val="center"/>
                </w:tcPr>
                <w:p w14:paraId="06E1E89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相对方位</w:t>
                  </w:r>
                </w:p>
              </w:tc>
              <w:tc>
                <w:tcPr>
                  <w:tcW w:w="591" w:type="pct"/>
                  <w:vMerge w:val="restart"/>
                  <w:noWrap w:val="0"/>
                  <w:vAlign w:val="center"/>
                </w:tcPr>
                <w:p w14:paraId="5370E298">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相对厂界距离</w:t>
                  </w:r>
                </w:p>
              </w:tc>
            </w:tr>
            <w:tr w14:paraId="3829A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vMerge w:val="continue"/>
                  <w:noWrap w:val="0"/>
                  <w:vAlign w:val="center"/>
                </w:tcPr>
                <w:p w14:paraId="77DE511A">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p>
              </w:tc>
              <w:tc>
                <w:tcPr>
                  <w:tcW w:w="830" w:type="pct"/>
                  <w:noWrap w:val="0"/>
                  <w:vAlign w:val="center"/>
                </w:tcPr>
                <w:p w14:paraId="7758B16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经度</w:t>
                  </w:r>
                </w:p>
              </w:tc>
              <w:tc>
                <w:tcPr>
                  <w:tcW w:w="761" w:type="pct"/>
                  <w:noWrap w:val="0"/>
                  <w:vAlign w:val="center"/>
                </w:tcPr>
                <w:p w14:paraId="46C6A624">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纬度</w:t>
                  </w:r>
                </w:p>
              </w:tc>
              <w:tc>
                <w:tcPr>
                  <w:tcW w:w="629" w:type="pct"/>
                  <w:vMerge w:val="continue"/>
                  <w:noWrap w:val="0"/>
                  <w:vAlign w:val="center"/>
                </w:tcPr>
                <w:p w14:paraId="65AEE67D">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p>
              </w:tc>
              <w:tc>
                <w:tcPr>
                  <w:tcW w:w="453" w:type="pct"/>
                  <w:vMerge w:val="continue"/>
                  <w:noWrap w:val="0"/>
                  <w:vAlign w:val="center"/>
                </w:tcPr>
                <w:p w14:paraId="3C8CF0D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p>
              </w:tc>
              <w:tc>
                <w:tcPr>
                  <w:tcW w:w="563" w:type="pct"/>
                  <w:vMerge w:val="continue"/>
                  <w:noWrap w:val="0"/>
                  <w:vAlign w:val="center"/>
                </w:tcPr>
                <w:p w14:paraId="7783F41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p>
              </w:tc>
              <w:tc>
                <w:tcPr>
                  <w:tcW w:w="410" w:type="pct"/>
                  <w:vMerge w:val="continue"/>
                  <w:noWrap w:val="0"/>
                  <w:vAlign w:val="center"/>
                </w:tcPr>
                <w:p w14:paraId="6B3A2E88">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p>
              </w:tc>
              <w:tc>
                <w:tcPr>
                  <w:tcW w:w="591" w:type="pct"/>
                  <w:vMerge w:val="continue"/>
                  <w:noWrap w:val="0"/>
                  <w:vAlign w:val="center"/>
                </w:tcPr>
                <w:p w14:paraId="6C0BEB25">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p>
              </w:tc>
            </w:tr>
            <w:tr w14:paraId="26B7D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noWrap w:val="0"/>
                  <w:vAlign w:val="center"/>
                </w:tcPr>
                <w:p w14:paraId="710D29E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南岳衡山国际研学营地</w:t>
                  </w:r>
                </w:p>
              </w:tc>
              <w:tc>
                <w:tcPr>
                  <w:tcW w:w="830" w:type="pct"/>
                  <w:noWrap w:val="0"/>
                  <w:vAlign w:val="center"/>
                </w:tcPr>
                <w:p w14:paraId="032DE313">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112.713022</w:t>
                  </w:r>
                </w:p>
              </w:tc>
              <w:tc>
                <w:tcPr>
                  <w:tcW w:w="761" w:type="pct"/>
                  <w:noWrap w:val="0"/>
                  <w:vAlign w:val="center"/>
                </w:tcPr>
                <w:p w14:paraId="5BFCB0A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27.206617</w:t>
                  </w:r>
                </w:p>
              </w:tc>
              <w:tc>
                <w:tcPr>
                  <w:tcW w:w="629" w:type="pct"/>
                  <w:noWrap w:val="0"/>
                  <w:vAlign w:val="center"/>
                </w:tcPr>
                <w:p w14:paraId="158A4722">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学校、旅游服务</w:t>
                  </w:r>
                </w:p>
              </w:tc>
              <w:tc>
                <w:tcPr>
                  <w:tcW w:w="453" w:type="pct"/>
                  <w:noWrap w:val="0"/>
                  <w:vAlign w:val="center"/>
                </w:tcPr>
                <w:p w14:paraId="07C49B0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二类</w:t>
                  </w:r>
                </w:p>
              </w:tc>
              <w:tc>
                <w:tcPr>
                  <w:tcW w:w="563" w:type="pct"/>
                  <w:noWrap w:val="0"/>
                  <w:vAlign w:val="center"/>
                </w:tcPr>
                <w:p w14:paraId="329BE28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每年学生、游客约15万人</w:t>
                  </w:r>
                </w:p>
              </w:tc>
              <w:tc>
                <w:tcPr>
                  <w:tcW w:w="410" w:type="pct"/>
                  <w:noWrap w:val="0"/>
                  <w:vAlign w:val="center"/>
                </w:tcPr>
                <w:p w14:paraId="66B1DB0A">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西北</w:t>
                  </w:r>
                </w:p>
              </w:tc>
              <w:tc>
                <w:tcPr>
                  <w:tcW w:w="591" w:type="pct"/>
                  <w:noWrap w:val="0"/>
                  <w:vAlign w:val="center"/>
                </w:tcPr>
                <w:p w14:paraId="0A921E8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450m</w:t>
                  </w:r>
                </w:p>
              </w:tc>
            </w:tr>
            <w:tr w14:paraId="7BA25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noWrap w:val="0"/>
                  <w:vAlign w:val="center"/>
                </w:tcPr>
                <w:p w14:paraId="74E4B07A">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文定实验学校</w:t>
                  </w:r>
                </w:p>
              </w:tc>
              <w:tc>
                <w:tcPr>
                  <w:tcW w:w="830" w:type="pct"/>
                  <w:noWrap w:val="0"/>
                  <w:vAlign w:val="center"/>
                </w:tcPr>
                <w:p w14:paraId="5F7E026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112.710351</w:t>
                  </w:r>
                </w:p>
              </w:tc>
              <w:tc>
                <w:tcPr>
                  <w:tcW w:w="761" w:type="pct"/>
                  <w:noWrap w:val="0"/>
                  <w:vAlign w:val="center"/>
                </w:tcPr>
                <w:p w14:paraId="3B666E3D">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27.204460</w:t>
                  </w:r>
                </w:p>
              </w:tc>
              <w:tc>
                <w:tcPr>
                  <w:tcW w:w="629" w:type="pct"/>
                  <w:noWrap w:val="0"/>
                  <w:vAlign w:val="center"/>
                </w:tcPr>
                <w:p w14:paraId="56DA250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学校</w:t>
                  </w:r>
                </w:p>
              </w:tc>
              <w:tc>
                <w:tcPr>
                  <w:tcW w:w="453" w:type="pct"/>
                  <w:noWrap w:val="0"/>
                  <w:vAlign w:val="center"/>
                </w:tcPr>
                <w:p w14:paraId="1DB4390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二类</w:t>
                  </w:r>
                </w:p>
              </w:tc>
              <w:tc>
                <w:tcPr>
                  <w:tcW w:w="563" w:type="pct"/>
                  <w:noWrap w:val="0"/>
                  <w:vAlign w:val="center"/>
                </w:tcPr>
                <w:p w14:paraId="4D71BBF2">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2021人</w:t>
                  </w:r>
                </w:p>
              </w:tc>
              <w:tc>
                <w:tcPr>
                  <w:tcW w:w="410" w:type="pct"/>
                  <w:noWrap w:val="0"/>
                  <w:vAlign w:val="center"/>
                </w:tcPr>
                <w:p w14:paraId="7DF5A8A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西北</w:t>
                  </w:r>
                </w:p>
              </w:tc>
              <w:tc>
                <w:tcPr>
                  <w:tcW w:w="591" w:type="pct"/>
                  <w:noWrap w:val="0"/>
                  <w:vAlign w:val="center"/>
                </w:tcPr>
                <w:p w14:paraId="4C9240B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420m</w:t>
                  </w:r>
                </w:p>
              </w:tc>
            </w:tr>
            <w:tr w14:paraId="10729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noWrap w:val="0"/>
                  <w:vAlign w:val="center"/>
                </w:tcPr>
                <w:p w14:paraId="3412C40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衡山安荣精神病医院</w:t>
                  </w:r>
                </w:p>
              </w:tc>
              <w:tc>
                <w:tcPr>
                  <w:tcW w:w="830" w:type="pct"/>
                  <w:noWrap w:val="0"/>
                  <w:vAlign w:val="center"/>
                </w:tcPr>
                <w:p w14:paraId="2D2ED31A">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112.710646</w:t>
                  </w:r>
                </w:p>
              </w:tc>
              <w:tc>
                <w:tcPr>
                  <w:tcW w:w="761" w:type="pct"/>
                  <w:noWrap w:val="0"/>
                  <w:vAlign w:val="center"/>
                </w:tcPr>
                <w:p w14:paraId="764F977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27.201247</w:t>
                  </w:r>
                </w:p>
              </w:tc>
              <w:tc>
                <w:tcPr>
                  <w:tcW w:w="629" w:type="pct"/>
                  <w:noWrap w:val="0"/>
                  <w:vAlign w:val="center"/>
                </w:tcPr>
                <w:p w14:paraId="4E5FD97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医疗</w:t>
                  </w:r>
                </w:p>
              </w:tc>
              <w:tc>
                <w:tcPr>
                  <w:tcW w:w="453" w:type="pct"/>
                  <w:noWrap w:val="0"/>
                  <w:vAlign w:val="center"/>
                </w:tcPr>
                <w:p w14:paraId="262B7AB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二类</w:t>
                  </w:r>
                </w:p>
              </w:tc>
              <w:tc>
                <w:tcPr>
                  <w:tcW w:w="563" w:type="pct"/>
                  <w:noWrap w:val="0"/>
                  <w:vAlign w:val="center"/>
                </w:tcPr>
                <w:p w14:paraId="20D006BA">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100人</w:t>
                  </w:r>
                </w:p>
              </w:tc>
              <w:tc>
                <w:tcPr>
                  <w:tcW w:w="410" w:type="pct"/>
                  <w:noWrap w:val="0"/>
                  <w:vAlign w:val="center"/>
                </w:tcPr>
                <w:p w14:paraId="25528B9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西南</w:t>
                  </w:r>
                </w:p>
              </w:tc>
              <w:tc>
                <w:tcPr>
                  <w:tcW w:w="591" w:type="pct"/>
                  <w:noWrap w:val="0"/>
                  <w:vAlign w:val="center"/>
                </w:tcPr>
                <w:p w14:paraId="7B7B52E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360m</w:t>
                  </w:r>
                </w:p>
              </w:tc>
            </w:tr>
            <w:tr w14:paraId="38CA8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noWrap w:val="0"/>
                  <w:vAlign w:val="center"/>
                </w:tcPr>
                <w:p w14:paraId="05D9FF2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石门村</w:t>
                  </w:r>
                </w:p>
              </w:tc>
              <w:tc>
                <w:tcPr>
                  <w:tcW w:w="830" w:type="pct"/>
                  <w:noWrap w:val="0"/>
                  <w:vAlign w:val="center"/>
                </w:tcPr>
                <w:p w14:paraId="61ED5C5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112.710029</w:t>
                  </w:r>
                </w:p>
              </w:tc>
              <w:tc>
                <w:tcPr>
                  <w:tcW w:w="761" w:type="pct"/>
                  <w:noWrap w:val="0"/>
                  <w:vAlign w:val="center"/>
                </w:tcPr>
                <w:p w14:paraId="11AD0DC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27.201488</w:t>
                  </w:r>
                </w:p>
              </w:tc>
              <w:tc>
                <w:tcPr>
                  <w:tcW w:w="629" w:type="pct"/>
                  <w:noWrap w:val="0"/>
                  <w:vAlign w:val="center"/>
                </w:tcPr>
                <w:p w14:paraId="18116106">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居住区</w:t>
                  </w:r>
                </w:p>
              </w:tc>
              <w:tc>
                <w:tcPr>
                  <w:tcW w:w="453" w:type="pct"/>
                  <w:noWrap w:val="0"/>
                  <w:vAlign w:val="center"/>
                </w:tcPr>
                <w:p w14:paraId="30448284">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二类</w:t>
                  </w:r>
                </w:p>
              </w:tc>
              <w:tc>
                <w:tcPr>
                  <w:tcW w:w="563" w:type="pct"/>
                  <w:noWrap w:val="0"/>
                  <w:vAlign w:val="center"/>
                </w:tcPr>
                <w:p w14:paraId="7BA71E8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59户，177人</w:t>
                  </w:r>
                </w:p>
              </w:tc>
              <w:tc>
                <w:tcPr>
                  <w:tcW w:w="410" w:type="pct"/>
                  <w:noWrap w:val="0"/>
                  <w:vAlign w:val="center"/>
                </w:tcPr>
                <w:p w14:paraId="543781D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西南</w:t>
                  </w:r>
                </w:p>
              </w:tc>
              <w:tc>
                <w:tcPr>
                  <w:tcW w:w="591" w:type="pct"/>
                  <w:noWrap w:val="0"/>
                  <w:vAlign w:val="center"/>
                </w:tcPr>
                <w:p w14:paraId="18F831D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380m</w:t>
                  </w:r>
                </w:p>
              </w:tc>
            </w:tr>
            <w:tr w14:paraId="1E70C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noWrap w:val="0"/>
                  <w:vAlign w:val="center"/>
                </w:tcPr>
                <w:p w14:paraId="621780C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店门镇中心完小</w:t>
                  </w:r>
                </w:p>
              </w:tc>
              <w:tc>
                <w:tcPr>
                  <w:tcW w:w="830" w:type="pct"/>
                  <w:noWrap w:val="0"/>
                  <w:vAlign w:val="center"/>
                </w:tcPr>
                <w:p w14:paraId="09CEF3C2">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112.710961</w:t>
                  </w:r>
                </w:p>
              </w:tc>
              <w:tc>
                <w:tcPr>
                  <w:tcW w:w="761" w:type="pct"/>
                  <w:noWrap w:val="0"/>
                  <w:vAlign w:val="center"/>
                </w:tcPr>
                <w:p w14:paraId="4819EE4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27.198708</w:t>
                  </w:r>
                </w:p>
              </w:tc>
              <w:tc>
                <w:tcPr>
                  <w:tcW w:w="629" w:type="pct"/>
                  <w:noWrap w:val="0"/>
                  <w:vAlign w:val="center"/>
                </w:tcPr>
                <w:p w14:paraId="3D733A08">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学校</w:t>
                  </w:r>
                </w:p>
              </w:tc>
              <w:tc>
                <w:tcPr>
                  <w:tcW w:w="453" w:type="pct"/>
                  <w:noWrap w:val="0"/>
                  <w:vAlign w:val="center"/>
                </w:tcPr>
                <w:p w14:paraId="380E0C6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二类</w:t>
                  </w:r>
                </w:p>
              </w:tc>
              <w:tc>
                <w:tcPr>
                  <w:tcW w:w="563" w:type="pct"/>
                  <w:noWrap w:val="0"/>
                  <w:vAlign w:val="center"/>
                </w:tcPr>
                <w:p w14:paraId="3E0D97E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214人</w:t>
                  </w:r>
                </w:p>
              </w:tc>
              <w:tc>
                <w:tcPr>
                  <w:tcW w:w="410" w:type="pct"/>
                  <w:noWrap w:val="0"/>
                  <w:vAlign w:val="center"/>
                </w:tcPr>
                <w:p w14:paraId="721B6AF4">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西南</w:t>
                  </w:r>
                </w:p>
              </w:tc>
              <w:tc>
                <w:tcPr>
                  <w:tcW w:w="591" w:type="pct"/>
                  <w:noWrap w:val="0"/>
                  <w:vAlign w:val="center"/>
                </w:tcPr>
                <w:p w14:paraId="4428713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470m</w:t>
                  </w:r>
                </w:p>
              </w:tc>
            </w:tr>
            <w:tr w14:paraId="73A47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9" w:type="pct"/>
                  <w:noWrap w:val="0"/>
                  <w:vAlign w:val="center"/>
                </w:tcPr>
                <w:p w14:paraId="2B9AA3E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店门镇中心完小东侧居民点</w:t>
                  </w:r>
                </w:p>
              </w:tc>
              <w:tc>
                <w:tcPr>
                  <w:tcW w:w="830" w:type="pct"/>
                  <w:noWrap w:val="0"/>
                  <w:vAlign w:val="center"/>
                </w:tcPr>
                <w:p w14:paraId="759E2F7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112.713754</w:t>
                  </w:r>
                </w:p>
              </w:tc>
              <w:tc>
                <w:tcPr>
                  <w:tcW w:w="761" w:type="pct"/>
                  <w:noWrap w:val="0"/>
                  <w:vAlign w:val="center"/>
                </w:tcPr>
                <w:p w14:paraId="3BCA8A73">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eastAsia="宋体" w:cs="Times New Roman"/>
                      <w:color w:val="000000"/>
                      <w:kern w:val="0"/>
                      <w:sz w:val="21"/>
                      <w:szCs w:val="21"/>
                      <w:vertAlign w:val="baseline"/>
                      <w:lang w:val="en-US" w:eastAsia="zh-CN" w:bidi="ar"/>
                    </w:rPr>
                    <w:t>27.198733</w:t>
                  </w:r>
                </w:p>
              </w:tc>
              <w:tc>
                <w:tcPr>
                  <w:tcW w:w="629" w:type="pct"/>
                  <w:noWrap w:val="0"/>
                  <w:vAlign w:val="center"/>
                </w:tcPr>
                <w:p w14:paraId="00065E1D">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居住区</w:t>
                  </w:r>
                </w:p>
              </w:tc>
              <w:tc>
                <w:tcPr>
                  <w:tcW w:w="453" w:type="pct"/>
                  <w:noWrap w:val="0"/>
                  <w:vAlign w:val="center"/>
                </w:tcPr>
                <w:p w14:paraId="0ACF808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二类</w:t>
                  </w:r>
                </w:p>
              </w:tc>
              <w:tc>
                <w:tcPr>
                  <w:tcW w:w="563" w:type="pct"/>
                  <w:noWrap w:val="0"/>
                  <w:vAlign w:val="center"/>
                </w:tcPr>
                <w:p w14:paraId="38EBAD6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3户，9人</w:t>
                  </w:r>
                </w:p>
              </w:tc>
              <w:tc>
                <w:tcPr>
                  <w:tcW w:w="410" w:type="pct"/>
                  <w:noWrap w:val="0"/>
                  <w:vAlign w:val="center"/>
                </w:tcPr>
                <w:p w14:paraId="7C26FBD5">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南</w:t>
                  </w:r>
                </w:p>
              </w:tc>
              <w:tc>
                <w:tcPr>
                  <w:tcW w:w="591" w:type="pct"/>
                  <w:noWrap w:val="0"/>
                  <w:vAlign w:val="center"/>
                </w:tcPr>
                <w:p w14:paraId="3B6BF43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390m</w:t>
                  </w:r>
                </w:p>
              </w:tc>
            </w:tr>
          </w:tbl>
          <w:p w14:paraId="6DD36C8A">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cs="Times New Roman"/>
                <w:b/>
                <w:bCs/>
              </w:rPr>
            </w:pPr>
            <w:r>
              <w:rPr>
                <w:rFonts w:hint="default" w:ascii="Times New Roman" w:hAnsi="Times New Roman" w:eastAsia="宋体" w:cs="Times New Roman"/>
                <w:b/>
                <w:bCs/>
                <w:color w:val="000000"/>
                <w:kern w:val="0"/>
                <w:sz w:val="24"/>
                <w:szCs w:val="24"/>
                <w:lang w:val="en-US" w:eastAsia="zh-CN" w:bidi="ar"/>
              </w:rPr>
              <w:t>2、声环境</w:t>
            </w:r>
          </w:p>
          <w:p w14:paraId="729447AE">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w:t>
            </w:r>
            <w:r>
              <w:rPr>
                <w:rFonts w:hint="default" w:ascii="Times New Roman" w:hAnsi="Times New Roman" w:cs="Times New Roman"/>
                <w:color w:val="auto"/>
                <w:kern w:val="0"/>
                <w:sz w:val="24"/>
                <w:szCs w:val="24"/>
                <w:lang w:val="en-US" w:eastAsia="zh-CN" w:bidi="ar"/>
              </w:rPr>
              <w:t>厂界50m范围内有一个环境保护目标，为西北侧37m处一户居民。</w:t>
            </w:r>
          </w:p>
          <w:p w14:paraId="7C618F89">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cs="Times New Roman"/>
                <w:b/>
                <w:bCs/>
              </w:rPr>
            </w:pPr>
            <w:r>
              <w:rPr>
                <w:rFonts w:hint="default" w:ascii="Times New Roman" w:hAnsi="Times New Roman" w:cs="Times New Roman"/>
                <w:b/>
                <w:bCs/>
                <w:color w:val="000000"/>
                <w:kern w:val="0"/>
                <w:sz w:val="24"/>
                <w:szCs w:val="24"/>
                <w:lang w:val="en-US" w:eastAsia="zh-CN" w:bidi="ar"/>
              </w:rPr>
              <w:t>3</w:t>
            </w:r>
            <w:r>
              <w:rPr>
                <w:rFonts w:hint="default" w:ascii="Times New Roman" w:hAnsi="Times New Roman" w:eastAsia="宋体" w:cs="Times New Roman"/>
                <w:b/>
                <w:bCs/>
                <w:color w:val="000000"/>
                <w:kern w:val="0"/>
                <w:sz w:val="24"/>
                <w:szCs w:val="24"/>
                <w:lang w:val="en-US" w:eastAsia="zh-CN" w:bidi="ar"/>
              </w:rPr>
              <w:t xml:space="preserve">、地下水 </w:t>
            </w:r>
          </w:p>
          <w:p w14:paraId="527377EC">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本项目场界外 500 米范围内无地下水集中式饮用水水源和热水、矿泉水、温泉等特殊地下水资源。</w:t>
            </w:r>
          </w:p>
          <w:p w14:paraId="2F15EBF2">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cs="Times New Roman"/>
                <w:b/>
                <w:bCs/>
              </w:rPr>
            </w:pPr>
            <w:r>
              <w:rPr>
                <w:rFonts w:hint="default" w:ascii="Times New Roman" w:hAnsi="Times New Roman" w:cs="Times New Roman"/>
                <w:b/>
                <w:bCs/>
                <w:color w:val="000000"/>
                <w:kern w:val="0"/>
                <w:sz w:val="24"/>
                <w:szCs w:val="24"/>
                <w:lang w:val="en-US" w:eastAsia="zh-CN" w:bidi="ar"/>
              </w:rPr>
              <w:t>4</w:t>
            </w:r>
            <w:r>
              <w:rPr>
                <w:rFonts w:hint="default" w:ascii="Times New Roman" w:hAnsi="Times New Roman" w:eastAsia="宋体" w:cs="Times New Roman"/>
                <w:b/>
                <w:bCs/>
                <w:color w:val="000000"/>
                <w:kern w:val="0"/>
                <w:sz w:val="24"/>
                <w:szCs w:val="24"/>
                <w:lang w:val="en-US" w:eastAsia="zh-CN" w:bidi="ar"/>
              </w:rPr>
              <w:t xml:space="preserve">、生态环境 </w:t>
            </w:r>
          </w:p>
          <w:p w14:paraId="47A57465">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本项目</w:t>
            </w:r>
            <w:r>
              <w:rPr>
                <w:rFonts w:hint="default" w:ascii="Times New Roman" w:hAnsi="Times New Roman" w:cs="Times New Roman"/>
                <w:color w:val="000000"/>
                <w:kern w:val="0"/>
                <w:sz w:val="24"/>
                <w:szCs w:val="24"/>
                <w:lang w:val="en-US" w:eastAsia="zh-CN" w:bidi="ar"/>
              </w:rPr>
              <w:t>用地范围内</w:t>
            </w:r>
            <w:r>
              <w:rPr>
                <w:rFonts w:hint="default" w:ascii="Times New Roman" w:hAnsi="Times New Roman" w:eastAsia="宋体" w:cs="Times New Roman"/>
                <w:color w:val="000000"/>
                <w:kern w:val="0"/>
                <w:sz w:val="24"/>
                <w:szCs w:val="24"/>
                <w:lang w:val="en-US" w:eastAsia="zh-CN" w:bidi="ar"/>
              </w:rPr>
              <w:t>无生态环境保护目标。</w:t>
            </w:r>
          </w:p>
        </w:tc>
      </w:tr>
      <w:tr w14:paraId="38FE9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673" w:type="dxa"/>
            <w:noWrap w:val="0"/>
            <w:vAlign w:val="center"/>
          </w:tcPr>
          <w:p w14:paraId="79DB0EC8">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污染</w:t>
            </w:r>
          </w:p>
          <w:p w14:paraId="36731CEB">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物排</w:t>
            </w:r>
          </w:p>
          <w:p w14:paraId="46DE2386">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放控</w:t>
            </w:r>
          </w:p>
          <w:p w14:paraId="3A71D00A">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制标</w:t>
            </w:r>
          </w:p>
          <w:p w14:paraId="40670FF3">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准</w:t>
            </w:r>
          </w:p>
        </w:tc>
        <w:tc>
          <w:tcPr>
            <w:tcW w:w="7849" w:type="dxa"/>
            <w:noWrap w:val="0"/>
            <w:vAlign w:val="top"/>
          </w:tcPr>
          <w:p w14:paraId="7DFB8DD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1、大气</w:t>
            </w:r>
            <w:r>
              <w:rPr>
                <w:rFonts w:hint="default" w:ascii="Times New Roman" w:hAnsi="Times New Roman" w:cs="Times New Roman"/>
                <w:b/>
                <w:bCs/>
                <w:color w:val="000000"/>
                <w:kern w:val="0"/>
                <w:sz w:val="24"/>
                <w:szCs w:val="24"/>
                <w:lang w:val="en-US" w:eastAsia="zh-CN" w:bidi="ar"/>
              </w:rPr>
              <w:t>污染物排放标准</w:t>
            </w:r>
          </w:p>
          <w:p w14:paraId="3B3EA9B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eastAsia="zh-CN"/>
              </w:rPr>
            </w:pPr>
            <w:r>
              <w:rPr>
                <w:rFonts w:hint="default" w:ascii="Times New Roman" w:hAnsi="Times New Roman" w:cs="Times New Roman"/>
              </w:rPr>
              <w:t>废气排放执行《恶臭污染物排放标准》（GB14554-93）表 1 恶臭污染物厂界二级标准及表2中排放限值要求</w:t>
            </w:r>
            <w:r>
              <w:rPr>
                <w:rFonts w:hint="default" w:ascii="Times New Roman" w:hAnsi="Times New Roman" w:cs="Times New Roman"/>
                <w:lang w:eastAsia="zh-CN"/>
              </w:rPr>
              <w:t>。</w:t>
            </w:r>
          </w:p>
          <w:p w14:paraId="7B631C71">
            <w:pPr>
              <w:pageBreakBefore w:val="0"/>
              <w:wordWrap/>
              <w:overflowPunct/>
              <w:bidi w:val="0"/>
              <w:spacing w:beforeAutospacing="0" w:afterAutospacing="0" w:line="360" w:lineRule="auto"/>
              <w:ind w:left="0" w:leftChars="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w:t>
            </w:r>
            <w:r>
              <w:rPr>
                <w:rFonts w:hint="default" w:ascii="Times New Roman" w:hAnsi="Times New Roman" w:cs="Times New Roman"/>
                <w:b/>
                <w:bCs/>
                <w:sz w:val="21"/>
                <w:szCs w:val="21"/>
                <w:lang w:val="en-US" w:eastAsia="zh-CN"/>
              </w:rPr>
              <w:t>3-5</w:t>
            </w:r>
            <w:r>
              <w:rPr>
                <w:rFonts w:hint="default" w:ascii="Times New Roman" w:hAnsi="Times New Roman" w:cs="Times New Roman"/>
                <w:b/>
                <w:bCs/>
                <w:sz w:val="21"/>
                <w:szCs w:val="21"/>
              </w:rPr>
              <w:t xml:space="preserve"> 恶臭污染物厂界标准</w:t>
            </w:r>
          </w:p>
          <w:tbl>
            <w:tblPr>
              <w:tblStyle w:val="38"/>
              <w:tblW w:w="4998"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2062"/>
              <w:gridCol w:w="5558"/>
            </w:tblGrid>
            <w:tr w14:paraId="0A87411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353" w:type="pct"/>
                  <w:vAlign w:val="center"/>
                </w:tcPr>
                <w:p w14:paraId="4022CA8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污染物</w:t>
                  </w:r>
                </w:p>
              </w:tc>
              <w:tc>
                <w:tcPr>
                  <w:tcW w:w="3646" w:type="pct"/>
                  <w:vAlign w:val="center"/>
                </w:tcPr>
                <w:p w14:paraId="4086819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厂界标准限值</w:t>
                  </w:r>
                  <w:r>
                    <w:rPr>
                      <w:rFonts w:hint="default" w:ascii="Times New Roman" w:hAnsi="Times New Roman" w:cs="Times New Roman"/>
                      <w:sz w:val="21"/>
                      <w:szCs w:val="21"/>
                      <w:lang w:eastAsia="zh-CN"/>
                    </w:rPr>
                    <w:t>（</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lang w:eastAsia="zh-CN"/>
                    </w:rPr>
                    <w:t>）</w:t>
                  </w:r>
                </w:p>
              </w:tc>
            </w:tr>
            <w:tr w14:paraId="3177B9B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353" w:type="pct"/>
                  <w:vAlign w:val="center"/>
                </w:tcPr>
                <w:p w14:paraId="7ED17BB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H</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sz w:val="21"/>
                      <w:szCs w:val="21"/>
                    </w:rPr>
                    <w:t>S</w:t>
                  </w:r>
                </w:p>
              </w:tc>
              <w:tc>
                <w:tcPr>
                  <w:tcW w:w="3646" w:type="pct"/>
                  <w:vAlign w:val="center"/>
                </w:tcPr>
                <w:p w14:paraId="0841194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0.06mg/m</w:t>
                  </w:r>
                  <w:r>
                    <w:rPr>
                      <w:rFonts w:hint="default" w:ascii="Times New Roman" w:hAnsi="Times New Roman" w:cs="Times New Roman"/>
                      <w:sz w:val="21"/>
                      <w:szCs w:val="21"/>
                      <w:vertAlign w:val="superscript"/>
                    </w:rPr>
                    <w:t>3</w:t>
                  </w:r>
                </w:p>
              </w:tc>
            </w:tr>
            <w:tr w14:paraId="2C87D20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353" w:type="pct"/>
                  <w:vAlign w:val="center"/>
                </w:tcPr>
                <w:p w14:paraId="7EE5F4F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p>
              </w:tc>
              <w:tc>
                <w:tcPr>
                  <w:tcW w:w="3646" w:type="pct"/>
                  <w:vAlign w:val="center"/>
                </w:tcPr>
                <w:p w14:paraId="242067C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1.5mg/m</w:t>
                  </w:r>
                  <w:r>
                    <w:rPr>
                      <w:rFonts w:hint="default" w:ascii="Times New Roman" w:hAnsi="Times New Roman" w:cs="Times New Roman"/>
                      <w:sz w:val="21"/>
                      <w:szCs w:val="21"/>
                      <w:vertAlign w:val="superscript"/>
                    </w:rPr>
                    <w:t>3</w:t>
                  </w:r>
                </w:p>
              </w:tc>
            </w:tr>
            <w:tr w14:paraId="31A5B92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1353" w:type="pct"/>
                  <w:vAlign w:val="center"/>
                </w:tcPr>
                <w:p w14:paraId="6BA60BA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臭气浓度</w:t>
                  </w:r>
                </w:p>
              </w:tc>
              <w:tc>
                <w:tcPr>
                  <w:tcW w:w="3646" w:type="pct"/>
                  <w:vAlign w:val="center"/>
                </w:tcPr>
                <w:p w14:paraId="5207E18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20（无量纲）</w:t>
                  </w:r>
                </w:p>
              </w:tc>
            </w:tr>
          </w:tbl>
          <w:p w14:paraId="390101C0">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2" w:firstLineChars="200"/>
              <w:jc w:val="left"/>
              <w:textAlignment w:val="auto"/>
              <w:rPr>
                <w:rFonts w:hint="default" w:ascii="Times New Roman" w:hAnsi="Times New Roman" w:cs="Times New Roman"/>
                <w:b/>
                <w:bCs/>
                <w:lang w:val="en-US"/>
              </w:rPr>
            </w:pPr>
            <w:r>
              <w:rPr>
                <w:rFonts w:hint="default" w:ascii="Times New Roman" w:hAnsi="Times New Roman" w:cs="Times New Roman"/>
                <w:b/>
                <w:bCs/>
                <w:color w:val="000000"/>
                <w:kern w:val="0"/>
                <w:sz w:val="24"/>
                <w:szCs w:val="24"/>
                <w:lang w:val="en-US" w:eastAsia="zh-CN" w:bidi="ar"/>
              </w:rPr>
              <w:t>2</w:t>
            </w:r>
            <w:r>
              <w:rPr>
                <w:rFonts w:hint="default" w:ascii="Times New Roman" w:hAnsi="Times New Roman" w:eastAsia="宋体" w:cs="Times New Roman"/>
                <w:b/>
                <w:bCs/>
                <w:color w:val="000000"/>
                <w:kern w:val="0"/>
                <w:sz w:val="24"/>
                <w:szCs w:val="24"/>
                <w:lang w:val="en-US" w:eastAsia="zh-CN" w:bidi="ar"/>
              </w:rPr>
              <w:t>、废水</w:t>
            </w:r>
            <w:r>
              <w:rPr>
                <w:rFonts w:hint="default" w:ascii="Times New Roman" w:hAnsi="Times New Roman" w:cs="Times New Roman"/>
                <w:b/>
                <w:bCs/>
                <w:color w:val="000000"/>
                <w:kern w:val="0"/>
                <w:sz w:val="24"/>
                <w:szCs w:val="24"/>
                <w:lang w:val="en-US" w:eastAsia="zh-CN" w:bidi="ar"/>
              </w:rPr>
              <w:t>排放标准</w:t>
            </w:r>
          </w:p>
          <w:p w14:paraId="5FBE935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项目废水经污水预处理设施后预处理后，达到《肉类加工工业水污染物排放标准》（GB13457-92）表3中畜类屠宰加工三级排放标准及南岳区污水处理厂纳管标准，排入南岳污水处理厂。</w:t>
            </w:r>
          </w:p>
          <w:p w14:paraId="20CE758B">
            <w:pPr>
              <w:pStyle w:val="25"/>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表3-</w:t>
            </w:r>
            <w:r>
              <w:rPr>
                <w:rFonts w:hint="default" w:ascii="Times New Roman" w:hAnsi="Times New Roman" w:cs="Times New Roman"/>
                <w:b/>
                <w:bCs/>
                <w:kern w:val="0"/>
                <w:sz w:val="21"/>
                <w:szCs w:val="21"/>
                <w:lang w:val="en-US" w:eastAsia="zh-CN" w:bidi="ar-SA"/>
              </w:rPr>
              <w:t>6</w:t>
            </w:r>
            <w:r>
              <w:rPr>
                <w:rFonts w:hint="default" w:ascii="Times New Roman" w:hAnsi="Times New Roman" w:eastAsia="宋体" w:cs="Times New Roman"/>
                <w:b/>
                <w:bCs/>
                <w:kern w:val="0"/>
                <w:sz w:val="21"/>
                <w:szCs w:val="21"/>
                <w:lang w:val="en-US" w:eastAsia="zh-CN" w:bidi="ar-SA"/>
              </w:rPr>
              <w:t>水污染物排放限值</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2577"/>
              <w:gridCol w:w="1097"/>
              <w:gridCol w:w="1097"/>
              <w:gridCol w:w="1097"/>
              <w:gridCol w:w="1097"/>
            </w:tblGrid>
            <w:tr w14:paraId="46DBC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2ED539D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序号</w:t>
                  </w:r>
                </w:p>
              </w:tc>
              <w:tc>
                <w:tcPr>
                  <w:tcW w:w="1690" w:type="pct"/>
                  <w:vAlign w:val="center"/>
                </w:tcPr>
                <w:p w14:paraId="0AC4C96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项目</w:t>
                  </w:r>
                </w:p>
              </w:tc>
              <w:tc>
                <w:tcPr>
                  <w:tcW w:w="719" w:type="pct"/>
                  <w:vAlign w:val="center"/>
                </w:tcPr>
                <w:p w14:paraId="0450673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单位</w:t>
                  </w:r>
                </w:p>
              </w:tc>
              <w:tc>
                <w:tcPr>
                  <w:tcW w:w="719" w:type="pct"/>
                  <w:vAlign w:val="center"/>
                </w:tcPr>
                <w:p w14:paraId="0AEDE8D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畜类屠宰加工三级排放标准</w:t>
                  </w:r>
                </w:p>
              </w:tc>
              <w:tc>
                <w:tcPr>
                  <w:tcW w:w="719" w:type="pct"/>
                  <w:vAlign w:val="center"/>
                </w:tcPr>
                <w:p w14:paraId="122B6E3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南岳区污水处理厂纳管标准</w:t>
                  </w:r>
                </w:p>
              </w:tc>
              <w:tc>
                <w:tcPr>
                  <w:tcW w:w="719" w:type="pct"/>
                  <w:vAlign w:val="center"/>
                </w:tcPr>
                <w:p w14:paraId="10B57E5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本项目排放限值</w:t>
                  </w:r>
                </w:p>
              </w:tc>
            </w:tr>
            <w:tr w14:paraId="56755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55A3AC5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1690" w:type="pct"/>
                  <w:vAlign w:val="center"/>
                </w:tcPr>
                <w:p w14:paraId="2893B0A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PH（无量纲）</w:t>
                  </w:r>
                </w:p>
              </w:tc>
              <w:tc>
                <w:tcPr>
                  <w:tcW w:w="719" w:type="pct"/>
                  <w:vAlign w:val="center"/>
                </w:tcPr>
                <w:p w14:paraId="68F5762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无量纲</w:t>
                  </w:r>
                </w:p>
              </w:tc>
              <w:tc>
                <w:tcPr>
                  <w:tcW w:w="719" w:type="pct"/>
                  <w:vAlign w:val="center"/>
                </w:tcPr>
                <w:p w14:paraId="14BDD57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6.0~8.5</w:t>
                  </w:r>
                </w:p>
              </w:tc>
              <w:tc>
                <w:tcPr>
                  <w:tcW w:w="719" w:type="pct"/>
                  <w:vAlign w:val="center"/>
                </w:tcPr>
                <w:p w14:paraId="57DD415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19" w:type="pct"/>
                  <w:vAlign w:val="center"/>
                </w:tcPr>
                <w:p w14:paraId="6ABDFF1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6.0~8.5</w:t>
                  </w:r>
                </w:p>
              </w:tc>
            </w:tr>
            <w:tr w14:paraId="0131B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5088A9B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c>
                <w:tcPr>
                  <w:tcW w:w="1690" w:type="pct"/>
                  <w:vAlign w:val="center"/>
                </w:tcPr>
                <w:p w14:paraId="4150045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悬浮物（SS</w:t>
                  </w:r>
                  <w:r>
                    <w:rPr>
                      <w:rFonts w:hint="eastAsia" w:cs="Times New Roman"/>
                      <w:sz w:val="21"/>
                      <w:szCs w:val="21"/>
                      <w:vertAlign w:val="baseline"/>
                      <w:lang w:val="en-US" w:eastAsia="zh-CN"/>
                    </w:rPr>
                    <w:t>）</w:t>
                  </w:r>
                </w:p>
              </w:tc>
              <w:tc>
                <w:tcPr>
                  <w:tcW w:w="719" w:type="pct"/>
                  <w:vAlign w:val="center"/>
                </w:tcPr>
                <w:p w14:paraId="4E961D5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mg/L</w:t>
                  </w:r>
                </w:p>
              </w:tc>
              <w:tc>
                <w:tcPr>
                  <w:tcW w:w="719" w:type="pct"/>
                  <w:vAlign w:val="center"/>
                </w:tcPr>
                <w:p w14:paraId="64FBC0C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400</w:t>
                  </w:r>
                </w:p>
              </w:tc>
              <w:tc>
                <w:tcPr>
                  <w:tcW w:w="719" w:type="pct"/>
                  <w:vAlign w:val="center"/>
                </w:tcPr>
                <w:p w14:paraId="2A85035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180</w:t>
                  </w:r>
                </w:p>
              </w:tc>
              <w:tc>
                <w:tcPr>
                  <w:tcW w:w="719" w:type="pct"/>
                  <w:vAlign w:val="center"/>
                </w:tcPr>
                <w:p w14:paraId="0332ABC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180</w:t>
                  </w:r>
                </w:p>
              </w:tc>
            </w:tr>
            <w:tr w14:paraId="02352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6710729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1690" w:type="pct"/>
                  <w:vAlign w:val="center"/>
                </w:tcPr>
                <w:p w14:paraId="5603D3F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五日生化需氧量</w:t>
                  </w:r>
                  <w:r>
                    <w:rPr>
                      <w:rFonts w:hint="eastAsia" w:cs="Times New Roman"/>
                      <w:sz w:val="21"/>
                      <w:szCs w:val="21"/>
                      <w:vertAlign w:val="baseline"/>
                      <w:lang w:val="en-US" w:eastAsia="zh-CN"/>
                    </w:rPr>
                    <w:t>（</w:t>
                  </w:r>
                  <w:r>
                    <w:rPr>
                      <w:rFonts w:hint="default" w:ascii="Times New Roman" w:hAnsi="Times New Roman" w:eastAsia="宋体" w:cs="Times New Roman"/>
                      <w:sz w:val="21"/>
                      <w:szCs w:val="21"/>
                      <w:vertAlign w:val="baseline"/>
                      <w:lang w:val="en-US" w:eastAsia="zh-CN"/>
                    </w:rPr>
                    <w:t>BOD</w:t>
                  </w:r>
                  <w:r>
                    <w:rPr>
                      <w:rFonts w:hint="default" w:ascii="Times New Roman" w:hAnsi="Times New Roman" w:eastAsia="宋体" w:cs="Times New Roman"/>
                      <w:sz w:val="21"/>
                      <w:szCs w:val="21"/>
                      <w:vertAlign w:val="subscript"/>
                      <w:lang w:val="en-US" w:eastAsia="zh-CN"/>
                    </w:rPr>
                    <w:t>5</w:t>
                  </w:r>
                  <w:r>
                    <w:rPr>
                      <w:rFonts w:hint="default" w:ascii="Times New Roman" w:hAnsi="Times New Roman" w:eastAsia="宋体" w:cs="Times New Roman"/>
                      <w:sz w:val="21"/>
                      <w:szCs w:val="21"/>
                      <w:vertAlign w:val="baseline"/>
                      <w:lang w:val="en-US" w:eastAsia="zh-CN"/>
                    </w:rPr>
                    <w:t>）</w:t>
                  </w:r>
                </w:p>
              </w:tc>
              <w:tc>
                <w:tcPr>
                  <w:tcW w:w="719" w:type="pct"/>
                  <w:vAlign w:val="center"/>
                </w:tcPr>
                <w:p w14:paraId="38B1EB9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mg/L</w:t>
                  </w:r>
                </w:p>
              </w:tc>
              <w:tc>
                <w:tcPr>
                  <w:tcW w:w="719" w:type="pct"/>
                  <w:vAlign w:val="center"/>
                </w:tcPr>
                <w:p w14:paraId="715ED0F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300</w:t>
                  </w:r>
                </w:p>
              </w:tc>
              <w:tc>
                <w:tcPr>
                  <w:tcW w:w="719" w:type="pct"/>
                  <w:vAlign w:val="center"/>
                </w:tcPr>
                <w:p w14:paraId="0040387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130</w:t>
                  </w:r>
                </w:p>
              </w:tc>
              <w:tc>
                <w:tcPr>
                  <w:tcW w:w="719" w:type="pct"/>
                  <w:vAlign w:val="center"/>
                </w:tcPr>
                <w:p w14:paraId="223B318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130</w:t>
                  </w:r>
                </w:p>
              </w:tc>
            </w:tr>
            <w:tr w14:paraId="12F1C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037F704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c>
                <w:tcPr>
                  <w:tcW w:w="1690" w:type="pct"/>
                  <w:vAlign w:val="center"/>
                </w:tcPr>
                <w:p w14:paraId="3F6F316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化学需氧量（COD</w:t>
                  </w:r>
                  <w:r>
                    <w:rPr>
                      <w:rFonts w:hint="default" w:ascii="Times New Roman" w:hAnsi="Times New Roman" w:eastAsia="宋体" w:cs="Times New Roman"/>
                      <w:sz w:val="21"/>
                      <w:szCs w:val="21"/>
                      <w:vertAlign w:val="subscript"/>
                      <w:lang w:val="en-US" w:eastAsia="zh-CN"/>
                    </w:rPr>
                    <w:t>Cr</w:t>
                  </w:r>
                  <w:r>
                    <w:rPr>
                      <w:rFonts w:hint="default" w:ascii="Times New Roman" w:hAnsi="Times New Roman" w:eastAsia="宋体" w:cs="Times New Roman"/>
                      <w:sz w:val="21"/>
                      <w:szCs w:val="21"/>
                      <w:vertAlign w:val="baseline"/>
                      <w:lang w:val="en-US" w:eastAsia="zh-CN"/>
                    </w:rPr>
                    <w:t>）</w:t>
                  </w:r>
                </w:p>
              </w:tc>
              <w:tc>
                <w:tcPr>
                  <w:tcW w:w="719" w:type="pct"/>
                  <w:vAlign w:val="center"/>
                </w:tcPr>
                <w:p w14:paraId="65FD59E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mg/L</w:t>
                  </w:r>
                </w:p>
              </w:tc>
              <w:tc>
                <w:tcPr>
                  <w:tcW w:w="719" w:type="pct"/>
                  <w:vAlign w:val="center"/>
                </w:tcPr>
                <w:p w14:paraId="52EE476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500</w:t>
                  </w:r>
                </w:p>
              </w:tc>
              <w:tc>
                <w:tcPr>
                  <w:tcW w:w="719" w:type="pct"/>
                  <w:vAlign w:val="center"/>
                </w:tcPr>
                <w:p w14:paraId="68507F0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260</w:t>
                  </w:r>
                </w:p>
              </w:tc>
              <w:tc>
                <w:tcPr>
                  <w:tcW w:w="719" w:type="pct"/>
                  <w:vAlign w:val="center"/>
                </w:tcPr>
                <w:p w14:paraId="35A4176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260</w:t>
                  </w:r>
                </w:p>
              </w:tc>
            </w:tr>
            <w:tr w14:paraId="2C2C8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25E0DB0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690" w:type="pct"/>
                  <w:vAlign w:val="center"/>
                </w:tcPr>
                <w:p w14:paraId="49C714C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氨氮</w:t>
                  </w:r>
                </w:p>
              </w:tc>
              <w:tc>
                <w:tcPr>
                  <w:tcW w:w="719" w:type="pct"/>
                  <w:vAlign w:val="center"/>
                </w:tcPr>
                <w:p w14:paraId="1FC255B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mg/L</w:t>
                  </w:r>
                </w:p>
              </w:tc>
              <w:tc>
                <w:tcPr>
                  <w:tcW w:w="719" w:type="pct"/>
                  <w:vAlign w:val="center"/>
                </w:tcPr>
                <w:p w14:paraId="7CC28C9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19" w:type="pct"/>
                  <w:vAlign w:val="center"/>
                </w:tcPr>
                <w:p w14:paraId="0D1D9E2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25</w:t>
                  </w:r>
                </w:p>
              </w:tc>
              <w:tc>
                <w:tcPr>
                  <w:tcW w:w="719" w:type="pct"/>
                  <w:vAlign w:val="center"/>
                </w:tcPr>
                <w:p w14:paraId="0E4E2D1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25</w:t>
                  </w:r>
                </w:p>
              </w:tc>
            </w:tr>
            <w:tr w14:paraId="5E3A4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3FDFC4F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w:t>
                  </w:r>
                </w:p>
              </w:tc>
              <w:tc>
                <w:tcPr>
                  <w:tcW w:w="1690" w:type="pct"/>
                  <w:vAlign w:val="center"/>
                </w:tcPr>
                <w:p w14:paraId="2C938C3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总氮</w:t>
                  </w:r>
                </w:p>
              </w:tc>
              <w:tc>
                <w:tcPr>
                  <w:tcW w:w="719" w:type="pct"/>
                  <w:vAlign w:val="center"/>
                </w:tcPr>
                <w:p w14:paraId="5ECC8AB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mg/L</w:t>
                  </w:r>
                </w:p>
              </w:tc>
              <w:tc>
                <w:tcPr>
                  <w:tcW w:w="719" w:type="pct"/>
                  <w:vAlign w:val="center"/>
                </w:tcPr>
                <w:p w14:paraId="3B19D3E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19" w:type="pct"/>
                  <w:vAlign w:val="center"/>
                </w:tcPr>
                <w:p w14:paraId="4C4CB13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35</w:t>
                  </w:r>
                </w:p>
              </w:tc>
              <w:tc>
                <w:tcPr>
                  <w:tcW w:w="719" w:type="pct"/>
                  <w:vAlign w:val="center"/>
                </w:tcPr>
                <w:p w14:paraId="6221E66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35</w:t>
                  </w:r>
                </w:p>
              </w:tc>
            </w:tr>
            <w:tr w14:paraId="64A45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458D802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w:t>
                  </w:r>
                </w:p>
              </w:tc>
              <w:tc>
                <w:tcPr>
                  <w:tcW w:w="1690" w:type="pct"/>
                  <w:vAlign w:val="center"/>
                </w:tcPr>
                <w:p w14:paraId="7FE074E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总磷</w:t>
                  </w:r>
                </w:p>
              </w:tc>
              <w:tc>
                <w:tcPr>
                  <w:tcW w:w="719" w:type="pct"/>
                  <w:vAlign w:val="center"/>
                </w:tcPr>
                <w:p w14:paraId="5A768EE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mg/L</w:t>
                  </w:r>
                </w:p>
              </w:tc>
              <w:tc>
                <w:tcPr>
                  <w:tcW w:w="719" w:type="pct"/>
                  <w:vAlign w:val="center"/>
                </w:tcPr>
                <w:p w14:paraId="6511791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19" w:type="pct"/>
                  <w:vAlign w:val="center"/>
                </w:tcPr>
                <w:p w14:paraId="4D49C8F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719" w:type="pct"/>
                  <w:vAlign w:val="center"/>
                </w:tcPr>
                <w:p w14:paraId="149169D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r>
            <w:tr w14:paraId="6D579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081FEA1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8</w:t>
                  </w:r>
                </w:p>
              </w:tc>
              <w:tc>
                <w:tcPr>
                  <w:tcW w:w="1690" w:type="pct"/>
                  <w:vAlign w:val="center"/>
                </w:tcPr>
                <w:p w14:paraId="297C20D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动植物油</w:t>
                  </w:r>
                </w:p>
              </w:tc>
              <w:tc>
                <w:tcPr>
                  <w:tcW w:w="719" w:type="pct"/>
                  <w:vAlign w:val="center"/>
                </w:tcPr>
                <w:p w14:paraId="5EF9AC5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mg/L</w:t>
                  </w:r>
                </w:p>
              </w:tc>
              <w:tc>
                <w:tcPr>
                  <w:tcW w:w="719" w:type="pct"/>
                  <w:vAlign w:val="center"/>
                </w:tcPr>
                <w:p w14:paraId="1FAE3A2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60</w:t>
                  </w:r>
                </w:p>
              </w:tc>
              <w:tc>
                <w:tcPr>
                  <w:tcW w:w="719" w:type="pct"/>
                  <w:vAlign w:val="center"/>
                </w:tcPr>
                <w:p w14:paraId="566E23E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19" w:type="pct"/>
                  <w:vAlign w:val="center"/>
                </w:tcPr>
                <w:p w14:paraId="3B72494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60</w:t>
                  </w:r>
                </w:p>
              </w:tc>
            </w:tr>
            <w:tr w14:paraId="257CD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30" w:type="pct"/>
                  <w:vAlign w:val="center"/>
                </w:tcPr>
                <w:p w14:paraId="09F9D2F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w:t>
                  </w:r>
                </w:p>
              </w:tc>
              <w:tc>
                <w:tcPr>
                  <w:tcW w:w="1690" w:type="pct"/>
                  <w:vAlign w:val="center"/>
                </w:tcPr>
                <w:p w14:paraId="2093C4A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总大肠菌群数</w:t>
                  </w:r>
                </w:p>
              </w:tc>
              <w:tc>
                <w:tcPr>
                  <w:tcW w:w="719" w:type="pct"/>
                  <w:vAlign w:val="center"/>
                </w:tcPr>
                <w:p w14:paraId="0C87CCB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个/L</w:t>
                  </w:r>
                </w:p>
              </w:tc>
              <w:tc>
                <w:tcPr>
                  <w:tcW w:w="719" w:type="pct"/>
                  <w:vAlign w:val="center"/>
                </w:tcPr>
                <w:p w14:paraId="7E26FB3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19" w:type="pct"/>
                  <w:vAlign w:val="center"/>
                </w:tcPr>
                <w:p w14:paraId="742337B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719" w:type="pct"/>
                  <w:vAlign w:val="center"/>
                </w:tcPr>
                <w:p w14:paraId="41BB9EF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bl>
          <w:p w14:paraId="6FBD546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22" w:firstLineChars="200"/>
              <w:jc w:val="both"/>
              <w:textAlignment w:val="auto"/>
              <w:rPr>
                <w:rFonts w:hint="default" w:ascii="Times New Roman" w:hAnsi="Times New Roman" w:cs="Times New Roman"/>
                <w:b/>
                <w:bCs/>
                <w:vertAlign w:val="baseline"/>
                <w:lang w:val="en-US" w:eastAsia="zh-CN"/>
              </w:rPr>
            </w:pPr>
            <w:r>
              <w:rPr>
                <w:rFonts w:hint="default" w:ascii="Times New Roman" w:hAnsi="Times New Roman" w:eastAsia="宋体" w:cs="Times New Roman"/>
                <w:b/>
                <w:bCs/>
                <w:kern w:val="2"/>
                <w:sz w:val="21"/>
                <w:szCs w:val="24"/>
                <w:vertAlign w:val="baseline"/>
                <w:lang w:val="en-US" w:eastAsia="zh-CN" w:bidi="ar-SA"/>
              </w:rPr>
              <w:t>3、</w:t>
            </w:r>
            <w:r>
              <w:rPr>
                <w:rFonts w:hint="default" w:ascii="Times New Roman" w:hAnsi="Times New Roman" w:cs="Times New Roman"/>
                <w:b/>
                <w:bCs/>
                <w:vertAlign w:val="baseline"/>
                <w:lang w:val="en-US" w:eastAsia="zh-CN"/>
              </w:rPr>
              <w:t>厂界噪声排放标准</w:t>
            </w:r>
          </w:p>
          <w:p w14:paraId="2DB53FBF">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lang w:val="en-US"/>
              </w:rPr>
            </w:pPr>
            <w:r>
              <w:rPr>
                <w:rFonts w:hint="default" w:ascii="Times New Roman" w:hAnsi="Times New Roman" w:cs="Times New Roman"/>
                <w:vertAlign w:val="baseline"/>
                <w:lang w:val="en-US" w:eastAsia="zh-CN"/>
              </w:rPr>
              <w:t>该项目位于南岳镇烧田村上粮组，营运期执行《工业企业厂界环境噪声排放标准》</w:t>
            </w:r>
            <w:r>
              <w:rPr>
                <w:rFonts w:hint="default" w:ascii="Times New Roman" w:hAnsi="Times New Roman" w:eastAsia="宋体" w:cs="Times New Roman"/>
                <w:color w:val="000000"/>
                <w:kern w:val="0"/>
                <w:sz w:val="24"/>
                <w:szCs w:val="24"/>
                <w:lang w:val="en-US" w:eastAsia="zh-CN" w:bidi="ar"/>
              </w:rPr>
              <w:t>（GB12348-2008</w:t>
            </w:r>
            <w:r>
              <w:rPr>
                <w:rFonts w:hint="default" w:ascii="Times New Roman" w:hAnsi="Times New Roman" w:cs="Times New Roman"/>
                <w:color w:val="000000"/>
                <w:kern w:val="0"/>
                <w:sz w:val="24"/>
                <w:szCs w:val="24"/>
                <w:lang w:val="en-US" w:eastAsia="zh-CN" w:bidi="ar"/>
              </w:rPr>
              <w:t>）中2类标准（即昼间≤60dB</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A</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，夜间≤50dB</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A</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w:t>
            </w:r>
          </w:p>
          <w:p w14:paraId="437B519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jc w:val="both"/>
              <w:textAlignment w:val="auto"/>
              <w:rPr>
                <w:rFonts w:hint="default" w:ascii="Times New Roman" w:hAnsi="Times New Roman" w:cs="Times New Roman"/>
                <w:b/>
                <w:bCs/>
                <w:vertAlign w:val="baseline"/>
                <w:lang w:val="en-US" w:eastAsia="zh-CN"/>
              </w:rPr>
            </w:pPr>
            <w:r>
              <w:rPr>
                <w:rFonts w:hint="default" w:ascii="Times New Roman" w:hAnsi="Times New Roman" w:cs="Times New Roman"/>
                <w:b/>
                <w:bCs/>
                <w:vertAlign w:val="baseline"/>
                <w:lang w:val="en-US" w:eastAsia="zh-CN"/>
              </w:rPr>
              <w:t>4、固体废物控制标准</w:t>
            </w:r>
          </w:p>
          <w:p w14:paraId="222CFC5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vertAlign w:val="baseline"/>
                <w:lang w:val="en-US" w:eastAsia="zh-CN"/>
              </w:rPr>
            </w:pPr>
            <w:r>
              <w:rPr>
                <w:rFonts w:hint="default" w:ascii="Times New Roman" w:hAnsi="Times New Roman" w:eastAsia="宋体" w:cs="Times New Roman"/>
                <w:vertAlign w:val="baseline"/>
                <w:lang w:val="en-US" w:eastAsia="zh-CN"/>
              </w:rPr>
              <w:t>危险废物执行《危险废物贮存污染控制标准》（GB18597-2023）；一般工业固废执行《一般工业固体废物贮存和填埋污染控制标准》（GB18599-2020）中的规定。生活垃圾</w:t>
            </w:r>
            <w:r>
              <w:rPr>
                <w:rFonts w:hint="default" w:ascii="Times New Roman" w:hAnsi="Times New Roman" w:cs="Times New Roman"/>
                <w:vertAlign w:val="baseline"/>
                <w:lang w:val="en-US" w:eastAsia="zh-CN"/>
              </w:rPr>
              <w:t>执行</w:t>
            </w:r>
            <w:r>
              <w:rPr>
                <w:rFonts w:hint="default" w:ascii="Times New Roman" w:hAnsi="Times New Roman" w:eastAsia="宋体" w:cs="Times New Roman"/>
                <w:vertAlign w:val="baseline"/>
                <w:lang w:val="en-US" w:eastAsia="zh-CN"/>
              </w:rPr>
              <w:t>《生活垃圾填埋场污染控制标准》（GB16889-20</w:t>
            </w:r>
            <w:r>
              <w:rPr>
                <w:rFonts w:hint="eastAsia" w:cs="Times New Roman"/>
                <w:vertAlign w:val="baseline"/>
                <w:lang w:val="en-US" w:eastAsia="zh-CN"/>
              </w:rPr>
              <w:t>24</w:t>
            </w:r>
            <w:r>
              <w:rPr>
                <w:rFonts w:hint="default" w:ascii="Times New Roman" w:hAnsi="Times New Roman" w:eastAsia="宋体" w:cs="Times New Roman"/>
                <w:vertAlign w:val="baseline"/>
                <w:lang w:val="en-US" w:eastAsia="zh-CN"/>
              </w:rPr>
              <w:t>）中的规定。</w:t>
            </w:r>
          </w:p>
        </w:tc>
      </w:tr>
      <w:tr w14:paraId="3C4E5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noWrap w:val="0"/>
            <w:vAlign w:val="center"/>
          </w:tcPr>
          <w:p w14:paraId="32A5B19F">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color w:val="FF0000"/>
                <w:vertAlign w:val="baseline"/>
                <w:lang w:val="en-US" w:eastAsia="zh-CN"/>
              </w:rPr>
            </w:pPr>
            <w:r>
              <w:rPr>
                <w:rFonts w:hint="default" w:ascii="Times New Roman" w:hAnsi="Times New Roman" w:cs="Times New Roman"/>
                <w:color w:val="FF0000"/>
                <w:vertAlign w:val="baseline"/>
                <w:lang w:val="en-US" w:eastAsia="zh-CN"/>
              </w:rPr>
              <w:t>总量</w:t>
            </w:r>
          </w:p>
          <w:p w14:paraId="3DE5BE24">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color w:val="FF0000"/>
                <w:vertAlign w:val="baseline"/>
                <w:lang w:val="en-US" w:eastAsia="zh-CN"/>
              </w:rPr>
            </w:pPr>
            <w:r>
              <w:rPr>
                <w:rFonts w:hint="default" w:ascii="Times New Roman" w:hAnsi="Times New Roman" w:cs="Times New Roman"/>
                <w:color w:val="FF0000"/>
                <w:vertAlign w:val="baseline"/>
                <w:lang w:val="en-US" w:eastAsia="zh-CN"/>
              </w:rPr>
              <w:t>控制</w:t>
            </w:r>
          </w:p>
          <w:p w14:paraId="3B467939">
            <w:pPr>
              <w:keepNext w:val="0"/>
              <w:keepLines w:val="0"/>
              <w:pageBreakBefore w:val="0"/>
              <w:wordWrap/>
              <w:overflowPunct/>
              <w:topLinePunct w:val="0"/>
              <w:bidi w:val="0"/>
              <w:adjustRightInd/>
              <w:snapToGrid/>
              <w:spacing w:beforeAutospacing="0" w:afterAutospacing="0" w:line="360" w:lineRule="auto"/>
              <w:ind w:left="0" w:leftChars="0" w:right="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color w:val="FF0000"/>
                <w:vertAlign w:val="baseline"/>
                <w:lang w:val="en-US" w:eastAsia="zh-CN"/>
              </w:rPr>
              <w:t>指标</w:t>
            </w:r>
          </w:p>
        </w:tc>
        <w:tc>
          <w:tcPr>
            <w:tcW w:w="7849" w:type="dxa"/>
            <w:noWrap w:val="0"/>
            <w:vAlign w:val="top"/>
          </w:tcPr>
          <w:p w14:paraId="5915876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根据《湖南省“十四五”生态环境保护规划》与《湖南省主要污染物排污权有偿使用和交易管理办法》，湖南省对COD、NH</w:t>
            </w:r>
            <w:r>
              <w:rPr>
                <w:rFonts w:hint="default" w:ascii="Times New Roman" w:hAnsi="Times New Roman" w:cs="Times New Roman"/>
                <w:vertAlign w:val="subscript"/>
                <w:lang w:val="en-US" w:eastAsia="zh-CN"/>
              </w:rPr>
              <w:t>3</w:t>
            </w:r>
            <w:r>
              <w:rPr>
                <w:rFonts w:hint="default" w:ascii="Times New Roman" w:hAnsi="Times New Roman" w:cs="Times New Roman"/>
                <w:vertAlign w:val="baseline"/>
                <w:lang w:val="en-US" w:eastAsia="zh-CN"/>
              </w:rPr>
              <w:t>、NOx、SO</w:t>
            </w:r>
            <w:r>
              <w:rPr>
                <w:rFonts w:hint="default" w:ascii="Times New Roman" w:hAnsi="Times New Roman" w:cs="Times New Roman"/>
                <w:vertAlign w:val="subscript"/>
                <w:lang w:val="en-US" w:eastAsia="zh-CN"/>
              </w:rPr>
              <w:t>2</w:t>
            </w:r>
            <w:r>
              <w:rPr>
                <w:rFonts w:hint="default" w:ascii="Times New Roman" w:hAnsi="Times New Roman" w:cs="Times New Roman"/>
                <w:vertAlign w:val="baseline"/>
                <w:lang w:val="en-US" w:eastAsia="zh-CN"/>
              </w:rPr>
              <w:t>、VOCs五项污染物实施总量控制。实施污染物总量控制，将有助于促进节约资源、产业结构的优化、科学技术进步和污染的防治，这是环境保护工作服务于两个根本性转变和推行可持续发展战略的重大举措之一。本项目生活污水和生产废水经化粪池和污水处理设施收集预处理后运至南岳区污水处理厂，尾水排入龙荫港，COD排放量为1.</w:t>
            </w:r>
            <w:r>
              <w:rPr>
                <w:rFonts w:hint="eastAsia" w:cs="Times New Roman"/>
                <w:vertAlign w:val="baseline"/>
                <w:lang w:val="en-US" w:eastAsia="zh-CN"/>
              </w:rPr>
              <w:t>0821</w:t>
            </w:r>
            <w:r>
              <w:rPr>
                <w:rFonts w:hint="default" w:ascii="Times New Roman" w:hAnsi="Times New Roman" w:cs="Times New Roman"/>
                <w:vertAlign w:val="baseline"/>
                <w:lang w:val="en-US" w:eastAsia="zh-CN"/>
              </w:rPr>
              <w:t>t/a，氨氮排放总量为0.0</w:t>
            </w:r>
            <w:r>
              <w:rPr>
                <w:rFonts w:hint="eastAsia" w:cs="Times New Roman"/>
                <w:vertAlign w:val="baseline"/>
                <w:lang w:val="en-US" w:eastAsia="zh-CN"/>
              </w:rPr>
              <w:t>541</w:t>
            </w:r>
            <w:r>
              <w:rPr>
                <w:rFonts w:hint="default" w:ascii="Times New Roman" w:hAnsi="Times New Roman" w:cs="Times New Roman"/>
                <w:vertAlign w:val="baseline"/>
                <w:lang w:val="en-US" w:eastAsia="zh-CN"/>
              </w:rPr>
              <w:t>t/a，建议向衡阳市生态环境局南岳分局申请总量指标。</w:t>
            </w:r>
          </w:p>
          <w:p w14:paraId="1E019F4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本项目废气</w:t>
            </w:r>
            <w:r>
              <w:rPr>
                <w:rFonts w:hint="default" w:ascii="Times New Roman" w:hAnsi="Times New Roman" w:cs="Times New Roman"/>
                <w:sz w:val="24"/>
                <w:szCs w:val="24"/>
                <w:lang w:val="en-US" w:eastAsia="zh-CN"/>
              </w:rPr>
              <w:t>为无组织排放，不涉及NOx、SO</w:t>
            </w:r>
            <w:r>
              <w:rPr>
                <w:rFonts w:hint="default" w:ascii="Times New Roman" w:hAnsi="Times New Roman" w:cs="Times New Roman"/>
                <w:sz w:val="24"/>
                <w:szCs w:val="24"/>
                <w:vertAlign w:val="subscript"/>
                <w:lang w:val="en-US" w:eastAsia="zh-CN"/>
              </w:rPr>
              <w:t>2</w:t>
            </w:r>
            <w:r>
              <w:rPr>
                <w:rFonts w:hint="default" w:ascii="Times New Roman" w:hAnsi="Times New Roman" w:cs="Times New Roman"/>
                <w:sz w:val="24"/>
                <w:szCs w:val="24"/>
                <w:lang w:val="en-US" w:eastAsia="zh-CN"/>
              </w:rPr>
              <w:t>、VOCs，</w:t>
            </w:r>
            <w:r>
              <w:rPr>
                <w:rFonts w:hint="default" w:ascii="Times New Roman" w:hAnsi="Times New Roman" w:eastAsia="宋体" w:cs="Times New Roman"/>
                <w:sz w:val="24"/>
                <w:szCs w:val="24"/>
                <w:lang w:val="en-US" w:eastAsia="zh-CN"/>
              </w:rPr>
              <w:t>无</w:t>
            </w:r>
            <w:r>
              <w:rPr>
                <w:rFonts w:hint="eastAsia" w:cs="Times New Roman"/>
                <w:sz w:val="24"/>
                <w:szCs w:val="24"/>
                <w:lang w:val="en-US" w:eastAsia="zh-CN"/>
              </w:rPr>
              <w:t>需</w:t>
            </w:r>
            <w:r>
              <w:rPr>
                <w:rFonts w:hint="default" w:ascii="Times New Roman" w:hAnsi="Times New Roman" w:eastAsia="宋体" w:cs="Times New Roman"/>
                <w:sz w:val="24"/>
                <w:szCs w:val="24"/>
                <w:lang w:val="en-US" w:eastAsia="zh-CN"/>
              </w:rPr>
              <w:t>设置</w:t>
            </w:r>
            <w:r>
              <w:rPr>
                <w:rFonts w:hint="eastAsia" w:cs="Times New Roman"/>
                <w:sz w:val="24"/>
                <w:szCs w:val="24"/>
                <w:lang w:val="en-US" w:eastAsia="zh-CN"/>
              </w:rPr>
              <w:t>涉气</w:t>
            </w:r>
            <w:r>
              <w:rPr>
                <w:rFonts w:hint="default" w:ascii="Times New Roman" w:hAnsi="Times New Roman" w:eastAsia="宋体" w:cs="Times New Roman"/>
                <w:sz w:val="24"/>
                <w:szCs w:val="24"/>
                <w:lang w:val="en-US" w:eastAsia="zh-CN"/>
              </w:rPr>
              <w:t>总量排放指标。</w:t>
            </w:r>
          </w:p>
        </w:tc>
      </w:tr>
    </w:tbl>
    <w:p w14:paraId="32951E89">
      <w:pPr>
        <w:pageBreakBefore w:val="0"/>
        <w:wordWrap/>
        <w:overflowPunct/>
        <w:spacing w:beforeAutospacing="0" w:afterAutospacing="0" w:line="360" w:lineRule="auto"/>
        <w:ind w:left="0" w:leftChars="0" w:right="0"/>
        <w:rPr>
          <w:rFonts w:hint="default" w:ascii="Times New Roman" w:hAnsi="Times New Roman" w:cs="Times New Roman"/>
        </w:rPr>
      </w:pPr>
      <w:r>
        <w:rPr>
          <w:rFonts w:hint="default" w:ascii="Times New Roman" w:hAnsi="Times New Roman" w:cs="Times New Roman"/>
        </w:rPr>
        <w:br w:type="page"/>
      </w:r>
    </w:p>
    <w:p w14:paraId="0CBDE8D7">
      <w:pPr>
        <w:pStyle w:val="2"/>
        <w:pageBreakBefore w:val="0"/>
        <w:wordWrap/>
        <w:overflowPunct/>
        <w:bidi w:val="0"/>
        <w:spacing w:beforeAutospacing="0" w:afterAutospacing="0" w:line="360" w:lineRule="auto"/>
        <w:ind w:left="0" w:leftChars="0" w:right="0"/>
        <w:rPr>
          <w:rFonts w:hint="default" w:ascii="Times New Roman" w:hAnsi="Times New Roman" w:cs="Times New Roman"/>
          <w:lang w:val="en-US" w:eastAsia="zh-CN"/>
        </w:rPr>
      </w:pPr>
      <w:bookmarkStart w:id="15" w:name="_Toc4034"/>
      <w:bookmarkStart w:id="16" w:name="_Toc26108"/>
      <w:bookmarkStart w:id="17" w:name="_Toc14310"/>
      <w:bookmarkStart w:id="18" w:name="_Toc9134"/>
      <w:bookmarkStart w:id="19" w:name="_Toc10215"/>
      <w:r>
        <w:rPr>
          <w:rFonts w:hint="default" w:ascii="Times New Roman" w:hAnsi="Times New Roman" w:cs="Times New Roman"/>
          <w:lang w:val="en-US" w:eastAsia="zh-CN"/>
        </w:rPr>
        <w:t>四、主要环境影响和保护措施</w:t>
      </w:r>
      <w:bookmarkEnd w:id="15"/>
      <w:bookmarkEnd w:id="16"/>
      <w:bookmarkEnd w:id="17"/>
      <w:bookmarkEnd w:id="18"/>
      <w:bookmarkEnd w:id="19"/>
    </w:p>
    <w:tbl>
      <w:tblPr>
        <w:tblStyle w:val="21"/>
        <w:tblW w:w="84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6"/>
        <w:gridCol w:w="8146"/>
      </w:tblGrid>
      <w:tr w14:paraId="1C8EE9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77" w:type="dxa"/>
            <w:tcBorders>
              <w:top w:val="single" w:color="auto" w:sz="4" w:space="0"/>
              <w:left w:val="single" w:color="auto" w:sz="4" w:space="0"/>
            </w:tcBorders>
            <w:noWrap w:val="0"/>
            <w:tcMar>
              <w:left w:w="28" w:type="dxa"/>
              <w:right w:w="28" w:type="dxa"/>
            </w:tcMar>
            <w:vAlign w:val="center"/>
          </w:tcPr>
          <w:p w14:paraId="1E1AE3B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施工</w:t>
            </w:r>
          </w:p>
          <w:p w14:paraId="0926F7C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期环</w:t>
            </w:r>
          </w:p>
          <w:p w14:paraId="71CD045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境保</w:t>
            </w:r>
          </w:p>
          <w:p w14:paraId="42CE65B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护措</w:t>
            </w:r>
          </w:p>
          <w:p w14:paraId="1BDD941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施</w:t>
            </w:r>
          </w:p>
        </w:tc>
        <w:tc>
          <w:tcPr>
            <w:tcW w:w="8165" w:type="dxa"/>
            <w:tcBorders>
              <w:top w:val="single" w:color="auto" w:sz="4" w:space="0"/>
              <w:right w:val="single" w:color="auto" w:sz="4" w:space="0"/>
            </w:tcBorders>
            <w:noWrap w:val="0"/>
            <w:vAlign w:val="center"/>
          </w:tcPr>
          <w:p w14:paraId="75FA78D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一、施工期主要环境影响和保护措施</w:t>
            </w:r>
          </w:p>
          <w:p w14:paraId="2BDE41F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施工期对环境的影响主要包括：施工废水、施工噪声、施工粉尘、建筑垃圾以及施工人员生活污水和生活垃圾。其排放量随工序和施工强度不同而变化，且随着施工的结束而结束。</w:t>
            </w:r>
            <w:r>
              <w:rPr>
                <w:rFonts w:hint="default" w:ascii="Times New Roman" w:hAnsi="Times New Roman" w:eastAsia="宋体" w:cs="Times New Roman"/>
                <w:bCs/>
                <w:color w:val="000000"/>
                <w:spacing w:val="6"/>
                <w:kern w:val="2"/>
                <w:sz w:val="24"/>
                <w:szCs w:val="24"/>
                <w:u w:val="none"/>
                <w:lang w:val="en-US" w:eastAsia="zh-CN" w:bidi="ar-SA"/>
              </w:rPr>
              <w:t>项目施工期产生的环境影响主要为</w:t>
            </w:r>
            <w:r>
              <w:rPr>
                <w:rFonts w:hint="default" w:ascii="Times New Roman" w:hAnsi="Times New Roman" w:cs="Times New Roman"/>
                <w:bCs/>
                <w:color w:val="000000"/>
                <w:spacing w:val="6"/>
                <w:kern w:val="2"/>
                <w:sz w:val="24"/>
                <w:szCs w:val="24"/>
                <w:u w:val="none"/>
                <w:lang w:val="en-US" w:eastAsia="zh-CN" w:bidi="ar-SA"/>
              </w:rPr>
              <w:t>施工</w:t>
            </w:r>
            <w:r>
              <w:rPr>
                <w:rFonts w:hint="default" w:ascii="Times New Roman" w:hAnsi="Times New Roman" w:eastAsia="宋体" w:cs="Times New Roman"/>
                <w:bCs/>
                <w:color w:val="000000"/>
                <w:spacing w:val="6"/>
                <w:kern w:val="2"/>
                <w:sz w:val="24"/>
                <w:szCs w:val="24"/>
                <w:u w:val="none"/>
                <w:lang w:val="en-US" w:eastAsia="zh-CN" w:bidi="ar-SA"/>
              </w:rPr>
              <w:t>废气</w:t>
            </w:r>
            <w:r>
              <w:rPr>
                <w:rFonts w:hint="default" w:ascii="Times New Roman" w:hAnsi="Times New Roman" w:cs="Times New Roman"/>
                <w:bCs/>
                <w:color w:val="000000"/>
                <w:spacing w:val="6"/>
                <w:kern w:val="2"/>
                <w:sz w:val="24"/>
                <w:szCs w:val="24"/>
                <w:u w:val="none"/>
                <w:lang w:val="en-US" w:eastAsia="zh-CN" w:bidi="ar-SA"/>
              </w:rPr>
              <w:t>、施工</w:t>
            </w:r>
            <w:r>
              <w:rPr>
                <w:rFonts w:hint="default" w:ascii="Times New Roman" w:hAnsi="Times New Roman" w:eastAsia="宋体" w:cs="Times New Roman"/>
                <w:bCs/>
                <w:color w:val="000000"/>
                <w:spacing w:val="6"/>
                <w:kern w:val="2"/>
                <w:sz w:val="24"/>
                <w:szCs w:val="24"/>
                <w:u w:val="none"/>
                <w:lang w:val="en-US" w:eastAsia="zh-CN" w:bidi="ar-SA"/>
              </w:rPr>
              <w:t>废水、噪声和固体废物。</w:t>
            </w:r>
          </w:p>
          <w:p w14:paraId="2D08013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6" w:firstLineChars="200"/>
              <w:textAlignment w:val="auto"/>
              <w:rPr>
                <w:rFonts w:hint="default" w:ascii="Times New Roman" w:hAnsi="Times New Roman" w:eastAsia="宋体" w:cs="Times New Roman"/>
                <w:b/>
                <w:bCs w:val="0"/>
                <w:color w:val="000000"/>
                <w:spacing w:val="6"/>
                <w:kern w:val="2"/>
                <w:sz w:val="24"/>
                <w:szCs w:val="24"/>
                <w:u w:val="none"/>
                <w:lang w:val="en-US" w:eastAsia="zh-CN" w:bidi="ar-SA"/>
              </w:rPr>
            </w:pPr>
            <w:r>
              <w:rPr>
                <w:rFonts w:hint="default" w:ascii="Times New Roman" w:hAnsi="Times New Roman" w:eastAsia="宋体" w:cs="Times New Roman"/>
                <w:b/>
                <w:bCs w:val="0"/>
                <w:color w:val="000000"/>
                <w:spacing w:val="6"/>
                <w:kern w:val="2"/>
                <w:sz w:val="24"/>
                <w:szCs w:val="24"/>
                <w:u w:val="none"/>
                <w:lang w:val="en-US" w:eastAsia="zh-CN" w:bidi="ar-SA"/>
              </w:rPr>
              <w:t>1、</w:t>
            </w:r>
            <w:r>
              <w:rPr>
                <w:rFonts w:hint="default" w:ascii="Times New Roman" w:hAnsi="Times New Roman" w:cs="Times New Roman"/>
                <w:b/>
                <w:bCs w:val="0"/>
                <w:color w:val="000000"/>
                <w:spacing w:val="6"/>
                <w:kern w:val="2"/>
                <w:sz w:val="24"/>
                <w:szCs w:val="24"/>
                <w:u w:val="none"/>
                <w:lang w:val="en-US" w:eastAsia="zh-CN" w:bidi="ar-SA"/>
              </w:rPr>
              <w:t>施工</w:t>
            </w:r>
            <w:r>
              <w:rPr>
                <w:rFonts w:hint="default" w:ascii="Times New Roman" w:hAnsi="Times New Roman" w:eastAsia="宋体" w:cs="Times New Roman"/>
                <w:b/>
                <w:bCs w:val="0"/>
                <w:color w:val="000000"/>
                <w:spacing w:val="6"/>
                <w:kern w:val="2"/>
                <w:sz w:val="24"/>
                <w:szCs w:val="24"/>
                <w:u w:val="none"/>
                <w:lang w:val="en-US" w:eastAsia="zh-CN" w:bidi="ar-SA"/>
              </w:rPr>
              <w:t>废气</w:t>
            </w:r>
          </w:p>
          <w:p w14:paraId="40A12C2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施工期废气主要为施工机械及车辆尾气、</w:t>
            </w:r>
            <w:r>
              <w:rPr>
                <w:rFonts w:hint="default" w:ascii="Times New Roman" w:hAnsi="Times New Roman" w:cs="Times New Roman"/>
                <w:bCs/>
                <w:color w:val="000000"/>
                <w:spacing w:val="6"/>
                <w:kern w:val="2"/>
                <w:sz w:val="24"/>
                <w:szCs w:val="24"/>
                <w:u w:val="none"/>
                <w:lang w:val="en-US" w:eastAsia="zh-CN" w:bidi="ar-SA"/>
              </w:rPr>
              <w:t>施工扬尘以及装修废气</w:t>
            </w:r>
            <w:r>
              <w:rPr>
                <w:rFonts w:hint="default" w:ascii="Times New Roman" w:hAnsi="Times New Roman" w:eastAsia="宋体" w:cs="Times New Roman"/>
                <w:bCs/>
                <w:color w:val="000000"/>
                <w:spacing w:val="6"/>
                <w:kern w:val="2"/>
                <w:sz w:val="24"/>
                <w:szCs w:val="24"/>
                <w:u w:val="none"/>
                <w:lang w:val="en-US" w:eastAsia="zh-CN" w:bidi="ar-SA"/>
              </w:rPr>
              <w:t>等。</w:t>
            </w:r>
          </w:p>
          <w:p w14:paraId="1789C41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（1）施工机械及车辆尾气</w:t>
            </w:r>
          </w:p>
          <w:p w14:paraId="2F0D3D1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运输车辆行驶过程中会产生尾气，主要污染物为CO、NOx和THC等；由于项目区域地势开阔，在空气中</w:t>
            </w:r>
            <w:r>
              <w:rPr>
                <w:rFonts w:hint="default" w:ascii="Times New Roman" w:hAnsi="Times New Roman" w:cs="Times New Roman"/>
                <w:bCs/>
                <w:color w:val="000000"/>
                <w:spacing w:val="6"/>
                <w:kern w:val="2"/>
                <w:sz w:val="24"/>
                <w:szCs w:val="24"/>
                <w:u w:val="none"/>
                <w:lang w:val="en-US" w:eastAsia="zh-CN" w:bidi="ar-SA"/>
              </w:rPr>
              <w:t>一</w:t>
            </w:r>
            <w:r>
              <w:rPr>
                <w:rFonts w:hint="default" w:ascii="Times New Roman" w:hAnsi="Times New Roman" w:eastAsia="宋体" w:cs="Times New Roman"/>
                <w:bCs/>
                <w:color w:val="000000"/>
                <w:spacing w:val="6"/>
                <w:kern w:val="2"/>
                <w:sz w:val="24"/>
                <w:szCs w:val="24"/>
                <w:u w:val="none"/>
                <w:lang w:val="en-US" w:eastAsia="zh-CN" w:bidi="ar-SA"/>
              </w:rPr>
              <w:t>段时间内可得到较快扩散，对周边环境的影响较小。</w:t>
            </w:r>
          </w:p>
          <w:p w14:paraId="47DCDDF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治理措施：施工机械和汽车运输所排放的尾气，主要对作业点周围和运输路线两侧局部范围产生一定影响。其特点</w:t>
            </w:r>
            <w:r>
              <w:rPr>
                <w:rFonts w:hint="eastAsia" w:cs="Times New Roman"/>
                <w:bCs/>
                <w:color w:val="000000"/>
                <w:spacing w:val="6"/>
                <w:kern w:val="2"/>
                <w:sz w:val="24"/>
                <w:szCs w:val="24"/>
                <w:u w:val="none"/>
                <w:lang w:val="en-US" w:eastAsia="zh-CN" w:bidi="ar-SA"/>
              </w:rPr>
              <w:t>是</w:t>
            </w:r>
            <w:r>
              <w:rPr>
                <w:rFonts w:hint="default" w:ascii="Times New Roman" w:hAnsi="Times New Roman" w:cs="Times New Roman"/>
                <w:bCs/>
                <w:color w:val="000000"/>
                <w:spacing w:val="6"/>
                <w:kern w:val="2"/>
                <w:sz w:val="24"/>
                <w:szCs w:val="24"/>
                <w:u w:val="none"/>
                <w:lang w:val="en-US" w:eastAsia="zh-CN" w:bidi="ar-SA"/>
              </w:rPr>
              <w:t>排放量小，且属间断性无组织排放，由于其这一特点，加之施工场地较开阔，扩散条件良好，因此对其不加处理就可达到相应的排放标准。在施工期内多加注意施工设备的维护，使其能够正常的运行，从而可以避免施工机械因病态而产生的废气超标的现象发生。</w:t>
            </w:r>
          </w:p>
          <w:p w14:paraId="6CD1B06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（2）</w:t>
            </w:r>
            <w:r>
              <w:rPr>
                <w:rFonts w:hint="default" w:ascii="Times New Roman" w:hAnsi="Times New Roman" w:cs="Times New Roman"/>
                <w:bCs/>
                <w:color w:val="000000"/>
                <w:spacing w:val="6"/>
                <w:kern w:val="2"/>
                <w:sz w:val="24"/>
                <w:szCs w:val="24"/>
                <w:u w:val="none"/>
                <w:lang w:val="en-US" w:eastAsia="zh-CN" w:bidi="ar-SA"/>
              </w:rPr>
              <w:t>施工扬尘</w:t>
            </w:r>
          </w:p>
          <w:p w14:paraId="496BC33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本项目</w:t>
            </w:r>
            <w:r>
              <w:rPr>
                <w:rFonts w:hint="default" w:ascii="Times New Roman" w:hAnsi="Times New Roman" w:cs="Times New Roman"/>
                <w:bCs/>
                <w:color w:val="000000"/>
                <w:spacing w:val="6"/>
                <w:kern w:val="2"/>
                <w:sz w:val="24"/>
                <w:szCs w:val="24"/>
                <w:u w:val="none"/>
                <w:lang w:val="en-US" w:eastAsia="zh-CN" w:bidi="ar-SA"/>
              </w:rPr>
              <w:t>在建设过程中的大气污染主要来自于施工场地的扬尘。施工扬尘一般来源于土方开挖、材料运输、堆料等环节产生的大量灰尘。建筑材料如混凝土、砂子等在其装卸、运输、使用过程中因风力作用而产生的粉尘；车辆往来造成地面扬尘；施工垃圾堆放和清运过程中产生扬尘。扬尘的影响在干燥天气下显得比较突出，但影响程度及范围有限，而且是短期的局部影响。</w:t>
            </w:r>
          </w:p>
          <w:p w14:paraId="2455B2D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治理措施：</w:t>
            </w:r>
          </w:p>
          <w:p w14:paraId="4607424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eastAsiaTheme="majorEastAsia"/>
                <w:bCs/>
                <w:color w:val="000000"/>
                <w:spacing w:val="6"/>
                <w:kern w:val="2"/>
                <w:sz w:val="24"/>
                <w:szCs w:val="24"/>
                <w:u w:val="none"/>
                <w:lang w:val="en-US" w:eastAsia="zh-CN" w:bidi="ar-SA"/>
              </w:rPr>
            </w:pPr>
            <w:r>
              <w:rPr>
                <w:rFonts w:hint="default" w:ascii="Times New Roman" w:hAnsi="Times New Roman" w:cs="Times New Roman" w:eastAsiaTheme="majorEastAsia"/>
                <w:bCs/>
                <w:color w:val="000000"/>
                <w:spacing w:val="6"/>
                <w:kern w:val="2"/>
                <w:sz w:val="24"/>
                <w:szCs w:val="24"/>
                <w:u w:val="none"/>
                <w:lang w:val="en-US" w:eastAsia="zh-CN" w:bidi="ar-SA"/>
              </w:rPr>
              <w:t>①在施工中应做到科学施工、文明施工，定期对地面洒水以严格控制扬尘，对运送易产生扬尘物质的车辆实行密封运输等，并对撒落在路面的渣土尽快清除。</w:t>
            </w:r>
          </w:p>
          <w:p w14:paraId="2CD50C4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eastAsiaTheme="majorEastAsia"/>
                <w:bCs/>
                <w:color w:val="000000"/>
                <w:spacing w:val="6"/>
                <w:kern w:val="2"/>
                <w:sz w:val="24"/>
                <w:szCs w:val="24"/>
                <w:u w:val="none"/>
                <w:lang w:val="en-US" w:eastAsia="zh-CN" w:bidi="ar-SA"/>
              </w:rPr>
            </w:pPr>
            <w:r>
              <w:rPr>
                <w:rFonts w:hint="default" w:ascii="Times New Roman" w:hAnsi="Times New Roman" w:cs="Times New Roman" w:eastAsiaTheme="majorEastAsia"/>
                <w:bCs/>
                <w:color w:val="000000"/>
                <w:spacing w:val="6"/>
                <w:kern w:val="2"/>
                <w:sz w:val="24"/>
                <w:szCs w:val="24"/>
                <w:u w:val="none"/>
                <w:lang w:val="en-US" w:eastAsia="zh-CN" w:bidi="ar-SA"/>
              </w:rPr>
              <w:t>②施工现场架设2.5m围挡，封闭施工现场，以减少结构和装修过程中的粉尘飞扬对周边环境的影响，降低粉尘向大气中的排放；脚手架在拆除前，先将脚手板上的垃圾清理干净，清理时应避免扬尘。</w:t>
            </w:r>
          </w:p>
          <w:p w14:paraId="5D68FBB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eastAsiaTheme="minorEastAsia"/>
                <w:bCs/>
                <w:color w:val="000000"/>
                <w:spacing w:val="6"/>
                <w:kern w:val="2"/>
                <w:sz w:val="24"/>
                <w:szCs w:val="24"/>
                <w:u w:val="none"/>
                <w:lang w:val="en-US" w:eastAsia="zh-CN" w:bidi="ar-SA"/>
              </w:rPr>
            </w:pPr>
            <w:r>
              <w:rPr>
                <w:rFonts w:hint="default" w:ascii="Times New Roman" w:hAnsi="Times New Roman" w:cs="Times New Roman" w:eastAsiaTheme="minorEastAsia"/>
                <w:bCs/>
                <w:color w:val="000000"/>
                <w:spacing w:val="6"/>
                <w:kern w:val="2"/>
                <w:sz w:val="24"/>
                <w:szCs w:val="24"/>
                <w:u w:val="none"/>
                <w:lang w:val="en-US" w:eastAsia="zh-CN" w:bidi="ar-SA"/>
              </w:rPr>
              <w:t>③由于道路和扬尘量与车辆的行驶速度有关，速度越快，扬尘量越大，因此，在施工场地对施工车辆必须实施限速行驶，同时施工现场主要运输路线尽量采用硬化路面并进行洒水抑尘。</w:t>
            </w:r>
          </w:p>
          <w:p w14:paraId="4770DBF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eastAsiaTheme="minorEastAsia"/>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④</w:t>
            </w:r>
            <w:r>
              <w:rPr>
                <w:rFonts w:hint="default" w:ascii="Times New Roman" w:hAnsi="Times New Roman" w:cs="Times New Roman" w:eastAsiaTheme="minorEastAsia"/>
                <w:bCs/>
                <w:color w:val="000000"/>
                <w:spacing w:val="6"/>
                <w:kern w:val="2"/>
                <w:sz w:val="24"/>
                <w:szCs w:val="24"/>
                <w:u w:val="none"/>
                <w:lang w:val="en-US" w:eastAsia="zh-CN" w:bidi="ar-SA"/>
              </w:rPr>
              <w:t>禁止在风天进行渣土堆放作业，风速大于3m/s时应停止施工，建材堆放地点要相对集中，临时废弃土石堆场及时清运，堆场必须以毡布覆盖，不得有裸土，尽可能减少建材的露天堆放时间，及时将多余弃土外运。</w:t>
            </w:r>
          </w:p>
          <w:p w14:paraId="2CE5DDB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eastAsiaTheme="minorEastAsia"/>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⑤</w:t>
            </w:r>
            <w:r>
              <w:rPr>
                <w:rFonts w:hint="default" w:ascii="Times New Roman" w:hAnsi="Times New Roman" w:cs="Times New Roman" w:eastAsiaTheme="minorEastAsia"/>
                <w:bCs/>
                <w:color w:val="000000"/>
                <w:spacing w:val="6"/>
                <w:kern w:val="2"/>
                <w:sz w:val="24"/>
                <w:szCs w:val="24"/>
                <w:u w:val="none"/>
                <w:lang w:val="en-US" w:eastAsia="zh-CN" w:bidi="ar-SA"/>
              </w:rPr>
              <w:t>保持进出施工场地车辆车体及轮胎的清洁，工地出口处铺装道路上可见粘带泥土不得超过10cm，并及时清扫冲洗。</w:t>
            </w:r>
          </w:p>
          <w:p w14:paraId="0C157B4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eastAsiaTheme="minorEastAsia"/>
                <w:bCs/>
                <w:color w:val="000000"/>
                <w:spacing w:val="6"/>
                <w:kern w:val="2"/>
                <w:sz w:val="24"/>
                <w:szCs w:val="24"/>
                <w:u w:val="none"/>
                <w:lang w:val="en-US" w:eastAsia="zh-CN" w:bidi="ar-SA"/>
              </w:rPr>
            </w:pPr>
            <w:r>
              <w:rPr>
                <w:rFonts w:hint="default" w:ascii="Times New Roman" w:hAnsi="Times New Roman" w:cs="Times New Roman" w:eastAsiaTheme="minorEastAsia"/>
                <w:bCs/>
                <w:color w:val="000000"/>
                <w:spacing w:val="6"/>
                <w:kern w:val="2"/>
                <w:sz w:val="24"/>
                <w:szCs w:val="24"/>
                <w:u w:val="none"/>
                <w:lang w:val="en-US" w:eastAsia="zh-CN" w:bidi="ar-SA"/>
              </w:rPr>
              <w:t>在项目施工期，对扬尘严格采取上述防治措施后，其浓度可降至1.0mg/m</w:t>
            </w:r>
            <w:r>
              <w:rPr>
                <w:rFonts w:hint="default" w:ascii="Times New Roman" w:hAnsi="Times New Roman" w:cs="Times New Roman" w:eastAsiaTheme="minorEastAsia"/>
                <w:bCs/>
                <w:color w:val="000000"/>
                <w:spacing w:val="6"/>
                <w:kern w:val="2"/>
                <w:sz w:val="24"/>
                <w:szCs w:val="24"/>
                <w:u w:val="none"/>
                <w:vertAlign w:val="superscript"/>
                <w:lang w:val="en-US" w:eastAsia="zh-CN" w:bidi="ar-SA"/>
              </w:rPr>
              <w:t>3</w:t>
            </w:r>
            <w:r>
              <w:rPr>
                <w:rFonts w:hint="default" w:ascii="Times New Roman" w:hAnsi="Times New Roman" w:cs="Times New Roman" w:eastAsiaTheme="minorEastAsia"/>
                <w:bCs/>
                <w:color w:val="000000"/>
                <w:spacing w:val="6"/>
                <w:kern w:val="2"/>
                <w:sz w:val="24"/>
                <w:szCs w:val="24"/>
                <w:u w:val="none"/>
                <w:lang w:val="en-US" w:eastAsia="zh-CN" w:bidi="ar-SA"/>
              </w:rPr>
              <w:t>，产生的扬尘可得到有效控制。</w:t>
            </w:r>
          </w:p>
          <w:p w14:paraId="76452905">
            <w:pPr>
              <w:pStyle w:val="11"/>
              <w:keepNext w:val="0"/>
              <w:keepLines w:val="0"/>
              <w:pageBreakBefore w:val="0"/>
              <w:widowControl/>
              <w:numPr>
                <w:ilvl w:val="0"/>
                <w:numId w:val="2"/>
              </w:numPr>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装修废气</w:t>
            </w:r>
          </w:p>
          <w:p w14:paraId="6EB67701">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室内室外装修和设备管道安装阶段产生的废气主要是</w:t>
            </w:r>
            <w:r>
              <w:rPr>
                <w:rFonts w:hint="eastAsia" w:cs="Times New Roman"/>
                <w:bCs/>
                <w:color w:val="000000"/>
                <w:spacing w:val="6"/>
                <w:kern w:val="2"/>
                <w:sz w:val="24"/>
                <w:szCs w:val="24"/>
                <w:u w:val="none"/>
                <w:lang w:val="en-US" w:eastAsia="zh-CN" w:bidi="ar-SA"/>
              </w:rPr>
              <w:t>油漆</w:t>
            </w:r>
            <w:r>
              <w:rPr>
                <w:rFonts w:hint="default" w:ascii="Times New Roman" w:hAnsi="Times New Roman" w:cs="Times New Roman"/>
                <w:bCs/>
                <w:color w:val="000000"/>
                <w:spacing w:val="6"/>
                <w:kern w:val="2"/>
                <w:sz w:val="24"/>
                <w:szCs w:val="24"/>
                <w:u w:val="none"/>
                <w:lang w:val="en-US" w:eastAsia="zh-CN" w:bidi="ar-SA"/>
              </w:rPr>
              <w:t>废气。油漆废气的主要污染因子是作为稀释剂的二甲苯，此外还有少量的醋酸丁醇、乙醇、丁醇等，该废气的排放属无组织排放。</w:t>
            </w:r>
          </w:p>
          <w:p w14:paraId="383FF8FF">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治理措施：</w:t>
            </w:r>
          </w:p>
          <w:p w14:paraId="13DEB0ED">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在装修油漆期间，应加强室内的通风换气，油漆结束完成以后，也应每天进行通风换气一至</w:t>
            </w:r>
            <w:r>
              <w:rPr>
                <w:rFonts w:hint="eastAsia" w:cs="Times New Roman"/>
                <w:bCs/>
                <w:color w:val="000000"/>
                <w:spacing w:val="6"/>
                <w:kern w:val="2"/>
                <w:sz w:val="24"/>
                <w:szCs w:val="24"/>
                <w:u w:val="none"/>
                <w:lang w:val="en-US" w:eastAsia="zh-CN" w:bidi="ar-SA"/>
              </w:rPr>
              <w:t>两</w:t>
            </w:r>
            <w:r>
              <w:rPr>
                <w:rFonts w:hint="default" w:ascii="Times New Roman" w:hAnsi="Times New Roman" w:cs="Times New Roman"/>
                <w:bCs/>
                <w:color w:val="000000"/>
                <w:spacing w:val="6"/>
                <w:kern w:val="2"/>
                <w:sz w:val="24"/>
                <w:szCs w:val="24"/>
                <w:u w:val="none"/>
                <w:lang w:val="en-US" w:eastAsia="zh-CN" w:bidi="ar-SA"/>
              </w:rPr>
              <w:t>个月。由于安装过程中油漆量较小，对周围环境的影响不大。</w:t>
            </w:r>
          </w:p>
          <w:p w14:paraId="2A60DF3D">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综合上述分析，建设单位在严格执行环评提出的防治措施后可有效降低施工期各大气污染物对区域大气环境质量的影响。本项目施工期大气污染物对区域大气环境影响将随着施工期结束而结束。</w:t>
            </w:r>
          </w:p>
          <w:p w14:paraId="0513DC4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6" w:firstLineChars="200"/>
              <w:textAlignment w:val="auto"/>
              <w:rPr>
                <w:rFonts w:hint="default" w:ascii="Times New Roman" w:hAnsi="Times New Roman" w:eastAsia="宋体" w:cs="Times New Roman"/>
                <w:b/>
                <w:bCs w:val="0"/>
                <w:color w:val="000000"/>
                <w:spacing w:val="6"/>
                <w:kern w:val="2"/>
                <w:sz w:val="24"/>
                <w:szCs w:val="24"/>
                <w:u w:val="none"/>
                <w:lang w:val="en-US" w:eastAsia="zh-CN" w:bidi="ar-SA"/>
              </w:rPr>
            </w:pPr>
            <w:r>
              <w:rPr>
                <w:rFonts w:hint="default" w:ascii="Times New Roman" w:hAnsi="Times New Roman" w:eastAsia="宋体" w:cs="Times New Roman"/>
                <w:b/>
                <w:bCs w:val="0"/>
                <w:color w:val="000000"/>
                <w:spacing w:val="6"/>
                <w:kern w:val="2"/>
                <w:sz w:val="24"/>
                <w:szCs w:val="24"/>
                <w:u w:val="none"/>
                <w:lang w:val="en-US" w:eastAsia="zh-CN" w:bidi="ar-SA"/>
              </w:rPr>
              <w:t>2、</w:t>
            </w:r>
            <w:r>
              <w:rPr>
                <w:rFonts w:hint="default" w:ascii="Times New Roman" w:hAnsi="Times New Roman" w:cs="Times New Roman"/>
                <w:b/>
                <w:bCs w:val="0"/>
                <w:color w:val="000000"/>
                <w:spacing w:val="6"/>
                <w:kern w:val="2"/>
                <w:sz w:val="24"/>
                <w:szCs w:val="24"/>
                <w:u w:val="none"/>
                <w:lang w:val="en-US" w:eastAsia="zh-CN" w:bidi="ar-SA"/>
              </w:rPr>
              <w:t>施工</w:t>
            </w:r>
            <w:r>
              <w:rPr>
                <w:rFonts w:hint="default" w:ascii="Times New Roman" w:hAnsi="Times New Roman" w:eastAsia="宋体" w:cs="Times New Roman"/>
                <w:b/>
                <w:bCs w:val="0"/>
                <w:color w:val="000000"/>
                <w:spacing w:val="6"/>
                <w:kern w:val="2"/>
                <w:sz w:val="24"/>
                <w:szCs w:val="24"/>
                <w:u w:val="none"/>
                <w:lang w:val="en-US" w:eastAsia="zh-CN" w:bidi="ar-SA"/>
              </w:rPr>
              <w:t>废水</w:t>
            </w:r>
          </w:p>
          <w:p w14:paraId="3CA8ED3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施工期废水主要为施工废水和施工人员生活</w:t>
            </w:r>
            <w:r>
              <w:rPr>
                <w:rFonts w:hint="eastAsia" w:cs="Times New Roman"/>
                <w:bCs/>
                <w:color w:val="000000"/>
                <w:spacing w:val="6"/>
                <w:kern w:val="2"/>
                <w:sz w:val="24"/>
                <w:szCs w:val="24"/>
                <w:u w:val="none"/>
                <w:lang w:val="en-US" w:eastAsia="zh-CN" w:bidi="ar-SA"/>
              </w:rPr>
              <w:t>污</w:t>
            </w:r>
            <w:r>
              <w:rPr>
                <w:rFonts w:hint="default" w:ascii="Times New Roman" w:hAnsi="Times New Roman" w:cs="Times New Roman"/>
                <w:bCs/>
                <w:color w:val="000000"/>
                <w:spacing w:val="6"/>
                <w:kern w:val="2"/>
                <w:sz w:val="24"/>
                <w:szCs w:val="24"/>
                <w:u w:val="none"/>
                <w:lang w:val="en-US" w:eastAsia="zh-CN" w:bidi="ar-SA"/>
              </w:rPr>
              <w:t>水。</w:t>
            </w:r>
          </w:p>
          <w:p w14:paraId="16654FA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施工废水主要产出有基础开挖阶段含有泥沙和石料的废水（泥沙和重金属）、混凝土泥浆废水（含碱性物质），设备清洗废水（含油类污染物）。</w:t>
            </w:r>
          </w:p>
          <w:p w14:paraId="05B720D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治理措施：</w:t>
            </w:r>
          </w:p>
          <w:p w14:paraId="74C9DFE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①施工人员</w:t>
            </w:r>
            <w:r>
              <w:rPr>
                <w:rFonts w:hint="default" w:ascii="Times New Roman" w:hAnsi="Times New Roman" w:cs="Times New Roman"/>
                <w:bCs/>
                <w:color w:val="000000"/>
                <w:spacing w:val="6"/>
                <w:kern w:val="2"/>
                <w:sz w:val="24"/>
                <w:szCs w:val="24"/>
                <w:u w:val="none"/>
                <w:lang w:val="en-US" w:eastAsia="zh-CN" w:bidi="ar-SA"/>
              </w:rPr>
              <w:t>为当地村民，生活</w:t>
            </w:r>
            <w:r>
              <w:rPr>
                <w:rFonts w:hint="eastAsia" w:cs="Times New Roman"/>
                <w:bCs/>
                <w:color w:val="000000"/>
                <w:spacing w:val="6"/>
                <w:kern w:val="2"/>
                <w:sz w:val="24"/>
                <w:szCs w:val="24"/>
                <w:u w:val="none"/>
                <w:lang w:val="en-US" w:eastAsia="zh-CN" w:bidi="ar-SA"/>
              </w:rPr>
              <w:t>污</w:t>
            </w:r>
            <w:r>
              <w:rPr>
                <w:rFonts w:hint="default" w:ascii="Times New Roman" w:hAnsi="Times New Roman" w:cs="Times New Roman"/>
                <w:bCs/>
                <w:color w:val="000000"/>
                <w:spacing w:val="6"/>
                <w:kern w:val="2"/>
                <w:sz w:val="24"/>
                <w:szCs w:val="24"/>
                <w:u w:val="none"/>
                <w:lang w:val="en-US" w:eastAsia="zh-CN" w:bidi="ar-SA"/>
              </w:rPr>
              <w:t>水依托周边农户现有污水处理设施处理。</w:t>
            </w:r>
          </w:p>
          <w:p w14:paraId="5B4D29E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②</w:t>
            </w:r>
            <w:r>
              <w:rPr>
                <w:rFonts w:hint="default" w:ascii="Times New Roman" w:hAnsi="Times New Roman" w:cs="Times New Roman"/>
                <w:bCs/>
                <w:color w:val="000000"/>
                <w:spacing w:val="6"/>
                <w:kern w:val="2"/>
                <w:sz w:val="24"/>
                <w:szCs w:val="24"/>
                <w:u w:val="none"/>
                <w:lang w:val="en-US" w:eastAsia="zh-CN" w:bidi="ar-SA"/>
              </w:rPr>
              <w:t>为减少施工期废水对周边环境的影响，本项目施工期间设置1座临时沉淀池，含有泥沙和石料的废水、混凝土泥浆废水、设备清洗废水经沉淀池处理后，回用作施工物料混合用水和洒水抑尘用水，不外排。遇下雨天气可对雨水进行收集，用于施工。</w:t>
            </w:r>
          </w:p>
          <w:p w14:paraId="03D3252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项目施工期产出废水会随着施工期的结束而消失，施工期废水采取相对治理措施后，不会形成大规模排放破坏周边生态环境，对地表水环境影响较小。</w:t>
            </w:r>
          </w:p>
          <w:p w14:paraId="5A26787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6" w:firstLineChars="200"/>
              <w:textAlignment w:val="auto"/>
              <w:rPr>
                <w:rFonts w:hint="default" w:ascii="Times New Roman" w:hAnsi="Times New Roman" w:eastAsia="宋体" w:cs="Times New Roman"/>
                <w:b/>
                <w:bCs w:val="0"/>
                <w:color w:val="000000"/>
                <w:spacing w:val="6"/>
                <w:kern w:val="2"/>
                <w:sz w:val="24"/>
                <w:szCs w:val="24"/>
                <w:u w:val="none"/>
                <w:lang w:val="en-US" w:eastAsia="zh-CN" w:bidi="ar-SA"/>
              </w:rPr>
            </w:pPr>
            <w:r>
              <w:rPr>
                <w:rFonts w:hint="default" w:ascii="Times New Roman" w:hAnsi="Times New Roman" w:eastAsia="宋体" w:cs="Times New Roman"/>
                <w:b/>
                <w:bCs w:val="0"/>
                <w:color w:val="000000"/>
                <w:spacing w:val="6"/>
                <w:kern w:val="2"/>
                <w:sz w:val="24"/>
                <w:szCs w:val="24"/>
                <w:u w:val="none"/>
                <w:lang w:val="en-US" w:eastAsia="zh-CN" w:bidi="ar-SA"/>
              </w:rPr>
              <w:t>3、噪声</w:t>
            </w:r>
          </w:p>
          <w:p w14:paraId="676225F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施工期产生的噪声主要为施工机械噪声、施工作业噪声和运输车辆噪声，其噪声值在70~</w:t>
            </w:r>
            <w:r>
              <w:rPr>
                <w:rFonts w:hint="default" w:ascii="Times New Roman" w:hAnsi="Times New Roman" w:cs="Times New Roman"/>
                <w:bCs/>
                <w:color w:val="000000"/>
                <w:spacing w:val="6"/>
                <w:kern w:val="2"/>
                <w:sz w:val="24"/>
                <w:szCs w:val="24"/>
                <w:u w:val="none"/>
                <w:lang w:val="en-US" w:eastAsia="zh-CN" w:bidi="ar-SA"/>
              </w:rPr>
              <w:t>100</w:t>
            </w:r>
            <w:r>
              <w:rPr>
                <w:rFonts w:hint="default" w:ascii="Times New Roman" w:hAnsi="Times New Roman" w:eastAsia="宋体" w:cs="Times New Roman"/>
                <w:bCs/>
                <w:color w:val="000000"/>
                <w:spacing w:val="6"/>
                <w:kern w:val="2"/>
                <w:sz w:val="24"/>
                <w:szCs w:val="24"/>
                <w:u w:val="none"/>
                <w:lang w:val="en-US" w:eastAsia="zh-CN" w:bidi="ar-SA"/>
              </w:rPr>
              <w:t>dB（A）</w:t>
            </w:r>
            <w:r>
              <w:rPr>
                <w:rFonts w:hint="default" w:ascii="Times New Roman" w:hAnsi="Times New Roman" w:cs="Times New Roman"/>
                <w:bCs/>
                <w:color w:val="000000"/>
                <w:spacing w:val="6"/>
                <w:kern w:val="2"/>
                <w:sz w:val="24"/>
                <w:szCs w:val="24"/>
                <w:u w:val="none"/>
                <w:lang w:val="en-US" w:eastAsia="zh-CN" w:bidi="ar-SA"/>
              </w:rPr>
              <w:t>。施工噪声主要可分为机械噪声、施工作业噪声和施工车辆噪声。施工机械主要有挖土机、混凝土搅拌机、振捣棒等，产生噪声多为点声源；施工作业噪声主要指一些零星的敲打声、装卸车辆的撞击声、吆喝声、拆卸模板的撞击声等，多为瞬时噪声；施工车辆的噪声属于交通噪声。在这些施工噪声中，对声环境影响最大的是机械噪声。查阅资料所得不同施工机械的噪声源强总结得到表4-1，在多台设备同时作业时，各设备噪声会产生叠加。施工期噪声评价标准采用</w:t>
            </w:r>
            <w:r>
              <w:rPr>
                <w:rFonts w:hint="default" w:ascii="Times New Roman" w:hAnsi="Times New Roman" w:eastAsia="宋体" w:cs="Times New Roman"/>
                <w:bCs/>
                <w:color w:val="000000"/>
                <w:spacing w:val="6"/>
                <w:kern w:val="2"/>
                <w:sz w:val="24"/>
                <w:szCs w:val="24"/>
                <w:u w:val="none"/>
                <w:lang w:val="en-US" w:eastAsia="zh-CN" w:bidi="ar-SA"/>
              </w:rPr>
              <w:t>《建筑施工场界环境噪声排放标准》（GB12523-2011），限值为昼间70dB（A）、夜间55dB（A）。</w:t>
            </w:r>
          </w:p>
          <w:p w14:paraId="49DB428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jc w:val="center"/>
              <w:textAlignment w:val="auto"/>
              <w:rPr>
                <w:rFonts w:hint="default" w:ascii="Times New Roman" w:hAnsi="Times New Roman" w:cs="Times New Roman"/>
                <w:b/>
                <w:bCs w:val="0"/>
                <w:color w:val="000000"/>
                <w:spacing w:val="6"/>
                <w:kern w:val="2"/>
                <w:sz w:val="21"/>
                <w:szCs w:val="21"/>
                <w:u w:val="none"/>
                <w:lang w:val="en-US" w:eastAsia="zh-CN" w:bidi="ar-SA"/>
              </w:rPr>
            </w:pPr>
            <w:r>
              <w:rPr>
                <w:rFonts w:hint="default" w:ascii="Times New Roman" w:hAnsi="Times New Roman" w:cs="Times New Roman"/>
                <w:b/>
                <w:bCs w:val="0"/>
                <w:color w:val="000000"/>
                <w:spacing w:val="6"/>
                <w:kern w:val="2"/>
                <w:sz w:val="21"/>
                <w:szCs w:val="21"/>
                <w:u w:val="none"/>
                <w:lang w:val="en-US" w:eastAsia="zh-CN" w:bidi="ar-SA"/>
              </w:rPr>
              <w:t>表4-1  主要施工机械设备的噪声源强</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5"/>
              <w:gridCol w:w="1726"/>
              <w:gridCol w:w="4116"/>
            </w:tblGrid>
            <w:tr w14:paraId="6DA24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tcPr>
                <w:p w14:paraId="67C5F74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施工阶段</w:t>
                  </w:r>
                </w:p>
              </w:tc>
              <w:tc>
                <w:tcPr>
                  <w:tcW w:w="1090" w:type="pct"/>
                </w:tcPr>
                <w:p w14:paraId="55200E1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施工机械</w:t>
                  </w:r>
                </w:p>
              </w:tc>
              <w:tc>
                <w:tcPr>
                  <w:tcW w:w="2599" w:type="pct"/>
                </w:tcPr>
                <w:p w14:paraId="7872BB2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5米处测量声级dB（A）</w:t>
                  </w:r>
                </w:p>
              </w:tc>
            </w:tr>
            <w:tr w14:paraId="2F5D4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restart"/>
                  <w:vAlign w:val="center"/>
                </w:tcPr>
                <w:p w14:paraId="1F04EA2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土方石阶段</w:t>
                  </w:r>
                </w:p>
              </w:tc>
              <w:tc>
                <w:tcPr>
                  <w:tcW w:w="1090" w:type="pct"/>
                </w:tcPr>
                <w:p w14:paraId="0A4D7F7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推土机</w:t>
                  </w:r>
                </w:p>
              </w:tc>
              <w:tc>
                <w:tcPr>
                  <w:tcW w:w="2599" w:type="pct"/>
                </w:tcPr>
                <w:p w14:paraId="4F2A575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86</w:t>
                  </w:r>
                </w:p>
              </w:tc>
            </w:tr>
            <w:tr w14:paraId="3AF18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continue"/>
                  <w:vAlign w:val="center"/>
                </w:tcPr>
                <w:p w14:paraId="192A104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p>
              </w:tc>
              <w:tc>
                <w:tcPr>
                  <w:tcW w:w="1090" w:type="pct"/>
                </w:tcPr>
                <w:p w14:paraId="0A5410C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挖掘机</w:t>
                  </w:r>
                </w:p>
              </w:tc>
              <w:tc>
                <w:tcPr>
                  <w:tcW w:w="2599" w:type="pct"/>
                </w:tcPr>
                <w:p w14:paraId="0352DD2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84</w:t>
                  </w:r>
                </w:p>
              </w:tc>
            </w:tr>
            <w:tr w14:paraId="3EE55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continue"/>
                  <w:vAlign w:val="center"/>
                </w:tcPr>
                <w:p w14:paraId="6E40793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p>
              </w:tc>
              <w:tc>
                <w:tcPr>
                  <w:tcW w:w="1090" w:type="pct"/>
                </w:tcPr>
                <w:p w14:paraId="0528C66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自卸卡车</w:t>
                  </w:r>
                </w:p>
              </w:tc>
              <w:tc>
                <w:tcPr>
                  <w:tcW w:w="2599" w:type="pct"/>
                </w:tcPr>
                <w:p w14:paraId="5FE0DF2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80</w:t>
                  </w:r>
                </w:p>
              </w:tc>
            </w:tr>
            <w:tr w14:paraId="0E517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continue"/>
                  <w:vAlign w:val="center"/>
                </w:tcPr>
                <w:p w14:paraId="4BE7982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p>
              </w:tc>
              <w:tc>
                <w:tcPr>
                  <w:tcW w:w="1090" w:type="pct"/>
                </w:tcPr>
                <w:p w14:paraId="2920D41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装载机</w:t>
                  </w:r>
                </w:p>
              </w:tc>
              <w:tc>
                <w:tcPr>
                  <w:tcW w:w="2599" w:type="pct"/>
                </w:tcPr>
                <w:p w14:paraId="5995E10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83</w:t>
                  </w:r>
                </w:p>
              </w:tc>
            </w:tr>
            <w:tr w14:paraId="6444C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restart"/>
                  <w:vAlign w:val="center"/>
                </w:tcPr>
                <w:p w14:paraId="479EEEE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结构阶段</w:t>
                  </w:r>
                </w:p>
              </w:tc>
              <w:tc>
                <w:tcPr>
                  <w:tcW w:w="1090" w:type="pct"/>
                </w:tcPr>
                <w:p w14:paraId="72B04B0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振捣棒</w:t>
                  </w:r>
                </w:p>
              </w:tc>
              <w:tc>
                <w:tcPr>
                  <w:tcW w:w="2599" w:type="pct"/>
                </w:tcPr>
                <w:p w14:paraId="313B95E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90</w:t>
                  </w:r>
                </w:p>
              </w:tc>
            </w:tr>
            <w:tr w14:paraId="32569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continue"/>
                  <w:vAlign w:val="center"/>
                </w:tcPr>
                <w:p w14:paraId="4754CFD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p>
              </w:tc>
              <w:tc>
                <w:tcPr>
                  <w:tcW w:w="1090" w:type="pct"/>
                </w:tcPr>
                <w:p w14:paraId="424F07A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电锯</w:t>
                  </w:r>
                </w:p>
              </w:tc>
              <w:tc>
                <w:tcPr>
                  <w:tcW w:w="2599" w:type="pct"/>
                </w:tcPr>
                <w:p w14:paraId="4D671F9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100</w:t>
                  </w:r>
                </w:p>
              </w:tc>
            </w:tr>
            <w:tr w14:paraId="7BA30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continue"/>
                  <w:vAlign w:val="center"/>
                </w:tcPr>
                <w:p w14:paraId="30D7C8D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p>
              </w:tc>
              <w:tc>
                <w:tcPr>
                  <w:tcW w:w="1090" w:type="pct"/>
                </w:tcPr>
                <w:p w14:paraId="1CD1A14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空压机</w:t>
                  </w:r>
                </w:p>
              </w:tc>
              <w:tc>
                <w:tcPr>
                  <w:tcW w:w="2599" w:type="pct"/>
                </w:tcPr>
                <w:p w14:paraId="26AFBEB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88</w:t>
                  </w:r>
                </w:p>
              </w:tc>
            </w:tr>
            <w:tr w14:paraId="6273A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restart"/>
                  <w:vAlign w:val="center"/>
                </w:tcPr>
                <w:p w14:paraId="3F7115B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装修阶段</w:t>
                  </w:r>
                </w:p>
              </w:tc>
              <w:tc>
                <w:tcPr>
                  <w:tcW w:w="1090" w:type="pct"/>
                </w:tcPr>
                <w:p w14:paraId="2E26EA2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电钻</w:t>
                  </w:r>
                </w:p>
              </w:tc>
              <w:tc>
                <w:tcPr>
                  <w:tcW w:w="2599" w:type="pct"/>
                </w:tcPr>
                <w:p w14:paraId="7FD447C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100</w:t>
                  </w:r>
                </w:p>
              </w:tc>
            </w:tr>
            <w:tr w14:paraId="204DA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10" w:type="pct"/>
                  <w:vMerge w:val="continue"/>
                </w:tcPr>
                <w:p w14:paraId="0DB0C28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left"/>
                    <w:textAlignment w:val="auto"/>
                    <w:rPr>
                      <w:rFonts w:hint="default" w:ascii="Times New Roman" w:hAnsi="Times New Roman" w:cs="Times New Roman"/>
                      <w:bCs/>
                      <w:color w:val="000000"/>
                      <w:spacing w:val="6"/>
                      <w:kern w:val="2"/>
                      <w:sz w:val="21"/>
                      <w:szCs w:val="21"/>
                      <w:u w:val="none"/>
                      <w:vertAlign w:val="baseline"/>
                      <w:lang w:val="en-US" w:eastAsia="zh-CN" w:bidi="ar-SA"/>
                    </w:rPr>
                  </w:pPr>
                </w:p>
              </w:tc>
              <w:tc>
                <w:tcPr>
                  <w:tcW w:w="1090" w:type="pct"/>
                </w:tcPr>
                <w:p w14:paraId="0E29949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木工电刨</w:t>
                  </w:r>
                </w:p>
              </w:tc>
              <w:tc>
                <w:tcPr>
                  <w:tcW w:w="2599" w:type="pct"/>
                </w:tcPr>
                <w:p w14:paraId="2B139EF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bCs/>
                      <w:color w:val="000000"/>
                      <w:spacing w:val="6"/>
                      <w:kern w:val="2"/>
                      <w:sz w:val="21"/>
                      <w:szCs w:val="21"/>
                      <w:u w:val="none"/>
                      <w:vertAlign w:val="baseline"/>
                      <w:lang w:val="en-US" w:eastAsia="zh-CN" w:bidi="ar-SA"/>
                    </w:rPr>
                  </w:pPr>
                  <w:r>
                    <w:rPr>
                      <w:rFonts w:hint="default" w:ascii="Times New Roman" w:hAnsi="Times New Roman" w:cs="Times New Roman"/>
                      <w:bCs/>
                      <w:color w:val="000000"/>
                      <w:spacing w:val="6"/>
                      <w:kern w:val="2"/>
                      <w:sz w:val="21"/>
                      <w:szCs w:val="21"/>
                      <w:u w:val="none"/>
                      <w:vertAlign w:val="baseline"/>
                      <w:lang w:val="en-US" w:eastAsia="zh-CN" w:bidi="ar-SA"/>
                    </w:rPr>
                    <w:t>90</w:t>
                  </w:r>
                </w:p>
              </w:tc>
            </w:tr>
          </w:tbl>
          <w:p w14:paraId="2361727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加强噪声治理措施：</w:t>
            </w:r>
          </w:p>
          <w:p w14:paraId="342ABF0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①对声环境影响较大的是施工机械噪声，采用低噪声设备、高噪声设备尽量远离附近敏感点</w:t>
            </w:r>
            <w:r>
              <w:rPr>
                <w:rFonts w:hint="default" w:ascii="Times New Roman" w:hAnsi="Times New Roman" w:cs="Times New Roman"/>
                <w:bCs/>
                <w:color w:val="000000"/>
                <w:spacing w:val="6"/>
                <w:kern w:val="2"/>
                <w:sz w:val="24"/>
                <w:szCs w:val="24"/>
                <w:u w:val="none"/>
                <w:lang w:val="en-US" w:eastAsia="zh-CN" w:bidi="ar-SA"/>
              </w:rPr>
              <w:t>。</w:t>
            </w:r>
          </w:p>
          <w:p w14:paraId="387F433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②合理安排施工作业时间、禁鸣等措施</w:t>
            </w:r>
            <w:r>
              <w:rPr>
                <w:rFonts w:hint="default" w:ascii="Times New Roman" w:hAnsi="Times New Roman" w:cs="Times New Roman"/>
                <w:bCs/>
                <w:color w:val="000000"/>
                <w:spacing w:val="6"/>
                <w:kern w:val="2"/>
                <w:sz w:val="24"/>
                <w:szCs w:val="24"/>
                <w:u w:val="none"/>
                <w:lang w:val="en-US" w:eastAsia="zh-CN" w:bidi="ar-SA"/>
              </w:rPr>
              <w:t>，高噪声作业安排在6：00-22：00进行，夜间禁止高噪声施工。如有必</w:t>
            </w:r>
            <w:r>
              <w:rPr>
                <w:rFonts w:hint="eastAsia" w:cs="Times New Roman"/>
                <w:bCs/>
                <w:color w:val="000000"/>
                <w:spacing w:val="6"/>
                <w:kern w:val="2"/>
                <w:sz w:val="24"/>
                <w:szCs w:val="24"/>
                <w:u w:val="none"/>
                <w:lang w:val="en-US" w:eastAsia="zh-CN" w:bidi="ar-SA"/>
              </w:rPr>
              <w:t>须</w:t>
            </w:r>
            <w:r>
              <w:rPr>
                <w:rFonts w:hint="default" w:ascii="Times New Roman" w:hAnsi="Times New Roman" w:cs="Times New Roman"/>
                <w:bCs/>
                <w:color w:val="000000"/>
                <w:spacing w:val="6"/>
                <w:kern w:val="2"/>
                <w:sz w:val="24"/>
                <w:szCs w:val="24"/>
                <w:u w:val="none"/>
                <w:lang w:val="en-US" w:eastAsia="zh-CN" w:bidi="ar-SA"/>
              </w:rPr>
              <w:t>施工项目应取得环保部门许可并公告。</w:t>
            </w:r>
          </w:p>
          <w:p w14:paraId="1A52F11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这些噪声均为瞬间噪声，</w:t>
            </w:r>
            <w:r>
              <w:rPr>
                <w:rFonts w:hint="default" w:ascii="Times New Roman" w:hAnsi="Times New Roman" w:cs="Times New Roman"/>
                <w:bCs/>
                <w:color w:val="000000"/>
                <w:spacing w:val="6"/>
                <w:kern w:val="2"/>
                <w:sz w:val="24"/>
                <w:szCs w:val="24"/>
                <w:u w:val="none"/>
                <w:lang w:val="en-US" w:eastAsia="zh-CN" w:bidi="ar-SA"/>
              </w:rPr>
              <w:t>通过上述治理措施，</w:t>
            </w:r>
            <w:r>
              <w:rPr>
                <w:rFonts w:hint="default" w:ascii="Times New Roman" w:hAnsi="Times New Roman" w:eastAsia="宋体" w:cs="Times New Roman"/>
                <w:bCs/>
                <w:color w:val="000000"/>
                <w:spacing w:val="6"/>
                <w:kern w:val="2"/>
                <w:sz w:val="24"/>
                <w:szCs w:val="24"/>
                <w:u w:val="none"/>
                <w:lang w:val="en-US" w:eastAsia="zh-CN" w:bidi="ar-SA"/>
              </w:rPr>
              <w:t>施工期噪声可得到有效</w:t>
            </w:r>
            <w:r>
              <w:rPr>
                <w:rFonts w:hint="eastAsia" w:cs="Times New Roman"/>
                <w:bCs/>
                <w:color w:val="000000"/>
                <w:spacing w:val="6"/>
                <w:kern w:val="2"/>
                <w:sz w:val="24"/>
                <w:szCs w:val="24"/>
                <w:u w:val="none"/>
                <w:lang w:val="en-US" w:eastAsia="zh-CN" w:bidi="ar-SA"/>
              </w:rPr>
              <w:t>地</w:t>
            </w:r>
            <w:r>
              <w:rPr>
                <w:rFonts w:hint="default" w:ascii="Times New Roman" w:hAnsi="Times New Roman" w:eastAsia="宋体" w:cs="Times New Roman"/>
                <w:bCs/>
                <w:color w:val="000000"/>
                <w:spacing w:val="6"/>
                <w:kern w:val="2"/>
                <w:sz w:val="24"/>
                <w:szCs w:val="24"/>
                <w:u w:val="none"/>
                <w:lang w:val="en-US" w:eastAsia="zh-CN" w:bidi="ar-SA"/>
              </w:rPr>
              <w:t>控制，</w:t>
            </w:r>
            <w:r>
              <w:rPr>
                <w:rFonts w:hint="default" w:ascii="Times New Roman" w:hAnsi="Times New Roman" w:cs="Times New Roman"/>
                <w:bCs/>
                <w:color w:val="000000"/>
                <w:spacing w:val="6"/>
                <w:kern w:val="2"/>
                <w:sz w:val="24"/>
                <w:szCs w:val="24"/>
                <w:u w:val="none"/>
                <w:lang w:val="en-US" w:eastAsia="zh-CN" w:bidi="ar-SA"/>
              </w:rPr>
              <w:t>作业尽量控制在白天完成</w:t>
            </w:r>
            <w:r>
              <w:rPr>
                <w:rFonts w:hint="default" w:ascii="Times New Roman" w:hAnsi="Times New Roman" w:eastAsia="宋体" w:cs="Times New Roman"/>
                <w:bCs/>
                <w:color w:val="000000"/>
                <w:spacing w:val="6"/>
                <w:kern w:val="2"/>
                <w:sz w:val="24"/>
                <w:szCs w:val="24"/>
                <w:u w:val="none"/>
                <w:lang w:val="en-US" w:eastAsia="zh-CN" w:bidi="ar-SA"/>
              </w:rPr>
              <w:t>，对附近居民点的影响较小。</w:t>
            </w:r>
          </w:p>
          <w:p w14:paraId="4A5D286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6" w:firstLineChars="200"/>
              <w:textAlignment w:val="auto"/>
              <w:rPr>
                <w:rFonts w:hint="default" w:ascii="Times New Roman" w:hAnsi="Times New Roman" w:eastAsia="宋体" w:cs="Times New Roman"/>
                <w:b/>
                <w:bCs w:val="0"/>
                <w:color w:val="000000"/>
                <w:spacing w:val="6"/>
                <w:kern w:val="2"/>
                <w:sz w:val="24"/>
                <w:szCs w:val="24"/>
                <w:u w:val="none"/>
                <w:lang w:val="en-US" w:eastAsia="zh-CN" w:bidi="ar-SA"/>
              </w:rPr>
            </w:pPr>
            <w:r>
              <w:rPr>
                <w:rFonts w:hint="default" w:ascii="Times New Roman" w:hAnsi="Times New Roman" w:eastAsia="宋体" w:cs="Times New Roman"/>
                <w:b/>
                <w:bCs w:val="0"/>
                <w:color w:val="000000"/>
                <w:spacing w:val="6"/>
                <w:kern w:val="2"/>
                <w:sz w:val="24"/>
                <w:szCs w:val="24"/>
                <w:u w:val="none"/>
                <w:lang w:val="en-US" w:eastAsia="zh-CN" w:bidi="ar-SA"/>
              </w:rPr>
              <w:t>4、固体废物</w:t>
            </w:r>
          </w:p>
          <w:p w14:paraId="26C36F8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施工期产生的固体废物主要为少量建筑垃圾和施工人员生活垃圾</w:t>
            </w:r>
            <w:r>
              <w:rPr>
                <w:rFonts w:hint="default" w:ascii="Times New Roman" w:hAnsi="Times New Roman" w:cs="Times New Roman"/>
                <w:bCs/>
                <w:color w:val="000000"/>
                <w:spacing w:val="6"/>
                <w:kern w:val="2"/>
                <w:sz w:val="24"/>
                <w:szCs w:val="24"/>
                <w:u w:val="none"/>
                <w:lang w:val="en-US" w:eastAsia="zh-CN" w:bidi="ar-SA"/>
              </w:rPr>
              <w:t>，</w:t>
            </w:r>
            <w:r>
              <w:rPr>
                <w:rFonts w:hint="default" w:ascii="Times New Roman" w:hAnsi="Times New Roman" w:eastAsia="宋体" w:cs="Times New Roman"/>
                <w:bCs/>
                <w:color w:val="000000"/>
                <w:spacing w:val="6"/>
                <w:kern w:val="2"/>
                <w:sz w:val="24"/>
                <w:szCs w:val="24"/>
                <w:u w:val="none"/>
                <w:lang w:val="en-US" w:eastAsia="zh-CN" w:bidi="ar-SA"/>
              </w:rPr>
              <w:t>施工过程产生的弃土。</w:t>
            </w:r>
          </w:p>
          <w:p w14:paraId="2CD15B9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（1）建筑垃圾</w:t>
            </w:r>
            <w:r>
              <w:rPr>
                <w:rFonts w:hint="default" w:ascii="Times New Roman" w:hAnsi="Times New Roman" w:cs="Times New Roman"/>
                <w:bCs/>
                <w:color w:val="000000"/>
                <w:spacing w:val="6"/>
                <w:kern w:val="2"/>
                <w:sz w:val="24"/>
                <w:szCs w:val="24"/>
                <w:u w:val="none"/>
                <w:lang w:val="en-US" w:eastAsia="zh-CN" w:bidi="ar-SA"/>
              </w:rPr>
              <w:t>与</w:t>
            </w:r>
            <w:r>
              <w:rPr>
                <w:rFonts w:hint="default" w:ascii="Times New Roman" w:hAnsi="Times New Roman" w:eastAsia="宋体" w:cs="Times New Roman"/>
                <w:bCs/>
                <w:color w:val="000000"/>
                <w:spacing w:val="6"/>
                <w:kern w:val="2"/>
                <w:sz w:val="24"/>
                <w:szCs w:val="24"/>
                <w:u w:val="none"/>
                <w:lang w:val="en-US" w:eastAsia="zh-CN" w:bidi="ar-SA"/>
              </w:rPr>
              <w:t>生活垃圾</w:t>
            </w:r>
          </w:p>
          <w:p w14:paraId="54A6F7E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建筑垃圾主要为废钢筋和钢板、废包装物料等</w:t>
            </w:r>
            <w:r>
              <w:rPr>
                <w:rFonts w:hint="default" w:ascii="Times New Roman" w:hAnsi="Times New Roman" w:cs="Times New Roman"/>
                <w:bCs/>
                <w:color w:val="000000"/>
                <w:spacing w:val="6"/>
                <w:kern w:val="2"/>
                <w:sz w:val="24"/>
                <w:szCs w:val="24"/>
                <w:u w:val="none"/>
                <w:lang w:val="en-US" w:eastAsia="zh-CN" w:bidi="ar-SA"/>
              </w:rPr>
              <w:t>，生活垃圾包括废包装，剩余饭菜等。施工人员平均按20人计，生活垃圾按0.5kg/人d计，产生量为10kg/d。</w:t>
            </w:r>
          </w:p>
          <w:p w14:paraId="5C9F770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（2）施工过程产生的弃土</w:t>
            </w:r>
          </w:p>
          <w:p w14:paraId="45684D9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eastAsia="宋体" w:cs="Times New Roman"/>
                <w:bCs/>
                <w:color w:val="000000"/>
                <w:spacing w:val="6"/>
                <w:kern w:val="2"/>
                <w:sz w:val="24"/>
                <w:szCs w:val="24"/>
                <w:u w:val="none"/>
                <w:lang w:val="en-US" w:eastAsia="zh-CN" w:bidi="ar-SA"/>
              </w:rPr>
              <w:t>根据施工设计及当地情况，本项目的挖填方量较小，工程土石方在场内能实现平衡，没有弃土产生。</w:t>
            </w:r>
          </w:p>
          <w:p w14:paraId="3694CE9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治理措施：</w:t>
            </w:r>
          </w:p>
          <w:p w14:paraId="3C9B566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504" w:firstLineChars="200"/>
              <w:textAlignment w:val="auto"/>
              <w:rPr>
                <w:rFonts w:hint="default" w:ascii="Times New Roman" w:hAnsi="Times New Roman" w:eastAsia="宋体"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建筑垃圾</w:t>
            </w:r>
            <w:r>
              <w:rPr>
                <w:rFonts w:hint="default" w:ascii="Times New Roman" w:hAnsi="Times New Roman" w:eastAsia="宋体" w:cs="Times New Roman"/>
                <w:bCs/>
                <w:color w:val="000000"/>
                <w:spacing w:val="6"/>
                <w:kern w:val="2"/>
                <w:sz w:val="24"/>
                <w:szCs w:val="24"/>
                <w:u w:val="none"/>
                <w:lang w:val="en-US" w:eastAsia="zh-CN" w:bidi="ar-SA"/>
              </w:rPr>
              <w:t>经分类收集后大多可进行回收利用，不能回收利用的部分则日产日清，运至建筑垃圾填埋场进行处置，不随意堆放，不会对周边环境产生影响。施工期员工生活垃圾经分类收集后，定期交由当地环卫部门处理处置，不乱抛弃，对周边环境的影响较小。</w:t>
            </w:r>
          </w:p>
          <w:p w14:paraId="734DF6AF">
            <w:pPr>
              <w:pStyle w:val="11"/>
              <w:keepNext w:val="0"/>
              <w:keepLines w:val="0"/>
              <w:pageBreakBefore w:val="0"/>
              <w:widowControl/>
              <w:numPr>
                <w:ilvl w:val="0"/>
                <w:numId w:val="3"/>
              </w:numPr>
              <w:kinsoku/>
              <w:wordWrap/>
              <w:overflowPunct/>
              <w:topLinePunct w:val="0"/>
              <w:autoSpaceDE/>
              <w:autoSpaceDN/>
              <w:bidi w:val="0"/>
              <w:adjustRightInd/>
              <w:snapToGrid w:val="0"/>
              <w:spacing w:before="0" w:beforeAutospacing="0" w:after="0" w:afterAutospacing="0" w:line="360" w:lineRule="auto"/>
              <w:ind w:left="0" w:leftChars="0" w:right="0" w:firstLine="506" w:firstLineChars="200"/>
              <w:textAlignment w:val="auto"/>
              <w:rPr>
                <w:rFonts w:hint="default" w:ascii="Times New Roman" w:hAnsi="Times New Roman" w:cs="Times New Roman"/>
                <w:b/>
                <w:bCs w:val="0"/>
                <w:color w:val="000000"/>
                <w:spacing w:val="6"/>
                <w:kern w:val="2"/>
                <w:sz w:val="24"/>
                <w:szCs w:val="24"/>
                <w:u w:val="none"/>
                <w:lang w:val="en-US" w:eastAsia="zh-CN" w:bidi="ar-SA"/>
              </w:rPr>
            </w:pPr>
            <w:r>
              <w:rPr>
                <w:rFonts w:hint="default" w:ascii="Times New Roman" w:hAnsi="Times New Roman" w:cs="Times New Roman"/>
                <w:b/>
                <w:bCs w:val="0"/>
                <w:color w:val="000000"/>
                <w:spacing w:val="6"/>
                <w:kern w:val="2"/>
                <w:sz w:val="24"/>
                <w:szCs w:val="24"/>
                <w:u w:val="none"/>
                <w:lang w:val="en-US" w:eastAsia="zh-CN" w:bidi="ar-SA"/>
              </w:rPr>
              <w:t>水土流失</w:t>
            </w:r>
          </w:p>
          <w:p w14:paraId="53E442B3">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施工过程中的土方开挖、填筑路基、场地平整等活动会导致部分土地裸露，破坏原有植被，对施工区域的生态环境造成短暂破坏。机械碾压和堆填作业会改变土壤的物理结构，裸露的土壤在雨水冲刷或风力作用下易造成水土流失。</w:t>
            </w:r>
          </w:p>
          <w:p w14:paraId="4DAB8589">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504" w:firstLineChars="200"/>
              <w:textAlignment w:val="auto"/>
              <w:rPr>
                <w:rFonts w:hint="default" w:ascii="Times New Roman" w:hAnsi="Times New Roman" w:cs="Times New Roman"/>
                <w:bCs/>
                <w:color w:val="000000"/>
                <w:spacing w:val="6"/>
                <w:kern w:val="2"/>
                <w:sz w:val="24"/>
                <w:szCs w:val="24"/>
                <w:u w:val="none"/>
                <w:lang w:val="en-US" w:eastAsia="zh-CN" w:bidi="ar-SA"/>
              </w:rPr>
            </w:pPr>
            <w:r>
              <w:rPr>
                <w:rFonts w:hint="default" w:ascii="Times New Roman" w:hAnsi="Times New Roman" w:cs="Times New Roman"/>
                <w:bCs/>
                <w:color w:val="000000"/>
                <w:spacing w:val="6"/>
                <w:kern w:val="2"/>
                <w:sz w:val="24"/>
                <w:szCs w:val="24"/>
                <w:u w:val="none"/>
                <w:lang w:val="en-US" w:eastAsia="zh-CN" w:bidi="ar-SA"/>
              </w:rPr>
              <w:t>治理措施：施工作业的影响范围和影响程度是有限的，为减少施工活动对施工区域生态环境的负面影响，应合理安排土建施工时间，尽量避免多雨天气施工，减少水土流失。及时清运弃土，夯实回填，施工采用硬化路面。做好预防措施后，施工造成的场地水土流失量不会太大，对环境不会造成大的影响。</w:t>
            </w:r>
          </w:p>
          <w:p w14:paraId="7150C36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504"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bCs/>
                <w:color w:val="000000"/>
                <w:spacing w:val="6"/>
                <w:kern w:val="2"/>
                <w:sz w:val="24"/>
                <w:szCs w:val="24"/>
                <w:u w:val="none"/>
                <w:lang w:val="en-US" w:eastAsia="zh-CN" w:bidi="ar-SA"/>
              </w:rPr>
              <w:t>综上所述，项目施工期产生的废气、废水、噪声、固废等污染物经采取相应的处置措施后，对周边环境及敏感点的影响较小；且待施工期结束后，上述环境污染因素也会随之消失，不再对项目建设点产生影响。</w:t>
            </w:r>
          </w:p>
        </w:tc>
      </w:tr>
      <w:tr w14:paraId="0C6069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0" w:hRule="atLeast"/>
          <w:jc w:val="center"/>
        </w:trPr>
        <w:tc>
          <w:tcPr>
            <w:tcW w:w="277" w:type="dxa"/>
            <w:tcBorders>
              <w:left w:val="single" w:color="auto" w:sz="4" w:space="0"/>
            </w:tcBorders>
            <w:noWrap w:val="0"/>
            <w:tcMar>
              <w:left w:w="28" w:type="dxa"/>
              <w:right w:w="28" w:type="dxa"/>
            </w:tcMar>
            <w:vAlign w:val="center"/>
          </w:tcPr>
          <w:p w14:paraId="5D9B054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运营期环境影响和保护措施</w:t>
            </w:r>
          </w:p>
        </w:tc>
        <w:tc>
          <w:tcPr>
            <w:tcW w:w="8165" w:type="dxa"/>
            <w:tcBorders>
              <w:right w:val="single" w:color="auto" w:sz="4" w:space="0"/>
            </w:tcBorders>
            <w:noWrap w:val="0"/>
            <w:vAlign w:val="center"/>
          </w:tcPr>
          <w:p w14:paraId="36725CD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textAlignment w:val="auto"/>
              <w:rPr>
                <w:rFonts w:hint="default" w:ascii="Times New Roman" w:hAnsi="Times New Roman" w:eastAsia="宋体" w:cs="Times New Roman"/>
                <w:b/>
                <w:bCs w:val="0"/>
                <w:color w:val="auto"/>
                <w:sz w:val="24"/>
                <w:szCs w:val="24"/>
                <w:lang w:val="en-US" w:eastAsia="zh-CN"/>
              </w:rPr>
            </w:pPr>
            <w:r>
              <w:rPr>
                <w:rFonts w:hint="default" w:ascii="Times New Roman" w:hAnsi="Times New Roman" w:cs="Times New Roman"/>
                <w:b/>
                <w:bCs w:val="0"/>
                <w:color w:val="auto"/>
                <w:sz w:val="24"/>
                <w:szCs w:val="24"/>
                <w:lang w:val="en-US" w:eastAsia="zh-CN"/>
              </w:rPr>
              <w:t>二、</w:t>
            </w:r>
            <w:r>
              <w:rPr>
                <w:rFonts w:hint="default" w:ascii="Times New Roman" w:hAnsi="Times New Roman" w:eastAsia="宋体" w:cs="Times New Roman"/>
                <w:b/>
                <w:bCs w:val="0"/>
                <w:color w:val="auto"/>
                <w:sz w:val="24"/>
                <w:szCs w:val="24"/>
                <w:lang w:val="en-US" w:eastAsia="zh-CN"/>
              </w:rPr>
              <w:t>运营期主要环境影响和保护措施</w:t>
            </w:r>
          </w:p>
          <w:p w14:paraId="21C9EC4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val="0"/>
                <w:sz w:val="24"/>
                <w:szCs w:val="24"/>
                <w:lang w:val="en-US" w:eastAsia="zh-CN"/>
              </w:rPr>
            </w:pPr>
            <w:r>
              <w:rPr>
                <w:rFonts w:hint="default" w:ascii="Times New Roman" w:hAnsi="Times New Roman" w:cs="Times New Roman"/>
                <w:b/>
                <w:bCs w:val="0"/>
                <w:color w:val="auto"/>
                <w:sz w:val="24"/>
                <w:szCs w:val="24"/>
                <w:lang w:val="en-US" w:eastAsia="zh-CN"/>
              </w:rPr>
              <w:t>1</w:t>
            </w:r>
            <w:r>
              <w:rPr>
                <w:rFonts w:hint="default" w:ascii="Times New Roman" w:hAnsi="Times New Roman" w:eastAsia="宋体" w:cs="Times New Roman"/>
                <w:b/>
                <w:bCs w:val="0"/>
                <w:color w:val="auto"/>
                <w:sz w:val="24"/>
                <w:szCs w:val="24"/>
                <w:lang w:val="en-US" w:eastAsia="zh-CN"/>
              </w:rPr>
              <w:t>、</w:t>
            </w:r>
            <w:r>
              <w:rPr>
                <w:rFonts w:hint="default" w:ascii="Times New Roman" w:hAnsi="Times New Roman" w:cs="Times New Roman"/>
                <w:b/>
                <w:bCs w:val="0"/>
                <w:color w:val="auto"/>
                <w:sz w:val="24"/>
                <w:szCs w:val="24"/>
                <w:lang w:eastAsia="zh-CN"/>
              </w:rPr>
              <w:t>废气</w:t>
            </w:r>
          </w:p>
          <w:p w14:paraId="4533F4DC">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项目运营期</w:t>
            </w:r>
            <w:r>
              <w:rPr>
                <w:rFonts w:hint="default" w:ascii="Times New Roman" w:hAnsi="Times New Roman" w:cs="Times New Roman"/>
                <w:color w:val="000000"/>
                <w:kern w:val="0"/>
                <w:sz w:val="24"/>
                <w:szCs w:val="24"/>
                <w:lang w:val="en-US" w:eastAsia="zh-CN" w:bidi="ar"/>
              </w:rPr>
              <w:t>屠宰期间使用的热水均由电热锅炉供应，无锅炉废气产生。运营期废气主要是存栏舍、屠宰车间、猪粪便、污水处理设施和胃肠内容物发酵产生的废气。本项目废气产污单元、污染和控制项目、排放形式见下表4-2：</w:t>
            </w:r>
          </w:p>
          <w:p w14:paraId="4EDA28CA">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cs="Times New Roman"/>
                <w:b/>
                <w:bCs/>
                <w:color w:val="000000"/>
                <w:kern w:val="0"/>
                <w:sz w:val="21"/>
                <w:szCs w:val="21"/>
                <w:lang w:val="en-US" w:eastAsia="zh-CN" w:bidi="ar"/>
              </w:rPr>
            </w:pPr>
            <w:r>
              <w:rPr>
                <w:rFonts w:hint="default" w:ascii="Times New Roman" w:hAnsi="Times New Roman" w:cs="Times New Roman"/>
                <w:b/>
                <w:bCs/>
                <w:color w:val="000000"/>
                <w:kern w:val="0"/>
                <w:sz w:val="21"/>
                <w:szCs w:val="21"/>
                <w:lang w:val="en-US" w:eastAsia="zh-CN" w:bidi="ar"/>
              </w:rPr>
              <w:t>表4-2 项目废气排放及治理设备情况表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1304"/>
              <w:gridCol w:w="1786"/>
              <w:gridCol w:w="952"/>
              <w:gridCol w:w="2748"/>
            </w:tblGrid>
            <w:tr w14:paraId="5C22F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3" w:type="pct"/>
                  <w:vAlign w:val="center"/>
                </w:tcPr>
                <w:p w14:paraId="4D08F6C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生产单元</w:t>
                  </w:r>
                </w:p>
              </w:tc>
              <w:tc>
                <w:tcPr>
                  <w:tcW w:w="823" w:type="pct"/>
                  <w:vAlign w:val="center"/>
                </w:tcPr>
                <w:p w14:paraId="3BB49AE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生产设施</w:t>
                  </w:r>
                </w:p>
              </w:tc>
              <w:tc>
                <w:tcPr>
                  <w:tcW w:w="1127" w:type="pct"/>
                  <w:vAlign w:val="center"/>
                </w:tcPr>
                <w:p w14:paraId="42F490E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污染控制项目</w:t>
                  </w:r>
                </w:p>
              </w:tc>
              <w:tc>
                <w:tcPr>
                  <w:tcW w:w="601" w:type="pct"/>
                  <w:vAlign w:val="center"/>
                </w:tcPr>
                <w:p w14:paraId="234AD055">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排放形式</w:t>
                  </w:r>
                </w:p>
              </w:tc>
              <w:tc>
                <w:tcPr>
                  <w:tcW w:w="1734" w:type="pct"/>
                  <w:vAlign w:val="center"/>
                </w:tcPr>
                <w:p w14:paraId="0A773532">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污染治理设施</w:t>
                  </w:r>
                </w:p>
              </w:tc>
            </w:tr>
            <w:tr w14:paraId="648D0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3" w:type="pct"/>
                  <w:vMerge w:val="restart"/>
                  <w:vAlign w:val="center"/>
                </w:tcPr>
                <w:p w14:paraId="33F7A4E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屠宰生产线</w:t>
                  </w:r>
                </w:p>
              </w:tc>
              <w:tc>
                <w:tcPr>
                  <w:tcW w:w="823" w:type="pct"/>
                  <w:vAlign w:val="center"/>
                </w:tcPr>
                <w:p w14:paraId="5F97606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存栏舍</w:t>
                  </w:r>
                </w:p>
              </w:tc>
              <w:tc>
                <w:tcPr>
                  <w:tcW w:w="1127" w:type="pct"/>
                  <w:vAlign w:val="center"/>
                </w:tcPr>
                <w:p w14:paraId="0C7E6F1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NH</w:t>
                  </w:r>
                  <w:r>
                    <w:rPr>
                      <w:rFonts w:hint="default" w:ascii="Times New Roman" w:hAnsi="Times New Roman" w:cs="Times New Roman"/>
                      <w:color w:val="000000"/>
                      <w:kern w:val="0"/>
                      <w:sz w:val="21"/>
                      <w:szCs w:val="21"/>
                      <w:vertAlign w:val="subscript"/>
                      <w:lang w:val="en-US" w:eastAsia="zh-CN" w:bidi="ar"/>
                    </w:rPr>
                    <w:t>3</w:t>
                  </w:r>
                  <w:r>
                    <w:rPr>
                      <w:rFonts w:hint="default" w:ascii="Times New Roman" w:hAnsi="Times New Roman" w:cs="Times New Roman"/>
                      <w:color w:val="000000"/>
                      <w:kern w:val="0"/>
                      <w:sz w:val="21"/>
                      <w:szCs w:val="21"/>
                      <w:vertAlign w:val="baseline"/>
                      <w:lang w:val="en-US" w:eastAsia="zh-CN" w:bidi="ar"/>
                    </w:rPr>
                    <w:t>、H</w:t>
                  </w:r>
                  <w:r>
                    <w:rPr>
                      <w:rFonts w:hint="default" w:ascii="Times New Roman" w:hAnsi="Times New Roman" w:cs="Times New Roman"/>
                      <w:color w:val="000000"/>
                      <w:kern w:val="0"/>
                      <w:sz w:val="21"/>
                      <w:szCs w:val="21"/>
                      <w:vertAlign w:val="subscript"/>
                      <w:lang w:val="en-US" w:eastAsia="zh-CN" w:bidi="ar"/>
                    </w:rPr>
                    <w:t>2</w:t>
                  </w:r>
                  <w:r>
                    <w:rPr>
                      <w:rFonts w:hint="default" w:ascii="Times New Roman" w:hAnsi="Times New Roman" w:cs="Times New Roman"/>
                      <w:color w:val="000000"/>
                      <w:kern w:val="0"/>
                      <w:sz w:val="21"/>
                      <w:szCs w:val="21"/>
                      <w:vertAlign w:val="baseline"/>
                      <w:lang w:val="en-US" w:eastAsia="zh-CN" w:bidi="ar"/>
                    </w:rPr>
                    <w:t>S、臭气浓度</w:t>
                  </w:r>
                </w:p>
              </w:tc>
              <w:tc>
                <w:tcPr>
                  <w:tcW w:w="601" w:type="pct"/>
                  <w:vAlign w:val="center"/>
                </w:tcPr>
                <w:p w14:paraId="4CDB36B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无组织</w:t>
                  </w:r>
                </w:p>
              </w:tc>
              <w:tc>
                <w:tcPr>
                  <w:tcW w:w="1734" w:type="pct"/>
                  <w:vAlign w:val="center"/>
                </w:tcPr>
                <w:p w14:paraId="7E51B189">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干清粪；清洗；喷洒生物除臭剂</w:t>
                  </w:r>
                </w:p>
              </w:tc>
            </w:tr>
            <w:tr w14:paraId="4650A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3" w:type="pct"/>
                  <w:vMerge w:val="continue"/>
                  <w:vAlign w:val="center"/>
                </w:tcPr>
                <w:p w14:paraId="76372786">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p>
              </w:tc>
              <w:tc>
                <w:tcPr>
                  <w:tcW w:w="823" w:type="pct"/>
                  <w:vAlign w:val="center"/>
                </w:tcPr>
                <w:p w14:paraId="7CF9756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屠宰车间</w:t>
                  </w:r>
                </w:p>
              </w:tc>
              <w:tc>
                <w:tcPr>
                  <w:tcW w:w="1127" w:type="pct"/>
                  <w:vAlign w:val="center"/>
                </w:tcPr>
                <w:p w14:paraId="4ED0CE4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NH</w:t>
                  </w:r>
                  <w:r>
                    <w:rPr>
                      <w:rFonts w:hint="default" w:ascii="Times New Roman" w:hAnsi="Times New Roman" w:cs="Times New Roman"/>
                      <w:color w:val="000000"/>
                      <w:kern w:val="0"/>
                      <w:sz w:val="21"/>
                      <w:szCs w:val="21"/>
                      <w:vertAlign w:val="subscript"/>
                      <w:lang w:val="en-US" w:eastAsia="zh-CN" w:bidi="ar"/>
                    </w:rPr>
                    <w:t>3</w:t>
                  </w:r>
                  <w:r>
                    <w:rPr>
                      <w:rFonts w:hint="default" w:ascii="Times New Roman" w:hAnsi="Times New Roman" w:cs="Times New Roman"/>
                      <w:color w:val="000000"/>
                      <w:kern w:val="0"/>
                      <w:sz w:val="21"/>
                      <w:szCs w:val="21"/>
                      <w:vertAlign w:val="baseline"/>
                      <w:lang w:val="en-US" w:eastAsia="zh-CN" w:bidi="ar"/>
                    </w:rPr>
                    <w:t>、H</w:t>
                  </w:r>
                  <w:r>
                    <w:rPr>
                      <w:rFonts w:hint="default" w:ascii="Times New Roman" w:hAnsi="Times New Roman" w:cs="Times New Roman"/>
                      <w:color w:val="000000"/>
                      <w:kern w:val="0"/>
                      <w:sz w:val="21"/>
                      <w:szCs w:val="21"/>
                      <w:vertAlign w:val="subscript"/>
                      <w:lang w:val="en-US" w:eastAsia="zh-CN" w:bidi="ar"/>
                    </w:rPr>
                    <w:t>2</w:t>
                  </w:r>
                  <w:r>
                    <w:rPr>
                      <w:rFonts w:hint="default" w:ascii="Times New Roman" w:hAnsi="Times New Roman" w:cs="Times New Roman"/>
                      <w:color w:val="000000"/>
                      <w:kern w:val="0"/>
                      <w:sz w:val="21"/>
                      <w:szCs w:val="21"/>
                      <w:vertAlign w:val="baseline"/>
                      <w:lang w:val="en-US" w:eastAsia="zh-CN" w:bidi="ar"/>
                    </w:rPr>
                    <w:t>S、臭气浓度</w:t>
                  </w:r>
                </w:p>
              </w:tc>
              <w:tc>
                <w:tcPr>
                  <w:tcW w:w="601" w:type="pct"/>
                  <w:vAlign w:val="center"/>
                </w:tcPr>
                <w:p w14:paraId="09E1118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无组织</w:t>
                  </w:r>
                </w:p>
              </w:tc>
              <w:tc>
                <w:tcPr>
                  <w:tcW w:w="1734" w:type="pct"/>
                  <w:vAlign w:val="center"/>
                </w:tcPr>
                <w:p w14:paraId="3A23BC4D">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清洗；通风系统</w:t>
                  </w:r>
                </w:p>
              </w:tc>
            </w:tr>
            <w:tr w14:paraId="0D14B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13" w:type="pct"/>
                  <w:vAlign w:val="center"/>
                </w:tcPr>
                <w:p w14:paraId="2AB8AC9E">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公共单元</w:t>
                  </w:r>
                </w:p>
              </w:tc>
              <w:tc>
                <w:tcPr>
                  <w:tcW w:w="823" w:type="pct"/>
                  <w:vAlign w:val="center"/>
                </w:tcPr>
                <w:p w14:paraId="310789BB">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污水处理设施</w:t>
                  </w:r>
                </w:p>
              </w:tc>
              <w:tc>
                <w:tcPr>
                  <w:tcW w:w="1127" w:type="pct"/>
                  <w:vAlign w:val="center"/>
                </w:tcPr>
                <w:p w14:paraId="365C2D4A">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NH</w:t>
                  </w:r>
                  <w:r>
                    <w:rPr>
                      <w:rFonts w:hint="default" w:ascii="Times New Roman" w:hAnsi="Times New Roman" w:cs="Times New Roman"/>
                      <w:color w:val="000000"/>
                      <w:kern w:val="0"/>
                      <w:sz w:val="21"/>
                      <w:szCs w:val="21"/>
                      <w:vertAlign w:val="subscript"/>
                      <w:lang w:val="en-US" w:eastAsia="zh-CN" w:bidi="ar"/>
                    </w:rPr>
                    <w:t>3</w:t>
                  </w:r>
                  <w:r>
                    <w:rPr>
                      <w:rFonts w:hint="default" w:ascii="Times New Roman" w:hAnsi="Times New Roman" w:cs="Times New Roman"/>
                      <w:color w:val="000000"/>
                      <w:kern w:val="0"/>
                      <w:sz w:val="21"/>
                      <w:szCs w:val="21"/>
                      <w:vertAlign w:val="baseline"/>
                      <w:lang w:val="en-US" w:eastAsia="zh-CN" w:bidi="ar"/>
                    </w:rPr>
                    <w:t>、H</w:t>
                  </w:r>
                  <w:r>
                    <w:rPr>
                      <w:rFonts w:hint="default" w:ascii="Times New Roman" w:hAnsi="Times New Roman" w:cs="Times New Roman"/>
                      <w:color w:val="000000"/>
                      <w:kern w:val="0"/>
                      <w:sz w:val="21"/>
                      <w:szCs w:val="21"/>
                      <w:vertAlign w:val="subscript"/>
                      <w:lang w:val="en-US" w:eastAsia="zh-CN" w:bidi="ar"/>
                    </w:rPr>
                    <w:t>2</w:t>
                  </w:r>
                  <w:r>
                    <w:rPr>
                      <w:rFonts w:hint="default" w:ascii="Times New Roman" w:hAnsi="Times New Roman" w:cs="Times New Roman"/>
                      <w:color w:val="000000"/>
                      <w:kern w:val="0"/>
                      <w:sz w:val="21"/>
                      <w:szCs w:val="21"/>
                      <w:vertAlign w:val="baseline"/>
                      <w:lang w:val="en-US" w:eastAsia="zh-CN" w:bidi="ar"/>
                    </w:rPr>
                    <w:t>S、臭气浓度</w:t>
                  </w:r>
                </w:p>
              </w:tc>
              <w:tc>
                <w:tcPr>
                  <w:tcW w:w="601" w:type="pct"/>
                  <w:vAlign w:val="center"/>
                </w:tcPr>
                <w:p w14:paraId="430E5920">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无组织</w:t>
                  </w:r>
                </w:p>
              </w:tc>
              <w:tc>
                <w:tcPr>
                  <w:tcW w:w="1734" w:type="pct"/>
                  <w:vAlign w:val="center"/>
                </w:tcPr>
                <w:p w14:paraId="255490F7">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21"/>
                      <w:szCs w:val="21"/>
                      <w:vertAlign w:val="baseline"/>
                      <w:lang w:val="en-US" w:eastAsia="zh-CN" w:bidi="ar"/>
                    </w:rPr>
                  </w:pPr>
                  <w:r>
                    <w:rPr>
                      <w:rFonts w:hint="default" w:ascii="Times New Roman" w:hAnsi="Times New Roman" w:cs="Times New Roman"/>
                      <w:color w:val="000000"/>
                      <w:kern w:val="0"/>
                      <w:sz w:val="21"/>
                      <w:szCs w:val="21"/>
                      <w:vertAlign w:val="baseline"/>
                      <w:lang w:val="en-US" w:eastAsia="zh-CN" w:bidi="ar"/>
                    </w:rPr>
                    <w:t>加盖；喷洒除臭剂</w:t>
                  </w:r>
                </w:p>
              </w:tc>
            </w:tr>
          </w:tbl>
          <w:p w14:paraId="567A5EB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right="0" w:firstLine="480" w:firstLineChars="200"/>
              <w:jc w:val="left"/>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（1）</w:t>
            </w:r>
            <w:r>
              <w:rPr>
                <w:rFonts w:hint="default" w:ascii="Times New Roman" w:hAnsi="Times New Roman" w:cs="Times New Roman"/>
                <w:color w:val="000000"/>
                <w:kern w:val="0"/>
                <w:sz w:val="24"/>
                <w:szCs w:val="24"/>
                <w:lang w:val="en-US" w:eastAsia="zh-CN" w:bidi="ar"/>
              </w:rPr>
              <w:t>存栏舍、屠宰车间产生恶臭</w:t>
            </w:r>
          </w:p>
          <w:p w14:paraId="2EC805D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存栏舍的恶臭主要来源于猪的粪便。粪便中含有大量有机物质，排出体外后会迅速发酵，便会产生NH</w:t>
            </w:r>
            <w:r>
              <w:rPr>
                <w:rFonts w:hint="default" w:ascii="Times New Roman" w:hAnsi="Times New Roman" w:cs="Times New Roman"/>
                <w:color w:val="000000"/>
                <w:kern w:val="0"/>
                <w:sz w:val="24"/>
                <w:szCs w:val="24"/>
                <w:vertAlign w:val="subscript"/>
                <w:lang w:val="en-US" w:eastAsia="zh-CN" w:bidi="ar"/>
              </w:rPr>
              <w:t>3</w:t>
            </w:r>
            <w:r>
              <w:rPr>
                <w:rFonts w:hint="default" w:ascii="Times New Roman" w:hAnsi="Times New Roman" w:cs="Times New Roman"/>
                <w:color w:val="000000"/>
                <w:kern w:val="0"/>
                <w:sz w:val="24"/>
                <w:szCs w:val="24"/>
                <w:vertAlign w:val="baseline"/>
                <w:lang w:val="en-US" w:eastAsia="zh-CN" w:bidi="ar"/>
              </w:rPr>
              <w:t>、</w:t>
            </w:r>
            <w:r>
              <w:rPr>
                <w:rFonts w:hint="default" w:ascii="Times New Roman" w:hAnsi="Times New Roman" w:cs="Times New Roman"/>
                <w:color w:val="000000"/>
                <w:kern w:val="0"/>
                <w:sz w:val="24"/>
                <w:szCs w:val="24"/>
                <w:lang w:val="en-US" w:eastAsia="zh-CN" w:bidi="ar"/>
              </w:rPr>
              <w:t>H</w:t>
            </w:r>
            <w:r>
              <w:rPr>
                <w:rFonts w:hint="default" w:ascii="Times New Roman" w:hAnsi="Times New Roman" w:cs="Times New Roman"/>
                <w:color w:val="000000"/>
                <w:kern w:val="0"/>
                <w:sz w:val="24"/>
                <w:szCs w:val="24"/>
                <w:vertAlign w:val="subscript"/>
                <w:lang w:val="en-US" w:eastAsia="zh-CN" w:bidi="ar"/>
              </w:rPr>
              <w:t>2</w:t>
            </w:r>
            <w:r>
              <w:rPr>
                <w:rFonts w:hint="default" w:ascii="Times New Roman" w:hAnsi="Times New Roman" w:cs="Times New Roman"/>
                <w:color w:val="000000"/>
                <w:kern w:val="0"/>
                <w:sz w:val="24"/>
                <w:szCs w:val="24"/>
                <w:lang w:val="en-US" w:eastAsia="zh-CN" w:bidi="ar"/>
              </w:rPr>
              <w:t>S等恶臭有害气体，若未及时清除或清除后不能及时处理，将会使臭味成倍增加，进一步产生甲基硫醇、二甲基二硫醚、甲硫醚、二甲胺等恶臭气体，并会滋生大量蚊蝇害虫，影响环境卫生甚至产品的质量。根据同类屠宰项目的生产情况，取存栏舍内NH</w:t>
            </w:r>
            <w:r>
              <w:rPr>
                <w:rFonts w:hint="default" w:ascii="Times New Roman" w:hAnsi="Times New Roman" w:cs="Times New Roman"/>
                <w:color w:val="000000"/>
                <w:kern w:val="0"/>
                <w:sz w:val="24"/>
                <w:szCs w:val="24"/>
                <w:vertAlign w:val="subscript"/>
                <w:lang w:val="en-US" w:eastAsia="zh-CN" w:bidi="ar"/>
              </w:rPr>
              <w:t>3</w:t>
            </w:r>
            <w:r>
              <w:rPr>
                <w:rFonts w:hint="default" w:ascii="Times New Roman" w:hAnsi="Times New Roman" w:cs="Times New Roman"/>
                <w:color w:val="000000"/>
                <w:kern w:val="0"/>
                <w:sz w:val="24"/>
                <w:szCs w:val="24"/>
                <w:lang w:val="en-US" w:eastAsia="zh-CN" w:bidi="ar"/>
              </w:rPr>
              <w:t>排放强度为0.2g/（头</w:t>
            </w:r>
            <w:r>
              <w:rPr>
                <w:rFonts w:hint="eastAsia" w:ascii="宋体" w:hAnsi="宋体" w:eastAsia="宋体" w:cs="宋体"/>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d），H</w:t>
            </w:r>
            <w:r>
              <w:rPr>
                <w:rFonts w:hint="default" w:ascii="Times New Roman" w:hAnsi="Times New Roman" w:cs="Times New Roman"/>
                <w:color w:val="000000"/>
                <w:kern w:val="0"/>
                <w:sz w:val="24"/>
                <w:szCs w:val="24"/>
                <w:vertAlign w:val="subscript"/>
                <w:lang w:val="en-US" w:eastAsia="zh-CN" w:bidi="ar"/>
              </w:rPr>
              <w:t>2</w:t>
            </w:r>
            <w:r>
              <w:rPr>
                <w:rFonts w:hint="default" w:ascii="Times New Roman" w:hAnsi="Times New Roman" w:cs="Times New Roman"/>
                <w:color w:val="000000"/>
                <w:kern w:val="0"/>
                <w:sz w:val="24"/>
                <w:szCs w:val="24"/>
                <w:lang w:val="en-US" w:eastAsia="zh-CN" w:bidi="ar"/>
              </w:rPr>
              <w:t>S排放强度为0.017g/（头</w:t>
            </w:r>
            <w:r>
              <w:rPr>
                <w:rFonts w:hint="eastAsia" w:ascii="宋体" w:hAnsi="宋体" w:eastAsia="宋体" w:cs="宋体"/>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d</w:t>
            </w:r>
            <w:r>
              <w:rPr>
                <w:rFonts w:hint="eastAsia" w:cs="Times New Roman"/>
                <w:color w:val="000000"/>
                <w:kern w:val="0"/>
                <w:sz w:val="24"/>
                <w:szCs w:val="24"/>
                <w:lang w:val="en-US" w:eastAsia="zh-CN" w:bidi="ar"/>
              </w:rPr>
              <w:t>）</w:t>
            </w:r>
            <w:r>
              <w:rPr>
                <w:rFonts w:hint="default" w:ascii="Times New Roman" w:hAnsi="Times New Roman" w:cs="Times New Roman"/>
                <w:color w:val="000000"/>
                <w:kern w:val="0"/>
                <w:sz w:val="24"/>
                <w:szCs w:val="24"/>
                <w:lang w:val="en-US" w:eastAsia="zh-CN" w:bidi="ar"/>
              </w:rPr>
              <w:t>。待宰圈采用干清粪工艺清理待宰圈粪便，并暂封于密封塑料桶内，与肠胃内容物一起当天清运售卖到有机肥厂作为原料，生猪屠宰后对存栏进行冲洗并进行定期喷洒生物除臭剂。生物除臭剂能有效去除NH</w:t>
            </w:r>
            <w:r>
              <w:rPr>
                <w:rFonts w:hint="default" w:ascii="Times New Roman" w:hAnsi="Times New Roman" w:cs="Times New Roman"/>
                <w:color w:val="000000"/>
                <w:kern w:val="0"/>
                <w:sz w:val="24"/>
                <w:szCs w:val="24"/>
                <w:vertAlign w:val="subscript"/>
                <w:lang w:val="en-US" w:eastAsia="zh-CN" w:bidi="ar"/>
              </w:rPr>
              <w:t>3</w:t>
            </w:r>
            <w:r>
              <w:rPr>
                <w:rFonts w:hint="default" w:ascii="Times New Roman" w:hAnsi="Times New Roman" w:cs="Times New Roman"/>
                <w:color w:val="000000"/>
                <w:kern w:val="0"/>
                <w:sz w:val="24"/>
                <w:szCs w:val="24"/>
                <w:lang w:val="en-US" w:eastAsia="zh-CN" w:bidi="ar"/>
              </w:rPr>
              <w:t>、H</w:t>
            </w:r>
            <w:r>
              <w:rPr>
                <w:rFonts w:hint="default" w:ascii="Times New Roman" w:hAnsi="Times New Roman" w:cs="Times New Roman"/>
                <w:color w:val="000000"/>
                <w:kern w:val="0"/>
                <w:sz w:val="24"/>
                <w:szCs w:val="24"/>
                <w:vertAlign w:val="subscript"/>
                <w:lang w:val="en-US" w:eastAsia="zh-CN" w:bidi="ar"/>
              </w:rPr>
              <w:t>2</w:t>
            </w:r>
            <w:r>
              <w:rPr>
                <w:rFonts w:hint="default" w:ascii="Times New Roman" w:hAnsi="Times New Roman" w:cs="Times New Roman"/>
                <w:color w:val="000000"/>
                <w:kern w:val="0"/>
                <w:sz w:val="24"/>
                <w:szCs w:val="24"/>
                <w:lang w:val="en-US" w:eastAsia="zh-CN" w:bidi="ar"/>
              </w:rPr>
              <w:t>S等恶臭气体，若除臭率达70%以上，对环境不产生任何影响，对人体和动植物无任何副作用。</w:t>
            </w:r>
            <w:r>
              <w:rPr>
                <w:rFonts w:hint="default" w:ascii="Times New Roman" w:hAnsi="Times New Roman" w:cs="Times New Roman"/>
                <w:color w:val="000000"/>
                <w:sz w:val="24"/>
                <w:u w:val="none"/>
              </w:rPr>
              <w:t>根据《微生</w:t>
            </w:r>
            <w:r>
              <w:rPr>
                <w:rFonts w:hint="eastAsia" w:cs="Times New Roman"/>
                <w:color w:val="000000"/>
                <w:sz w:val="24"/>
                <w:u w:val="none"/>
                <w:lang w:val="en-US" w:eastAsia="zh-CN"/>
              </w:rPr>
              <w:t>物</w:t>
            </w:r>
            <w:r>
              <w:rPr>
                <w:rFonts w:hint="default" w:ascii="Times New Roman" w:hAnsi="Times New Roman" w:cs="Times New Roman"/>
                <w:color w:val="000000"/>
                <w:sz w:val="24"/>
                <w:u w:val="none"/>
              </w:rPr>
              <w:t>的除臭剂筛选在猪舍应用试验》一文，通过在猪舍喷洒生物除臭剂，对于氨气和硫化氢、臭气浓度的去除率分别为41%、76%及46.7%，本项目为保险起见，氨气的去除率取40%，硫化氢的去除率取70%</w:t>
            </w:r>
            <w:r>
              <w:rPr>
                <w:rFonts w:hint="default" w:ascii="Times New Roman" w:hAnsi="Times New Roman" w:cs="Times New Roman"/>
                <w:color w:val="000000"/>
                <w:sz w:val="24"/>
                <w:u w:val="none"/>
                <w:lang w:eastAsia="zh-CN"/>
              </w:rPr>
              <w:t>。</w:t>
            </w:r>
            <w:r>
              <w:rPr>
                <w:rFonts w:hint="default" w:ascii="Times New Roman" w:hAnsi="Times New Roman" w:cs="Times New Roman"/>
                <w:color w:val="000000"/>
                <w:kern w:val="0"/>
                <w:sz w:val="24"/>
                <w:szCs w:val="24"/>
                <w:lang w:val="en-US" w:eastAsia="zh-CN" w:bidi="ar"/>
              </w:rPr>
              <w:t>生猪在存栏舍停留时间以24h计，项目全年运行365天。存栏舍NH</w:t>
            </w:r>
            <w:r>
              <w:rPr>
                <w:rFonts w:hint="default" w:ascii="Times New Roman" w:hAnsi="Times New Roman" w:cs="Times New Roman"/>
                <w:color w:val="000000"/>
                <w:kern w:val="0"/>
                <w:sz w:val="24"/>
                <w:szCs w:val="24"/>
                <w:vertAlign w:val="subscript"/>
                <w:lang w:val="en-US" w:eastAsia="zh-CN" w:bidi="ar"/>
              </w:rPr>
              <w:t>3</w:t>
            </w:r>
            <w:r>
              <w:rPr>
                <w:rFonts w:hint="default" w:ascii="Times New Roman" w:hAnsi="Times New Roman" w:cs="Times New Roman"/>
                <w:color w:val="000000"/>
                <w:kern w:val="0"/>
                <w:sz w:val="24"/>
                <w:szCs w:val="24"/>
                <w:lang w:val="en-US" w:eastAsia="zh-CN" w:bidi="ar"/>
              </w:rPr>
              <w:t>和H</w:t>
            </w:r>
            <w:r>
              <w:rPr>
                <w:rFonts w:hint="default" w:ascii="Times New Roman" w:hAnsi="Times New Roman" w:cs="Times New Roman"/>
                <w:color w:val="000000"/>
                <w:kern w:val="0"/>
                <w:sz w:val="24"/>
                <w:szCs w:val="24"/>
                <w:vertAlign w:val="subscript"/>
                <w:lang w:val="en-US" w:eastAsia="zh-CN" w:bidi="ar"/>
              </w:rPr>
              <w:t>2</w:t>
            </w:r>
            <w:r>
              <w:rPr>
                <w:rFonts w:hint="default" w:ascii="Times New Roman" w:hAnsi="Times New Roman" w:cs="Times New Roman"/>
                <w:color w:val="000000"/>
                <w:kern w:val="0"/>
                <w:sz w:val="24"/>
                <w:szCs w:val="24"/>
                <w:lang w:val="en-US" w:eastAsia="zh-CN" w:bidi="ar"/>
              </w:rPr>
              <w:t>S产生排放情况见表4-3：</w:t>
            </w:r>
          </w:p>
          <w:p w14:paraId="0FDF1F0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cs="Times New Roman"/>
                <w:b/>
                <w:bCs/>
                <w:color w:val="000000"/>
                <w:kern w:val="0"/>
                <w:sz w:val="21"/>
                <w:szCs w:val="21"/>
                <w:lang w:val="en-US" w:eastAsia="zh-CN" w:bidi="ar"/>
              </w:rPr>
            </w:pPr>
            <w:r>
              <w:rPr>
                <w:rFonts w:hint="default" w:ascii="Times New Roman" w:hAnsi="Times New Roman" w:cs="Times New Roman"/>
                <w:b/>
                <w:bCs/>
                <w:color w:val="000000"/>
                <w:kern w:val="0"/>
                <w:sz w:val="21"/>
                <w:szCs w:val="21"/>
                <w:lang w:val="en-US" w:eastAsia="zh-CN" w:bidi="ar"/>
              </w:rPr>
              <w:t>表4-3 存栏处恶臭产出情况一览表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857"/>
              <w:gridCol w:w="881"/>
              <w:gridCol w:w="862"/>
              <w:gridCol w:w="1045"/>
              <w:gridCol w:w="1021"/>
              <w:gridCol w:w="566"/>
              <w:gridCol w:w="1029"/>
              <w:gridCol w:w="1024"/>
            </w:tblGrid>
            <w:tr w14:paraId="48EE9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02" w:hRule="atLeast"/>
                <w:jc w:val="center"/>
              </w:trPr>
              <w:tc>
                <w:tcPr>
                  <w:tcW w:w="401" w:type="pct"/>
                  <w:vAlign w:val="center"/>
                </w:tcPr>
                <w:p w14:paraId="32BAB06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日最大屠宰量</w:t>
                  </w:r>
                </w:p>
              </w:tc>
              <w:tc>
                <w:tcPr>
                  <w:tcW w:w="541" w:type="pct"/>
                  <w:vAlign w:val="center"/>
                </w:tcPr>
                <w:p w14:paraId="0B31FE4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年屠宰量（头）</w:t>
                  </w:r>
                </w:p>
              </w:tc>
              <w:tc>
                <w:tcPr>
                  <w:tcW w:w="556" w:type="pct"/>
                  <w:vAlign w:val="center"/>
                </w:tcPr>
                <w:p w14:paraId="04C958E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污染物名称</w:t>
                  </w:r>
                </w:p>
              </w:tc>
              <w:tc>
                <w:tcPr>
                  <w:tcW w:w="544" w:type="pct"/>
                  <w:vAlign w:val="center"/>
                </w:tcPr>
                <w:p w14:paraId="53D7876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产污系数（g/头·d）</w:t>
                  </w:r>
                </w:p>
              </w:tc>
              <w:tc>
                <w:tcPr>
                  <w:tcW w:w="659" w:type="pct"/>
                  <w:vAlign w:val="center"/>
                </w:tcPr>
                <w:p w14:paraId="06BFF14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产生速率（kg/h</w:t>
                  </w:r>
                  <w:r>
                    <w:rPr>
                      <w:rFonts w:hint="eastAsia" w:cs="Times New Roman"/>
                      <w:color w:val="000000"/>
                      <w:kern w:val="0"/>
                      <w:sz w:val="18"/>
                      <w:szCs w:val="18"/>
                      <w:vertAlign w:val="baseline"/>
                      <w:lang w:val="en-US" w:eastAsia="zh-CN" w:bidi="ar"/>
                    </w:rPr>
                    <w:t>）</w:t>
                  </w:r>
                </w:p>
              </w:tc>
              <w:tc>
                <w:tcPr>
                  <w:tcW w:w="644" w:type="pct"/>
                  <w:vAlign w:val="center"/>
                </w:tcPr>
                <w:p w14:paraId="5389F63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产生量（t/a）</w:t>
                  </w:r>
                </w:p>
              </w:tc>
              <w:tc>
                <w:tcPr>
                  <w:tcW w:w="357" w:type="pct"/>
                  <w:vAlign w:val="center"/>
                </w:tcPr>
                <w:p w14:paraId="3011AD7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去除率</w:t>
                  </w:r>
                </w:p>
              </w:tc>
              <w:tc>
                <w:tcPr>
                  <w:tcW w:w="649" w:type="pct"/>
                  <w:vAlign w:val="center"/>
                </w:tcPr>
                <w:p w14:paraId="3E85434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排放速率</w:t>
                  </w:r>
                  <w:r>
                    <w:rPr>
                      <w:rFonts w:hint="eastAsia" w:cs="Times New Roman"/>
                      <w:color w:val="000000"/>
                      <w:kern w:val="0"/>
                      <w:sz w:val="18"/>
                      <w:szCs w:val="18"/>
                      <w:vertAlign w:val="baseline"/>
                      <w:lang w:val="en-US" w:eastAsia="zh-CN" w:bidi="ar"/>
                    </w:rPr>
                    <w:t>（</w:t>
                  </w:r>
                  <w:r>
                    <w:rPr>
                      <w:rFonts w:hint="default" w:ascii="Times New Roman" w:hAnsi="Times New Roman" w:cs="Times New Roman"/>
                      <w:color w:val="000000"/>
                      <w:kern w:val="0"/>
                      <w:sz w:val="18"/>
                      <w:szCs w:val="18"/>
                      <w:vertAlign w:val="baseline"/>
                      <w:lang w:val="en-US" w:eastAsia="zh-CN" w:bidi="ar"/>
                    </w:rPr>
                    <w:t>kg/h</w:t>
                  </w:r>
                  <w:r>
                    <w:rPr>
                      <w:rFonts w:hint="eastAsia" w:cs="Times New Roman"/>
                      <w:color w:val="000000"/>
                      <w:kern w:val="0"/>
                      <w:sz w:val="18"/>
                      <w:szCs w:val="18"/>
                      <w:vertAlign w:val="baseline"/>
                      <w:lang w:val="en-US" w:eastAsia="zh-CN" w:bidi="ar"/>
                    </w:rPr>
                    <w:t>）</w:t>
                  </w:r>
                </w:p>
              </w:tc>
              <w:tc>
                <w:tcPr>
                  <w:tcW w:w="646" w:type="pct"/>
                  <w:vAlign w:val="center"/>
                </w:tcPr>
                <w:p w14:paraId="797948F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排放量（t/a）</w:t>
                  </w:r>
                </w:p>
              </w:tc>
            </w:tr>
            <w:tr w14:paraId="7ED58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vMerge w:val="restart"/>
                  <w:vAlign w:val="center"/>
                </w:tcPr>
                <w:p w14:paraId="49B0499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150</w:t>
                  </w:r>
                </w:p>
              </w:tc>
              <w:tc>
                <w:tcPr>
                  <w:tcW w:w="541" w:type="pct"/>
                  <w:vMerge w:val="restart"/>
                  <w:vAlign w:val="center"/>
                </w:tcPr>
                <w:p w14:paraId="04751F6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5.475万</w:t>
                  </w:r>
                </w:p>
              </w:tc>
              <w:tc>
                <w:tcPr>
                  <w:tcW w:w="556" w:type="pct"/>
                  <w:vAlign w:val="center"/>
                </w:tcPr>
                <w:p w14:paraId="095770C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NH</w:t>
                  </w:r>
                  <w:r>
                    <w:rPr>
                      <w:rFonts w:hint="default" w:ascii="Times New Roman" w:hAnsi="Times New Roman" w:cs="Times New Roman"/>
                      <w:color w:val="000000"/>
                      <w:kern w:val="0"/>
                      <w:sz w:val="18"/>
                      <w:szCs w:val="18"/>
                      <w:vertAlign w:val="subscript"/>
                      <w:lang w:val="en-US" w:eastAsia="zh-CN" w:bidi="ar"/>
                    </w:rPr>
                    <w:t>3</w:t>
                  </w:r>
                </w:p>
              </w:tc>
              <w:tc>
                <w:tcPr>
                  <w:tcW w:w="544" w:type="pct"/>
                  <w:vAlign w:val="center"/>
                </w:tcPr>
                <w:p w14:paraId="1907DE8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0.2</w:t>
                  </w:r>
                </w:p>
              </w:tc>
              <w:tc>
                <w:tcPr>
                  <w:tcW w:w="659" w:type="pct"/>
                  <w:vAlign w:val="center"/>
                </w:tcPr>
                <w:p w14:paraId="2F15557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0.00125</w:t>
                  </w:r>
                </w:p>
              </w:tc>
              <w:tc>
                <w:tcPr>
                  <w:tcW w:w="644" w:type="pct"/>
                  <w:vAlign w:val="center"/>
                </w:tcPr>
                <w:p w14:paraId="719562E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0.01095</w:t>
                  </w:r>
                </w:p>
              </w:tc>
              <w:tc>
                <w:tcPr>
                  <w:tcW w:w="357" w:type="pct"/>
                  <w:vAlign w:val="center"/>
                </w:tcPr>
                <w:p w14:paraId="23AFB08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40%</w:t>
                  </w:r>
                </w:p>
              </w:tc>
              <w:tc>
                <w:tcPr>
                  <w:tcW w:w="649" w:type="pct"/>
                  <w:vAlign w:val="center"/>
                </w:tcPr>
                <w:p w14:paraId="4C4693E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0.00075</w:t>
                  </w:r>
                </w:p>
              </w:tc>
              <w:tc>
                <w:tcPr>
                  <w:tcW w:w="646" w:type="pct"/>
                  <w:vAlign w:val="center"/>
                </w:tcPr>
                <w:p w14:paraId="3C82C4F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0.00657</w:t>
                  </w:r>
                </w:p>
              </w:tc>
            </w:tr>
            <w:tr w14:paraId="7ED3B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1" w:type="pct"/>
                  <w:vMerge w:val="continue"/>
                  <w:vAlign w:val="center"/>
                </w:tcPr>
                <w:p w14:paraId="7FE366C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p>
              </w:tc>
              <w:tc>
                <w:tcPr>
                  <w:tcW w:w="541" w:type="pct"/>
                  <w:vMerge w:val="continue"/>
                  <w:vAlign w:val="center"/>
                </w:tcPr>
                <w:p w14:paraId="00C3837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p>
              </w:tc>
              <w:tc>
                <w:tcPr>
                  <w:tcW w:w="556" w:type="pct"/>
                  <w:vAlign w:val="center"/>
                </w:tcPr>
                <w:p w14:paraId="5EFDC68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H</w:t>
                  </w:r>
                  <w:r>
                    <w:rPr>
                      <w:rFonts w:hint="default" w:ascii="Times New Roman" w:hAnsi="Times New Roman" w:cs="Times New Roman"/>
                      <w:color w:val="000000"/>
                      <w:kern w:val="0"/>
                      <w:sz w:val="18"/>
                      <w:szCs w:val="18"/>
                      <w:vertAlign w:val="subscript"/>
                      <w:lang w:val="en-US" w:eastAsia="zh-CN" w:bidi="ar"/>
                    </w:rPr>
                    <w:t>2</w:t>
                  </w:r>
                  <w:r>
                    <w:rPr>
                      <w:rFonts w:hint="default" w:ascii="Times New Roman" w:hAnsi="Times New Roman" w:cs="Times New Roman"/>
                      <w:color w:val="000000"/>
                      <w:kern w:val="0"/>
                      <w:sz w:val="18"/>
                      <w:szCs w:val="18"/>
                      <w:vertAlign w:val="baseline"/>
                      <w:lang w:val="en-US" w:eastAsia="zh-CN" w:bidi="ar"/>
                    </w:rPr>
                    <w:t>S</w:t>
                  </w:r>
                </w:p>
              </w:tc>
              <w:tc>
                <w:tcPr>
                  <w:tcW w:w="544" w:type="pct"/>
                  <w:vAlign w:val="center"/>
                </w:tcPr>
                <w:p w14:paraId="5F31464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0.017</w:t>
                  </w:r>
                </w:p>
              </w:tc>
              <w:tc>
                <w:tcPr>
                  <w:tcW w:w="659" w:type="pct"/>
                  <w:vAlign w:val="center"/>
                </w:tcPr>
                <w:p w14:paraId="39DCDCA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0.00011</w:t>
                  </w:r>
                </w:p>
              </w:tc>
              <w:tc>
                <w:tcPr>
                  <w:tcW w:w="644" w:type="pct"/>
                  <w:vAlign w:val="center"/>
                </w:tcPr>
                <w:p w14:paraId="0EF4F73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0.00096</w:t>
                  </w:r>
                </w:p>
              </w:tc>
              <w:tc>
                <w:tcPr>
                  <w:tcW w:w="357" w:type="pct"/>
                  <w:vAlign w:val="center"/>
                </w:tcPr>
                <w:p w14:paraId="6570396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70%</w:t>
                  </w:r>
                </w:p>
              </w:tc>
              <w:tc>
                <w:tcPr>
                  <w:tcW w:w="649" w:type="pct"/>
                  <w:vAlign w:val="center"/>
                </w:tcPr>
                <w:p w14:paraId="10CF2FC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0.00003</w:t>
                  </w:r>
                </w:p>
              </w:tc>
              <w:tc>
                <w:tcPr>
                  <w:tcW w:w="646" w:type="pct"/>
                  <w:vAlign w:val="center"/>
                </w:tcPr>
                <w:p w14:paraId="0F50865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kern w:val="0"/>
                      <w:sz w:val="18"/>
                      <w:szCs w:val="18"/>
                      <w:vertAlign w:val="baseline"/>
                      <w:lang w:val="en-US" w:eastAsia="zh-CN" w:bidi="ar"/>
                    </w:rPr>
                  </w:pPr>
                  <w:r>
                    <w:rPr>
                      <w:rFonts w:hint="default" w:ascii="Times New Roman" w:hAnsi="Times New Roman" w:cs="Times New Roman"/>
                      <w:color w:val="000000"/>
                      <w:kern w:val="0"/>
                      <w:sz w:val="18"/>
                      <w:szCs w:val="18"/>
                      <w:vertAlign w:val="baseline"/>
                      <w:lang w:val="en-US" w:eastAsia="zh-CN" w:bidi="ar"/>
                    </w:rPr>
                    <w:t>0.00029</w:t>
                  </w:r>
                </w:p>
              </w:tc>
            </w:tr>
          </w:tbl>
          <w:p w14:paraId="6DF98ED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kern w:val="0"/>
                <w:sz w:val="24"/>
                <w:szCs w:val="24"/>
                <w:lang w:val="en-US" w:eastAsia="zh-CN" w:bidi="ar"/>
              </w:rPr>
              <w:t>屠宰加工车间内许多作业都要使用热水或冷水，地面容易积有大量冷热水，冷热交替，温差悬殊，导致空气流动量相当大。血水、肠胃内容物和粪尿等臭气混杂在一起，产生刺鼻的腥臭味，并扩散到整个厂区及周围地区。如果有血、肉、骨或脂肪残留而不及时处理，便会迅速腐烂，腥臭气更加严重。根据</w:t>
            </w:r>
            <w:r>
              <w:rPr>
                <w:rFonts w:hint="default" w:ascii="Times New Roman" w:hAnsi="Times New Roman" w:eastAsia="宋体" w:cs="Times New Roman"/>
                <w:color w:val="000000"/>
                <w:kern w:val="0"/>
                <w:sz w:val="24"/>
                <w:szCs w:val="24"/>
                <w:lang w:val="en-US" w:eastAsia="zh-CN" w:bidi="ar"/>
              </w:rPr>
              <w:t>《环评中屠宰项目污染源的确定》（辽宁省环境科学研究院，李易）</w:t>
            </w:r>
            <w:r>
              <w:rPr>
                <w:rFonts w:hint="default" w:ascii="Times New Roman" w:hAnsi="Times New Roman" w:cs="Times New Roman"/>
                <w:color w:val="000000"/>
                <w:kern w:val="0"/>
                <w:sz w:val="24"/>
                <w:szCs w:val="24"/>
                <w:lang w:val="en-US" w:eastAsia="zh-CN" w:bidi="ar"/>
              </w:rPr>
              <w:t>，屠宰场NH</w:t>
            </w:r>
            <w:r>
              <w:rPr>
                <w:rFonts w:hint="default" w:ascii="Times New Roman" w:hAnsi="Times New Roman" w:cs="Times New Roman"/>
                <w:color w:val="000000"/>
                <w:kern w:val="0"/>
                <w:sz w:val="24"/>
                <w:szCs w:val="24"/>
                <w:vertAlign w:val="subscript"/>
                <w:lang w:val="en-US" w:eastAsia="zh-CN" w:bidi="ar"/>
              </w:rPr>
              <w:t>3</w:t>
            </w:r>
            <w:r>
              <w:rPr>
                <w:rFonts w:hint="default" w:ascii="Times New Roman" w:hAnsi="Times New Roman" w:cs="Times New Roman"/>
                <w:color w:val="000000"/>
                <w:kern w:val="0"/>
                <w:sz w:val="24"/>
                <w:szCs w:val="24"/>
                <w:lang w:val="en-US" w:eastAsia="zh-CN" w:bidi="ar"/>
              </w:rPr>
              <w:t>、H</w:t>
            </w:r>
            <w:r>
              <w:rPr>
                <w:rFonts w:hint="default" w:ascii="Times New Roman" w:hAnsi="Times New Roman" w:cs="Times New Roman"/>
                <w:color w:val="000000"/>
                <w:kern w:val="0"/>
                <w:sz w:val="24"/>
                <w:szCs w:val="24"/>
                <w:vertAlign w:val="subscript"/>
                <w:lang w:val="en-US" w:eastAsia="zh-CN" w:bidi="ar"/>
              </w:rPr>
              <w:t>2</w:t>
            </w:r>
            <w:r>
              <w:rPr>
                <w:rFonts w:hint="default" w:ascii="Times New Roman" w:hAnsi="Times New Roman" w:cs="Times New Roman"/>
                <w:color w:val="000000"/>
                <w:kern w:val="0"/>
                <w:sz w:val="24"/>
                <w:szCs w:val="24"/>
                <w:lang w:val="en-US" w:eastAsia="zh-CN" w:bidi="ar"/>
              </w:rPr>
              <w:t>S嗅</w:t>
            </w:r>
            <w:r>
              <w:rPr>
                <w:rFonts w:hint="default" w:ascii="Times New Roman" w:hAnsi="Times New Roman" w:cs="Times New Roman"/>
                <w:color w:val="000000"/>
              </w:rPr>
              <w:t>阈</w:t>
            </w:r>
            <w:r>
              <w:rPr>
                <w:rFonts w:hint="default" w:ascii="Times New Roman" w:hAnsi="Times New Roman" w:cs="Times New Roman"/>
                <w:color w:val="000000"/>
                <w:lang w:val="en-US" w:eastAsia="zh-CN"/>
              </w:rPr>
              <w:t>资料如下表4-4，恶臭浓度物质与臭气强度的关系如下表4-5：</w:t>
            </w:r>
          </w:p>
          <w:p w14:paraId="358EF4A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表4-</w:t>
            </w:r>
            <w:r>
              <w:rPr>
                <w:rFonts w:hint="default" w:ascii="Times New Roman" w:hAnsi="Times New Roman" w:cs="Times New Roman"/>
                <w:b/>
                <w:bCs/>
                <w:color w:val="000000"/>
                <w:sz w:val="21"/>
                <w:szCs w:val="21"/>
                <w:lang w:val="en-US" w:eastAsia="zh-CN"/>
              </w:rPr>
              <w:t>4</w:t>
            </w:r>
            <w:r>
              <w:rPr>
                <w:rFonts w:hint="default" w:ascii="Times New Roman" w:hAnsi="Times New Roman" w:eastAsia="宋体" w:cs="Times New Roman"/>
                <w:b/>
                <w:bCs/>
                <w:color w:val="000000"/>
                <w:sz w:val="21"/>
                <w:szCs w:val="21"/>
                <w:lang w:val="en-US" w:eastAsia="zh-CN"/>
              </w:rPr>
              <w:t>臭气强度分级表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3288"/>
              <w:gridCol w:w="922"/>
              <w:gridCol w:w="2789"/>
            </w:tblGrid>
            <w:tr w14:paraId="55A6C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1" w:type="pct"/>
                  <w:vAlign w:val="center"/>
                </w:tcPr>
                <w:p w14:paraId="3A6E9E0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强度等级</w:t>
                  </w:r>
                </w:p>
              </w:tc>
              <w:tc>
                <w:tcPr>
                  <w:tcW w:w="2075" w:type="pct"/>
                  <w:vAlign w:val="center"/>
                </w:tcPr>
                <w:p w14:paraId="3E15220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嗅觉判别标准</w:t>
                  </w:r>
                </w:p>
              </w:tc>
              <w:tc>
                <w:tcPr>
                  <w:tcW w:w="582" w:type="pct"/>
                  <w:vAlign w:val="center"/>
                </w:tcPr>
                <w:p w14:paraId="1BBE93E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强度等级</w:t>
                  </w:r>
                </w:p>
              </w:tc>
              <w:tc>
                <w:tcPr>
                  <w:tcW w:w="1760" w:type="pct"/>
                  <w:vAlign w:val="center"/>
                </w:tcPr>
                <w:p w14:paraId="70B2A7E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嗅觉判别标准</w:t>
                  </w:r>
                </w:p>
              </w:tc>
            </w:tr>
            <w:tr w14:paraId="77F9F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1" w:type="pct"/>
                  <w:vAlign w:val="center"/>
                </w:tcPr>
                <w:p w14:paraId="4D2822E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w:t>
                  </w:r>
                </w:p>
              </w:tc>
              <w:tc>
                <w:tcPr>
                  <w:tcW w:w="2075" w:type="pct"/>
                  <w:vAlign w:val="center"/>
                </w:tcPr>
                <w:p w14:paraId="3C4F12E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无臭</w:t>
                  </w:r>
                </w:p>
              </w:tc>
              <w:tc>
                <w:tcPr>
                  <w:tcW w:w="582" w:type="pct"/>
                  <w:vAlign w:val="center"/>
                </w:tcPr>
                <w:p w14:paraId="15460DA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w:t>
                  </w:r>
                </w:p>
              </w:tc>
              <w:tc>
                <w:tcPr>
                  <w:tcW w:w="1760" w:type="pct"/>
                  <w:vAlign w:val="center"/>
                </w:tcPr>
                <w:p w14:paraId="40C860B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明显感到臭味（可嗅出臭味种类）</w:t>
                  </w:r>
                </w:p>
              </w:tc>
            </w:tr>
            <w:tr w14:paraId="3DDB8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1" w:type="pct"/>
                  <w:vAlign w:val="center"/>
                </w:tcPr>
                <w:p w14:paraId="3EA77C1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w:t>
                  </w:r>
                </w:p>
              </w:tc>
              <w:tc>
                <w:tcPr>
                  <w:tcW w:w="2075" w:type="pct"/>
                  <w:vAlign w:val="center"/>
                </w:tcPr>
                <w:p w14:paraId="68ADCA7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勉强可以感受轻微臭味（检知</w:t>
                  </w:r>
                  <w:r>
                    <w:rPr>
                      <w:rFonts w:hint="default" w:ascii="Times New Roman" w:hAnsi="Times New Roman" w:eastAsia="宋体" w:cs="Times New Roman"/>
                      <w:color w:val="000000"/>
                      <w:sz w:val="21"/>
                      <w:szCs w:val="21"/>
                    </w:rPr>
                    <w:t>阈</w:t>
                  </w:r>
                  <w:r>
                    <w:rPr>
                      <w:rFonts w:hint="default" w:ascii="Times New Roman" w:hAnsi="Times New Roman" w:eastAsia="宋体" w:cs="Times New Roman"/>
                      <w:color w:val="000000"/>
                      <w:sz w:val="21"/>
                      <w:szCs w:val="21"/>
                      <w:lang w:val="en-US" w:eastAsia="zh-CN"/>
                    </w:rPr>
                    <w:t>值浓度）</w:t>
                  </w:r>
                </w:p>
              </w:tc>
              <w:tc>
                <w:tcPr>
                  <w:tcW w:w="582" w:type="pct"/>
                  <w:vAlign w:val="center"/>
                </w:tcPr>
                <w:p w14:paraId="66B8EA3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4</w:t>
                  </w:r>
                </w:p>
              </w:tc>
              <w:tc>
                <w:tcPr>
                  <w:tcW w:w="1760" w:type="pct"/>
                  <w:vAlign w:val="center"/>
                </w:tcPr>
                <w:p w14:paraId="743A117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强烈臭味</w:t>
                  </w:r>
                </w:p>
              </w:tc>
            </w:tr>
            <w:tr w14:paraId="257AB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1" w:type="pct"/>
                  <w:vAlign w:val="center"/>
                </w:tcPr>
                <w:p w14:paraId="455A2BE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w:t>
                  </w:r>
                </w:p>
              </w:tc>
              <w:tc>
                <w:tcPr>
                  <w:tcW w:w="2075" w:type="pct"/>
                  <w:vAlign w:val="center"/>
                </w:tcPr>
                <w:p w14:paraId="7056677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容易感到轻微臭味（认知</w:t>
                  </w:r>
                  <w:r>
                    <w:rPr>
                      <w:rFonts w:hint="default" w:ascii="Times New Roman" w:hAnsi="Times New Roman" w:eastAsia="宋体" w:cs="Times New Roman"/>
                      <w:color w:val="000000"/>
                      <w:sz w:val="21"/>
                      <w:szCs w:val="21"/>
                    </w:rPr>
                    <w:t>阈</w:t>
                  </w:r>
                  <w:r>
                    <w:rPr>
                      <w:rFonts w:hint="default" w:ascii="Times New Roman" w:hAnsi="Times New Roman" w:eastAsia="宋体" w:cs="Times New Roman"/>
                      <w:color w:val="000000"/>
                      <w:sz w:val="21"/>
                      <w:szCs w:val="21"/>
                      <w:lang w:val="en-US" w:eastAsia="zh-CN"/>
                    </w:rPr>
                    <w:t>值浓度）</w:t>
                  </w:r>
                </w:p>
              </w:tc>
              <w:tc>
                <w:tcPr>
                  <w:tcW w:w="582" w:type="pct"/>
                  <w:vAlign w:val="center"/>
                </w:tcPr>
                <w:p w14:paraId="27C29F4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5</w:t>
                  </w:r>
                </w:p>
              </w:tc>
              <w:tc>
                <w:tcPr>
                  <w:tcW w:w="1760" w:type="pct"/>
                  <w:vAlign w:val="center"/>
                </w:tcPr>
                <w:p w14:paraId="726A275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无法忍受的强烈臭味</w:t>
                  </w:r>
                </w:p>
              </w:tc>
            </w:tr>
          </w:tbl>
          <w:p w14:paraId="680CA8D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表4-5 恶臭物质浓度与臭气强度的关系</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4"/>
              <w:gridCol w:w="1397"/>
              <w:gridCol w:w="1397"/>
              <w:gridCol w:w="1164"/>
              <w:gridCol w:w="1397"/>
              <w:gridCol w:w="1398"/>
            </w:tblGrid>
            <w:tr w14:paraId="74E78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pct"/>
                  <w:vAlign w:val="center"/>
                </w:tcPr>
                <w:p w14:paraId="6410448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臭气强度</w:t>
                  </w:r>
                </w:p>
              </w:tc>
              <w:tc>
                <w:tcPr>
                  <w:tcW w:w="882" w:type="pct"/>
                  <w:vAlign w:val="center"/>
                </w:tcPr>
                <w:p w14:paraId="4B5A03A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NH</w:t>
                  </w:r>
                  <w:r>
                    <w:rPr>
                      <w:rFonts w:hint="default" w:ascii="Times New Roman" w:hAnsi="Times New Roman" w:eastAsia="宋体" w:cs="Times New Roman"/>
                      <w:color w:val="000000"/>
                      <w:sz w:val="21"/>
                      <w:szCs w:val="21"/>
                      <w:vertAlign w:val="subscript"/>
                      <w:lang w:val="en-US" w:eastAsia="zh-CN"/>
                    </w:rPr>
                    <w:t>3</w:t>
                  </w:r>
                  <w:r>
                    <w:rPr>
                      <w:rFonts w:hint="eastAsia" w:cs="Times New Roman"/>
                      <w:color w:val="000000"/>
                      <w:sz w:val="21"/>
                      <w:szCs w:val="21"/>
                      <w:vertAlign w:val="baseline"/>
                      <w:lang w:val="en-US" w:eastAsia="zh-CN"/>
                    </w:rPr>
                    <w:t>（</w:t>
                  </w:r>
                  <w:r>
                    <w:rPr>
                      <w:rFonts w:hint="default" w:ascii="Times New Roman" w:hAnsi="Times New Roman" w:eastAsia="宋体" w:cs="Times New Roman"/>
                      <w:color w:val="000000"/>
                      <w:sz w:val="21"/>
                      <w:szCs w:val="21"/>
                      <w:vertAlign w:val="baseline"/>
                      <w:lang w:val="en-US" w:eastAsia="zh-CN"/>
                    </w:rPr>
                    <w:t>mg/m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vertAlign w:val="baseline"/>
                      <w:lang w:val="en-US" w:eastAsia="zh-CN"/>
                    </w:rPr>
                    <w:t>）</w:t>
                  </w:r>
                </w:p>
              </w:tc>
              <w:tc>
                <w:tcPr>
                  <w:tcW w:w="882" w:type="pct"/>
                  <w:vAlign w:val="center"/>
                </w:tcPr>
                <w:p w14:paraId="43D5E0D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H</w:t>
                  </w:r>
                  <w:r>
                    <w:rPr>
                      <w:rFonts w:hint="default" w:ascii="Times New Roman" w:hAnsi="Times New Roman" w:eastAsia="宋体" w:cs="Times New Roman"/>
                      <w:color w:val="000000"/>
                      <w:sz w:val="21"/>
                      <w:szCs w:val="21"/>
                      <w:vertAlign w:val="subscript"/>
                      <w:lang w:val="en-US" w:eastAsia="zh-CN"/>
                    </w:rPr>
                    <w:t>2</w:t>
                  </w:r>
                  <w:r>
                    <w:rPr>
                      <w:rFonts w:hint="default" w:ascii="Times New Roman" w:hAnsi="Times New Roman" w:eastAsia="宋体" w:cs="Times New Roman"/>
                      <w:color w:val="000000"/>
                      <w:sz w:val="21"/>
                      <w:szCs w:val="21"/>
                      <w:vertAlign w:val="baseline"/>
                      <w:lang w:val="en-US" w:eastAsia="zh-CN"/>
                    </w:rPr>
                    <w:t>S（mg/m</w:t>
                  </w:r>
                  <w:r>
                    <w:rPr>
                      <w:rFonts w:hint="default" w:ascii="Times New Roman" w:hAnsi="Times New Roman" w:eastAsia="宋体" w:cs="Times New Roman"/>
                      <w:color w:val="000000"/>
                      <w:sz w:val="21"/>
                      <w:szCs w:val="21"/>
                      <w:vertAlign w:val="superscript"/>
                      <w:lang w:val="en-US" w:eastAsia="zh-CN"/>
                    </w:rPr>
                    <w:t>3</w:t>
                  </w:r>
                  <w:r>
                    <w:rPr>
                      <w:rFonts w:hint="eastAsia" w:cs="Times New Roman"/>
                      <w:color w:val="000000"/>
                      <w:sz w:val="21"/>
                      <w:szCs w:val="21"/>
                      <w:vertAlign w:val="baseline"/>
                      <w:lang w:val="en-US" w:eastAsia="zh-CN"/>
                    </w:rPr>
                    <w:t>）</w:t>
                  </w:r>
                </w:p>
              </w:tc>
              <w:tc>
                <w:tcPr>
                  <w:tcW w:w="735" w:type="pct"/>
                  <w:vAlign w:val="center"/>
                </w:tcPr>
                <w:p w14:paraId="6172575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臭气强度</w:t>
                  </w:r>
                </w:p>
              </w:tc>
              <w:tc>
                <w:tcPr>
                  <w:tcW w:w="882" w:type="pct"/>
                  <w:vAlign w:val="center"/>
                </w:tcPr>
                <w:p w14:paraId="748CF27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NH</w:t>
                  </w:r>
                  <w:r>
                    <w:rPr>
                      <w:rFonts w:hint="default" w:ascii="Times New Roman" w:hAnsi="Times New Roman" w:eastAsia="宋体" w:cs="Times New Roman"/>
                      <w:color w:val="000000"/>
                      <w:sz w:val="21"/>
                      <w:szCs w:val="21"/>
                      <w:vertAlign w:val="subscript"/>
                      <w:lang w:val="en-US" w:eastAsia="zh-CN"/>
                    </w:rPr>
                    <w:t>3</w:t>
                  </w:r>
                  <w:r>
                    <w:rPr>
                      <w:rFonts w:hint="eastAsia" w:cs="Times New Roman"/>
                      <w:color w:val="000000"/>
                      <w:sz w:val="21"/>
                      <w:szCs w:val="21"/>
                      <w:vertAlign w:val="baseline"/>
                      <w:lang w:val="en-US" w:eastAsia="zh-CN"/>
                    </w:rPr>
                    <w:t>（</w:t>
                  </w:r>
                  <w:r>
                    <w:rPr>
                      <w:rFonts w:hint="default" w:ascii="Times New Roman" w:hAnsi="Times New Roman" w:eastAsia="宋体" w:cs="Times New Roman"/>
                      <w:color w:val="000000"/>
                      <w:sz w:val="21"/>
                      <w:szCs w:val="21"/>
                      <w:vertAlign w:val="baseline"/>
                      <w:lang w:val="en-US" w:eastAsia="zh-CN"/>
                    </w:rPr>
                    <w:t>mg/m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vertAlign w:val="baseline"/>
                      <w:lang w:val="en-US" w:eastAsia="zh-CN"/>
                    </w:rPr>
                    <w:t>）</w:t>
                  </w:r>
                </w:p>
              </w:tc>
              <w:tc>
                <w:tcPr>
                  <w:tcW w:w="882" w:type="pct"/>
                  <w:vAlign w:val="center"/>
                </w:tcPr>
                <w:p w14:paraId="1399427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eastAsia="宋体" w:cs="Times New Roman"/>
                      <w:color w:val="000000"/>
                      <w:sz w:val="21"/>
                      <w:szCs w:val="21"/>
                      <w:vertAlign w:val="baseline"/>
                      <w:lang w:val="en-US" w:eastAsia="zh-CN"/>
                    </w:rPr>
                    <w:t>H</w:t>
                  </w:r>
                  <w:r>
                    <w:rPr>
                      <w:rFonts w:hint="default" w:ascii="Times New Roman" w:hAnsi="Times New Roman" w:eastAsia="宋体" w:cs="Times New Roman"/>
                      <w:color w:val="000000"/>
                      <w:sz w:val="21"/>
                      <w:szCs w:val="21"/>
                      <w:vertAlign w:val="subscript"/>
                      <w:lang w:val="en-US" w:eastAsia="zh-CN"/>
                    </w:rPr>
                    <w:t>2</w:t>
                  </w:r>
                  <w:r>
                    <w:rPr>
                      <w:rFonts w:hint="default" w:ascii="Times New Roman" w:hAnsi="Times New Roman" w:eastAsia="宋体" w:cs="Times New Roman"/>
                      <w:color w:val="000000"/>
                      <w:sz w:val="21"/>
                      <w:szCs w:val="21"/>
                      <w:vertAlign w:val="baseline"/>
                      <w:lang w:val="en-US" w:eastAsia="zh-CN"/>
                    </w:rPr>
                    <w:t>S（mg/m</w:t>
                  </w:r>
                  <w:r>
                    <w:rPr>
                      <w:rFonts w:hint="default" w:ascii="Times New Roman" w:hAnsi="Times New Roman" w:eastAsia="宋体" w:cs="Times New Roman"/>
                      <w:color w:val="000000"/>
                      <w:sz w:val="21"/>
                      <w:szCs w:val="21"/>
                      <w:vertAlign w:val="superscript"/>
                      <w:lang w:val="en-US" w:eastAsia="zh-CN"/>
                    </w:rPr>
                    <w:t>3</w:t>
                  </w:r>
                  <w:r>
                    <w:rPr>
                      <w:rFonts w:hint="eastAsia" w:cs="Times New Roman"/>
                      <w:color w:val="000000"/>
                      <w:sz w:val="21"/>
                      <w:szCs w:val="21"/>
                      <w:vertAlign w:val="baseline"/>
                      <w:lang w:val="en-US" w:eastAsia="zh-CN"/>
                    </w:rPr>
                    <w:t>）</w:t>
                  </w:r>
                </w:p>
              </w:tc>
            </w:tr>
            <w:tr w14:paraId="48E89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pct"/>
                  <w:vAlign w:val="center"/>
                </w:tcPr>
                <w:p w14:paraId="36665EA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w:t>
                  </w:r>
                </w:p>
              </w:tc>
              <w:tc>
                <w:tcPr>
                  <w:tcW w:w="882" w:type="pct"/>
                  <w:vAlign w:val="center"/>
                </w:tcPr>
                <w:p w14:paraId="5BD2308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0.1</w:t>
                  </w:r>
                </w:p>
              </w:tc>
              <w:tc>
                <w:tcPr>
                  <w:tcW w:w="882" w:type="pct"/>
                  <w:vAlign w:val="center"/>
                </w:tcPr>
                <w:p w14:paraId="0F8A7F4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0.0005</w:t>
                  </w:r>
                </w:p>
              </w:tc>
              <w:tc>
                <w:tcPr>
                  <w:tcW w:w="735" w:type="pct"/>
                  <w:vAlign w:val="center"/>
                </w:tcPr>
                <w:p w14:paraId="7C9036D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3.5</w:t>
                  </w:r>
                </w:p>
              </w:tc>
              <w:tc>
                <w:tcPr>
                  <w:tcW w:w="882" w:type="pct"/>
                  <w:vAlign w:val="center"/>
                </w:tcPr>
                <w:p w14:paraId="6F66726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5</w:t>
                  </w:r>
                </w:p>
              </w:tc>
              <w:tc>
                <w:tcPr>
                  <w:tcW w:w="882" w:type="pct"/>
                  <w:vAlign w:val="center"/>
                </w:tcPr>
                <w:p w14:paraId="26E36F5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0.2</w:t>
                  </w:r>
                </w:p>
              </w:tc>
            </w:tr>
            <w:tr w14:paraId="164D8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pct"/>
                  <w:vAlign w:val="center"/>
                </w:tcPr>
                <w:p w14:paraId="74CD3D7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w:t>
                  </w:r>
                </w:p>
              </w:tc>
              <w:tc>
                <w:tcPr>
                  <w:tcW w:w="882" w:type="pct"/>
                  <w:vAlign w:val="center"/>
                </w:tcPr>
                <w:p w14:paraId="6AD1F8F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0.5</w:t>
                  </w:r>
                </w:p>
              </w:tc>
              <w:tc>
                <w:tcPr>
                  <w:tcW w:w="882" w:type="pct"/>
                  <w:vAlign w:val="center"/>
                </w:tcPr>
                <w:p w14:paraId="2370244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0.006</w:t>
                  </w:r>
                </w:p>
              </w:tc>
              <w:tc>
                <w:tcPr>
                  <w:tcW w:w="735" w:type="pct"/>
                  <w:vAlign w:val="center"/>
                </w:tcPr>
                <w:p w14:paraId="3B29352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4</w:t>
                  </w:r>
                </w:p>
              </w:tc>
              <w:tc>
                <w:tcPr>
                  <w:tcW w:w="882" w:type="pct"/>
                  <w:vAlign w:val="center"/>
                </w:tcPr>
                <w:p w14:paraId="1171DF2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10</w:t>
                  </w:r>
                </w:p>
              </w:tc>
              <w:tc>
                <w:tcPr>
                  <w:tcW w:w="882" w:type="pct"/>
                  <w:vAlign w:val="center"/>
                </w:tcPr>
                <w:p w14:paraId="1A5E886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0.7</w:t>
                  </w:r>
                </w:p>
              </w:tc>
            </w:tr>
            <w:tr w14:paraId="6C1D2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pct"/>
                  <w:vAlign w:val="center"/>
                </w:tcPr>
                <w:p w14:paraId="61A3E6B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2.5</w:t>
                  </w:r>
                </w:p>
              </w:tc>
              <w:tc>
                <w:tcPr>
                  <w:tcW w:w="882" w:type="pct"/>
                  <w:vAlign w:val="center"/>
                </w:tcPr>
                <w:p w14:paraId="6615E1A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1.0</w:t>
                  </w:r>
                </w:p>
              </w:tc>
              <w:tc>
                <w:tcPr>
                  <w:tcW w:w="882" w:type="pct"/>
                  <w:vAlign w:val="center"/>
                </w:tcPr>
                <w:p w14:paraId="2EFF155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0.02</w:t>
                  </w:r>
                </w:p>
              </w:tc>
              <w:tc>
                <w:tcPr>
                  <w:tcW w:w="735" w:type="pct"/>
                  <w:vAlign w:val="center"/>
                </w:tcPr>
                <w:p w14:paraId="610525D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5</w:t>
                  </w:r>
                </w:p>
              </w:tc>
              <w:tc>
                <w:tcPr>
                  <w:tcW w:w="882" w:type="pct"/>
                  <w:vAlign w:val="center"/>
                </w:tcPr>
                <w:p w14:paraId="30C143A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40</w:t>
                  </w:r>
                </w:p>
              </w:tc>
              <w:tc>
                <w:tcPr>
                  <w:tcW w:w="882" w:type="pct"/>
                  <w:vAlign w:val="center"/>
                </w:tcPr>
                <w:p w14:paraId="2F0F4A7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8</w:t>
                  </w:r>
                </w:p>
              </w:tc>
            </w:tr>
            <w:tr w14:paraId="32B9C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pct"/>
                  <w:vAlign w:val="center"/>
                </w:tcPr>
                <w:p w14:paraId="79BC5B9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w:t>
                  </w:r>
                </w:p>
              </w:tc>
              <w:tc>
                <w:tcPr>
                  <w:tcW w:w="882" w:type="pct"/>
                  <w:vAlign w:val="center"/>
                </w:tcPr>
                <w:p w14:paraId="46023C7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w:t>
                  </w:r>
                </w:p>
              </w:tc>
              <w:tc>
                <w:tcPr>
                  <w:tcW w:w="882" w:type="pct"/>
                  <w:vAlign w:val="center"/>
                </w:tcPr>
                <w:p w14:paraId="7CADF2B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0.06</w:t>
                  </w:r>
                </w:p>
              </w:tc>
              <w:tc>
                <w:tcPr>
                  <w:tcW w:w="735" w:type="pct"/>
                  <w:vAlign w:val="center"/>
                </w:tcPr>
                <w:p w14:paraId="27D5FA2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臭气特征</w:t>
                  </w:r>
                </w:p>
              </w:tc>
              <w:tc>
                <w:tcPr>
                  <w:tcW w:w="882" w:type="pct"/>
                  <w:vAlign w:val="center"/>
                </w:tcPr>
                <w:p w14:paraId="61C0B73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刺激臭</w:t>
                  </w:r>
                </w:p>
              </w:tc>
              <w:tc>
                <w:tcPr>
                  <w:tcW w:w="882" w:type="pct"/>
                  <w:vAlign w:val="center"/>
                </w:tcPr>
                <w:p w14:paraId="35920F6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臭蛋味</w:t>
                  </w:r>
                </w:p>
              </w:tc>
            </w:tr>
          </w:tbl>
          <w:p w14:paraId="6FEF01A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屠宰车间内能感到轻微臭味，由表4-5和类比同类型项目情况，生猪屠宰车间内臭气强度一般为2~3级，本次环评屠宰车间内臭气强度按2.5级计，屠宰车间内NH</w:t>
            </w:r>
            <w:r>
              <w:rPr>
                <w:rFonts w:hint="default" w:ascii="Times New Roman" w:hAnsi="Times New Roman" w:cs="Times New Roman"/>
                <w:color w:val="000000"/>
                <w:vertAlign w:val="subscript"/>
                <w:lang w:val="en-US" w:eastAsia="zh-CN"/>
              </w:rPr>
              <w:t>3</w:t>
            </w:r>
            <w:r>
              <w:rPr>
                <w:rFonts w:hint="default" w:ascii="Times New Roman" w:hAnsi="Times New Roman" w:cs="Times New Roman"/>
                <w:color w:val="000000"/>
                <w:lang w:val="en-US" w:eastAsia="zh-CN"/>
              </w:rPr>
              <w:t>和H</w:t>
            </w:r>
            <w:r>
              <w:rPr>
                <w:rFonts w:hint="default" w:ascii="Times New Roman" w:hAnsi="Times New Roman" w:cs="Times New Roman"/>
                <w:color w:val="000000"/>
                <w:vertAlign w:val="subscript"/>
                <w:lang w:val="en-US" w:eastAsia="zh-CN"/>
              </w:rPr>
              <w:t>2</w:t>
            </w:r>
            <w:r>
              <w:rPr>
                <w:rFonts w:hint="default" w:ascii="Times New Roman" w:hAnsi="Times New Roman" w:cs="Times New Roman"/>
                <w:color w:val="000000"/>
                <w:lang w:val="en-US" w:eastAsia="zh-CN"/>
              </w:rPr>
              <w:t>S浓度分别为1.0mg/m</w:t>
            </w:r>
            <w:r>
              <w:rPr>
                <w:rFonts w:hint="default" w:ascii="Times New Roman" w:hAnsi="Times New Roman" w:cs="Times New Roman"/>
                <w:color w:val="000000"/>
                <w:vertAlign w:val="superscript"/>
                <w:lang w:val="en-US" w:eastAsia="zh-CN"/>
              </w:rPr>
              <w:t>3</w:t>
            </w:r>
            <w:r>
              <w:rPr>
                <w:rFonts w:hint="default" w:ascii="Times New Roman" w:hAnsi="Times New Roman" w:cs="Times New Roman"/>
                <w:color w:val="000000"/>
                <w:lang w:val="en-US" w:eastAsia="zh-CN"/>
              </w:rPr>
              <w:t>、0.02mg/m</w:t>
            </w:r>
            <w:r>
              <w:rPr>
                <w:rFonts w:hint="default" w:ascii="Times New Roman" w:hAnsi="Times New Roman" w:cs="Times New Roman"/>
                <w:color w:val="000000"/>
                <w:vertAlign w:val="superscript"/>
                <w:lang w:val="en-US" w:eastAsia="zh-CN"/>
              </w:rPr>
              <w:t>3</w:t>
            </w:r>
            <w:r>
              <w:rPr>
                <w:rFonts w:hint="default" w:ascii="Times New Roman" w:hAnsi="Times New Roman" w:cs="Times New Roman"/>
                <w:color w:val="000000"/>
                <w:lang w:val="en-US" w:eastAsia="zh-CN"/>
              </w:rPr>
              <w:t>。</w:t>
            </w:r>
          </w:p>
          <w:p w14:paraId="6216C6F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治理措施：</w:t>
            </w:r>
          </w:p>
          <w:p w14:paraId="2067455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cs="Times New Roman" w:eastAsiaTheme="majorEastAsia"/>
                <w:color w:val="000000"/>
                <w:kern w:val="0"/>
                <w:sz w:val="24"/>
                <w:szCs w:val="24"/>
                <w:lang w:val="en-US" w:eastAsia="zh-CN" w:bidi="ar"/>
              </w:rPr>
              <w:t>①</w:t>
            </w:r>
            <w:r>
              <w:rPr>
                <w:rFonts w:hint="default" w:ascii="Times New Roman" w:hAnsi="Times New Roman" w:cs="Times New Roman"/>
                <w:color w:val="000000"/>
                <w:kern w:val="0"/>
                <w:sz w:val="24"/>
                <w:szCs w:val="24"/>
                <w:lang w:val="en-US" w:eastAsia="zh-CN" w:bidi="ar"/>
              </w:rPr>
              <w:t>及时清理粪便和肠胃内容物，设置漏缝地板和排水沟，确保污水及时流入封闭污水管道，减少地面滞留。待宰间采</w:t>
            </w:r>
            <w:r>
              <w:rPr>
                <w:rFonts w:hint="eastAsia" w:ascii="宋体" w:hAnsi="宋体" w:eastAsia="宋体" w:cs="宋体"/>
                <w:color w:val="000000"/>
                <w:kern w:val="0"/>
                <w:sz w:val="24"/>
                <w:szCs w:val="24"/>
                <w:lang w:val="en-US" w:eastAsia="zh-CN" w:bidi="ar"/>
              </w:rPr>
              <w:t>取“干清粪”方式</w:t>
            </w:r>
            <w:r>
              <w:rPr>
                <w:rFonts w:hint="default" w:ascii="Times New Roman" w:hAnsi="Times New Roman" w:cs="Times New Roman"/>
                <w:color w:val="000000"/>
                <w:kern w:val="0"/>
                <w:sz w:val="24"/>
                <w:szCs w:val="24"/>
                <w:lang w:val="en-US" w:eastAsia="zh-CN" w:bidi="ar"/>
              </w:rPr>
              <w:t>、4 小时清理一次，清理出的粪便和肠胃内容物暂时盛装密闭桶内，当日清运售卖到有机肥厂作为原料，粪便清理后用水对圈舍地面进行冲洗。</w:t>
            </w:r>
          </w:p>
          <w:p w14:paraId="7944D36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②</w:t>
            </w:r>
            <w:r>
              <w:rPr>
                <w:rFonts w:hint="default" w:ascii="Times New Roman" w:hAnsi="Times New Roman" w:cs="Times New Roman"/>
                <w:color w:val="000000"/>
                <w:kern w:val="0"/>
                <w:sz w:val="24"/>
                <w:szCs w:val="24"/>
                <w:lang w:val="en-US" w:eastAsia="zh-CN" w:bidi="ar"/>
              </w:rPr>
              <w:t>内脏清洗作业过程中，工作人员应做好全套防护措施，避免人工操作中恶臭影响人体健康。内脏清洗废水通过PVC管道排入污水处理设施，减少废水产生的恶臭。</w:t>
            </w:r>
          </w:p>
          <w:p w14:paraId="29267EC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③</w:t>
            </w:r>
            <w:r>
              <w:rPr>
                <w:rFonts w:hint="default" w:ascii="Times New Roman" w:hAnsi="Times New Roman" w:cs="Times New Roman"/>
                <w:color w:val="000000"/>
                <w:kern w:val="0"/>
                <w:sz w:val="24"/>
                <w:szCs w:val="24"/>
                <w:lang w:val="en-US" w:eastAsia="zh-CN" w:bidi="ar"/>
              </w:rPr>
              <w:t>车间地面采用防滑、易清洗材质（如环氧</w:t>
            </w:r>
            <w:r>
              <w:rPr>
                <w:rFonts w:hint="eastAsia" w:cs="Times New Roman"/>
                <w:color w:val="000000"/>
                <w:kern w:val="0"/>
                <w:sz w:val="24"/>
                <w:szCs w:val="24"/>
                <w:lang w:val="en-US" w:eastAsia="zh-CN" w:bidi="ar"/>
              </w:rPr>
              <w:t>树</w:t>
            </w:r>
            <w:r>
              <w:rPr>
                <w:rFonts w:hint="default" w:ascii="Times New Roman" w:hAnsi="Times New Roman" w:cs="Times New Roman"/>
                <w:color w:val="000000"/>
                <w:kern w:val="0"/>
                <w:sz w:val="24"/>
                <w:szCs w:val="24"/>
                <w:lang w:val="en-US" w:eastAsia="zh-CN" w:bidi="ar"/>
              </w:rPr>
              <w:t>脂），并每2小时冲洗一次，防止血污残留，坚持每天下班时对各区域进行冲洗作业，在冲洗待宰工区之前利用竹枝制成的扫帚和平口铲等工具收集固化物。</w:t>
            </w:r>
          </w:p>
          <w:p w14:paraId="1B76DBF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④在屠宰区域和</w:t>
            </w:r>
            <w:r>
              <w:rPr>
                <w:rFonts w:hint="default" w:ascii="Times New Roman" w:hAnsi="Times New Roman" w:cs="Times New Roman"/>
                <w:color w:val="000000"/>
                <w:kern w:val="0"/>
                <w:sz w:val="24"/>
                <w:szCs w:val="24"/>
                <w:lang w:val="en-US" w:eastAsia="zh-CN" w:bidi="ar"/>
              </w:rPr>
              <w:t>存栏舍</w:t>
            </w:r>
            <w:r>
              <w:rPr>
                <w:rFonts w:hint="default" w:ascii="Times New Roman" w:hAnsi="Times New Roman" w:eastAsia="宋体" w:cs="Times New Roman"/>
                <w:color w:val="000000"/>
                <w:kern w:val="0"/>
                <w:sz w:val="24"/>
                <w:szCs w:val="24"/>
                <w:lang w:val="en-US" w:eastAsia="zh-CN" w:bidi="ar"/>
              </w:rPr>
              <w:t>安装通风系统，保证</w:t>
            </w:r>
            <w:r>
              <w:rPr>
                <w:rFonts w:hint="default" w:ascii="Times New Roman" w:hAnsi="Times New Roman" w:cs="Times New Roman"/>
                <w:color w:val="000000"/>
                <w:kern w:val="0"/>
                <w:sz w:val="24"/>
                <w:szCs w:val="24"/>
                <w:lang w:val="en-US" w:eastAsia="zh-CN" w:bidi="ar"/>
              </w:rPr>
              <w:t>存栏舍与屠宰车间</w:t>
            </w:r>
            <w:r>
              <w:rPr>
                <w:rFonts w:hint="default" w:ascii="Times New Roman" w:hAnsi="Times New Roman" w:eastAsia="宋体" w:cs="Times New Roman"/>
                <w:color w:val="000000"/>
                <w:kern w:val="0"/>
                <w:sz w:val="24"/>
                <w:szCs w:val="24"/>
                <w:lang w:val="en-US" w:eastAsia="zh-CN" w:bidi="ar"/>
              </w:rPr>
              <w:t>空气流通（换气频率≧</w:t>
            </w:r>
            <w:r>
              <w:rPr>
                <w:rFonts w:hint="default" w:ascii="Times New Roman" w:hAnsi="Times New Roman"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次/小时），降低有害气体浓度</w:t>
            </w:r>
            <w:r>
              <w:rPr>
                <w:rFonts w:hint="default" w:ascii="Times New Roman" w:hAnsi="Times New Roman" w:cs="Times New Roman"/>
                <w:color w:val="000000"/>
                <w:kern w:val="0"/>
                <w:sz w:val="24"/>
                <w:szCs w:val="24"/>
                <w:lang w:val="en-US" w:eastAsia="zh-CN" w:bidi="ar"/>
              </w:rPr>
              <w:t>，定期对存栏舍和屠宰车间使用生物除臭剂进行除臭</w:t>
            </w:r>
            <w:r>
              <w:rPr>
                <w:rFonts w:hint="default" w:ascii="Times New Roman" w:hAnsi="Times New Roman" w:eastAsia="宋体" w:cs="Times New Roman"/>
                <w:color w:val="000000"/>
                <w:kern w:val="0"/>
                <w:sz w:val="24"/>
                <w:szCs w:val="24"/>
                <w:lang w:val="en-US" w:eastAsia="zh-CN" w:bidi="ar"/>
              </w:rPr>
              <w:t>。</w:t>
            </w:r>
          </w:p>
          <w:p w14:paraId="0C1FAB3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⑤每天用消毒剂对各工区消毒一次。</w:t>
            </w:r>
          </w:p>
          <w:p w14:paraId="49F1508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⑥在厂房内可设置杀虫灯，定期对各工区进行杀虫灭蝇工作，防止蚊蝇滋生及其带来的疾病。</w:t>
            </w:r>
          </w:p>
          <w:p w14:paraId="6FC3FB5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76" w:firstLineChars="200"/>
              <w:jc w:val="left"/>
              <w:textAlignment w:val="auto"/>
              <w:rPr>
                <w:rFonts w:hint="default" w:ascii="Times New Roman" w:hAnsi="Times New Roman" w:cs="Times New Roman"/>
                <w:spacing w:val="-1"/>
                <w:lang w:val="en-US" w:eastAsia="zh-CN"/>
              </w:rPr>
            </w:pPr>
            <w:r>
              <w:rPr>
                <w:rFonts w:hint="default" w:ascii="Times New Roman" w:hAnsi="Times New Roman" w:cs="Times New Roman"/>
                <w:spacing w:val="-1"/>
                <w:lang w:eastAsia="zh-CN"/>
              </w:rPr>
              <w:t>（</w:t>
            </w:r>
            <w:r>
              <w:rPr>
                <w:rFonts w:hint="default" w:ascii="Times New Roman" w:hAnsi="Times New Roman" w:cs="Times New Roman"/>
                <w:spacing w:val="-1"/>
                <w:lang w:val="en-US" w:eastAsia="zh-CN"/>
              </w:rPr>
              <w:t>2）污水处理设施产生的恶臭</w:t>
            </w:r>
          </w:p>
          <w:p w14:paraId="3FC13B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76" w:firstLineChars="200"/>
              <w:jc w:val="left"/>
              <w:textAlignment w:val="auto"/>
              <w:rPr>
                <w:rFonts w:hint="default" w:ascii="Times New Roman" w:hAnsi="Times New Roman" w:eastAsia="宋体" w:cs="Times New Roman"/>
                <w:spacing w:val="-3"/>
                <w:sz w:val="24"/>
                <w:szCs w:val="24"/>
                <w:lang w:val="en-US" w:eastAsia="zh-CN"/>
              </w:rPr>
            </w:pPr>
            <w:r>
              <w:rPr>
                <w:rFonts w:hint="default" w:ascii="Times New Roman" w:hAnsi="Times New Roman" w:eastAsia="宋体" w:cs="Times New Roman"/>
                <w:spacing w:val="-1"/>
                <w:sz w:val="24"/>
                <w:szCs w:val="24"/>
                <w:lang w:val="en-US" w:eastAsia="zh-CN"/>
              </w:rPr>
              <w:t>项目污水处理设施位于</w:t>
            </w:r>
            <w:r>
              <w:rPr>
                <w:rFonts w:hint="eastAsia" w:cs="Times New Roman"/>
                <w:spacing w:val="-1"/>
                <w:sz w:val="24"/>
                <w:szCs w:val="24"/>
                <w:lang w:val="en-US" w:eastAsia="zh-CN"/>
              </w:rPr>
              <w:t>厂</w:t>
            </w:r>
            <w:r>
              <w:rPr>
                <w:rFonts w:hint="default" w:ascii="Times New Roman" w:hAnsi="Times New Roman" w:eastAsia="宋体" w:cs="Times New Roman"/>
                <w:spacing w:val="-1"/>
                <w:sz w:val="24"/>
                <w:szCs w:val="24"/>
                <w:lang w:val="en-US" w:eastAsia="zh-CN"/>
              </w:rPr>
              <w:t>区西侧，污水处理设施的臭气主要来源格栅池、气浮池、水解酸化池。</w:t>
            </w:r>
            <w:r>
              <w:rPr>
                <w:rFonts w:hint="default" w:ascii="Times New Roman" w:hAnsi="Times New Roman" w:cs="Times New Roman"/>
                <w:spacing w:val="-1"/>
                <w:sz w:val="24"/>
                <w:szCs w:val="24"/>
                <w:lang w:val="en-US" w:eastAsia="zh-CN"/>
              </w:rPr>
              <w:t>恶臭废气</w:t>
            </w:r>
            <w:r>
              <w:rPr>
                <w:rFonts w:hint="default" w:ascii="Times New Roman" w:hAnsi="Times New Roman" w:eastAsia="宋体" w:cs="Times New Roman"/>
                <w:spacing w:val="-3"/>
                <w:sz w:val="24"/>
                <w:szCs w:val="24"/>
              </w:rPr>
              <w:t>主要成分为 NH</w:t>
            </w:r>
            <w:r>
              <w:rPr>
                <w:rFonts w:hint="default" w:ascii="Times New Roman" w:hAnsi="Times New Roman" w:eastAsia="宋体" w:cs="Times New Roman"/>
                <w:spacing w:val="-3"/>
                <w:sz w:val="24"/>
                <w:szCs w:val="24"/>
                <w:vertAlign w:val="subscript"/>
              </w:rPr>
              <w:t>3</w:t>
            </w:r>
            <w:r>
              <w:rPr>
                <w:rFonts w:hint="default" w:ascii="Times New Roman" w:hAnsi="Times New Roman" w:eastAsia="宋体" w:cs="Times New Roman"/>
                <w:spacing w:val="-3"/>
                <w:sz w:val="24"/>
                <w:szCs w:val="24"/>
              </w:rPr>
              <w:t xml:space="preserve"> 和</w:t>
            </w:r>
            <w:r>
              <w:rPr>
                <w:rFonts w:hint="eastAsia" w:cs="Times New Roman"/>
                <w:spacing w:val="-3"/>
                <w:sz w:val="24"/>
                <w:szCs w:val="24"/>
                <w:lang w:val="en-US" w:eastAsia="zh-CN"/>
              </w:rPr>
              <w:t xml:space="preserve"> </w:t>
            </w:r>
            <w:r>
              <w:rPr>
                <w:rFonts w:hint="default" w:ascii="Times New Roman" w:hAnsi="Times New Roman" w:eastAsia="宋体" w:cs="Times New Roman"/>
                <w:spacing w:val="-56"/>
                <w:sz w:val="24"/>
                <w:szCs w:val="24"/>
              </w:rPr>
              <w:t xml:space="preserve"> </w:t>
            </w:r>
            <w:r>
              <w:rPr>
                <w:rFonts w:hint="default" w:ascii="Times New Roman" w:hAnsi="Times New Roman" w:eastAsia="宋体" w:cs="Times New Roman"/>
                <w:spacing w:val="-3"/>
                <w:sz w:val="24"/>
                <w:szCs w:val="24"/>
              </w:rPr>
              <w:t>H</w:t>
            </w:r>
            <w:r>
              <w:rPr>
                <w:rFonts w:hint="default" w:ascii="Times New Roman" w:hAnsi="Times New Roman" w:eastAsia="宋体" w:cs="Times New Roman"/>
                <w:spacing w:val="-3"/>
                <w:position w:val="-1"/>
                <w:sz w:val="24"/>
                <w:szCs w:val="24"/>
                <w:vertAlign w:val="subscript"/>
              </w:rPr>
              <w:t>2</w:t>
            </w:r>
            <w:r>
              <w:rPr>
                <w:rFonts w:hint="default" w:ascii="Times New Roman" w:hAnsi="Times New Roman" w:eastAsia="宋体" w:cs="Times New Roman"/>
                <w:spacing w:val="-3"/>
                <w:sz w:val="24"/>
                <w:szCs w:val="24"/>
              </w:rPr>
              <w:t>S</w:t>
            </w:r>
            <w:r>
              <w:rPr>
                <w:rFonts w:hint="default" w:ascii="Times New Roman" w:hAnsi="Times New Roman" w:eastAsia="宋体" w:cs="Times New Roman"/>
                <w:spacing w:val="-27"/>
                <w:sz w:val="24"/>
                <w:szCs w:val="24"/>
              </w:rPr>
              <w:t xml:space="preserve"> </w:t>
            </w:r>
            <w:r>
              <w:rPr>
                <w:rFonts w:hint="default" w:ascii="Times New Roman" w:hAnsi="Times New Roman" w:eastAsia="宋体" w:cs="Times New Roman"/>
                <w:spacing w:val="-3"/>
                <w:sz w:val="24"/>
                <w:szCs w:val="24"/>
              </w:rPr>
              <w:t>。</w:t>
            </w:r>
            <w:r>
              <w:rPr>
                <w:rFonts w:hint="default" w:ascii="Times New Roman" w:hAnsi="Times New Roman" w:eastAsia="宋体" w:cs="Times New Roman"/>
                <w:color w:val="000000" w:themeColor="text1"/>
                <w:spacing w:val="-3"/>
                <w:sz w:val="24"/>
                <w:szCs w:val="24"/>
                <w:lang w:val="en-US" w:eastAsia="zh-CN"/>
                <w14:textFill>
                  <w14:solidFill>
                    <w14:schemeClr w14:val="tx1"/>
                  </w14:solidFill>
                </w14:textFill>
              </w:rPr>
              <w:t>类比同类型</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屠宰场项目自建污水处理站</w:t>
            </w:r>
            <w:r>
              <w:rPr>
                <w:rFonts w:hint="default" w:ascii="Times New Roman" w:hAnsi="Times New Roman" w:eastAsia="宋体" w:cs="Times New Roman"/>
                <w:spacing w:val="-3"/>
                <w:sz w:val="24"/>
                <w:szCs w:val="24"/>
                <w:lang w:val="en-US" w:eastAsia="zh-CN"/>
              </w:rPr>
              <w:t>NH</w:t>
            </w:r>
            <w:r>
              <w:rPr>
                <w:rFonts w:hint="default" w:ascii="Times New Roman" w:hAnsi="Times New Roman" w:eastAsia="宋体" w:cs="Times New Roman"/>
                <w:spacing w:val="-3"/>
                <w:sz w:val="24"/>
                <w:szCs w:val="24"/>
                <w:vertAlign w:val="subscript"/>
                <w:lang w:val="en-US" w:eastAsia="zh-CN"/>
              </w:rPr>
              <w:t>3</w:t>
            </w:r>
            <w:r>
              <w:rPr>
                <w:rFonts w:hint="default" w:ascii="Times New Roman" w:hAnsi="Times New Roman" w:eastAsia="宋体" w:cs="Times New Roman"/>
                <w:spacing w:val="-3"/>
                <w:sz w:val="24"/>
                <w:szCs w:val="24"/>
                <w:lang w:val="en-US" w:eastAsia="zh-CN"/>
              </w:rPr>
              <w:t>、H</w:t>
            </w:r>
            <w:r>
              <w:rPr>
                <w:rFonts w:hint="default" w:ascii="Times New Roman" w:hAnsi="Times New Roman" w:eastAsia="宋体" w:cs="Times New Roman"/>
                <w:spacing w:val="-3"/>
                <w:sz w:val="24"/>
                <w:szCs w:val="24"/>
                <w:vertAlign w:val="subscript"/>
                <w:lang w:val="en-US" w:eastAsia="zh-CN"/>
              </w:rPr>
              <w:t>2</w:t>
            </w:r>
            <w:r>
              <w:rPr>
                <w:rFonts w:hint="default" w:ascii="Times New Roman" w:hAnsi="Times New Roman" w:eastAsia="宋体" w:cs="Times New Roman"/>
                <w:spacing w:val="-3"/>
                <w:sz w:val="24"/>
                <w:szCs w:val="24"/>
                <w:lang w:val="en-US" w:eastAsia="zh-CN"/>
              </w:rPr>
              <w:t>S的排放系数分别为0.01mg/s·m</w:t>
            </w:r>
            <w:r>
              <w:rPr>
                <w:rFonts w:hint="default" w:ascii="Times New Roman" w:hAnsi="Times New Roman" w:eastAsia="宋体" w:cs="Times New Roman"/>
                <w:spacing w:val="-3"/>
                <w:sz w:val="24"/>
                <w:szCs w:val="24"/>
                <w:vertAlign w:val="superscript"/>
                <w:lang w:val="en-US" w:eastAsia="zh-CN"/>
              </w:rPr>
              <w:t>2</w:t>
            </w:r>
            <w:r>
              <w:rPr>
                <w:rFonts w:hint="default" w:ascii="Times New Roman" w:hAnsi="Times New Roman" w:eastAsia="宋体" w:cs="Times New Roman"/>
                <w:spacing w:val="-3"/>
                <w:sz w:val="24"/>
                <w:szCs w:val="24"/>
                <w:lang w:val="en-US" w:eastAsia="zh-CN"/>
              </w:rPr>
              <w:t>、0.0005mg/s·m</w:t>
            </w:r>
            <w:r>
              <w:rPr>
                <w:rFonts w:hint="default" w:ascii="Times New Roman" w:hAnsi="Times New Roman" w:eastAsia="宋体" w:cs="Times New Roman"/>
                <w:spacing w:val="-3"/>
                <w:sz w:val="24"/>
                <w:szCs w:val="24"/>
                <w:vertAlign w:val="superscript"/>
                <w:lang w:val="en-US" w:eastAsia="zh-CN"/>
              </w:rPr>
              <w:t>2</w:t>
            </w:r>
            <w:r>
              <w:rPr>
                <w:rFonts w:hint="default" w:ascii="Times New Roman" w:hAnsi="Times New Roman" w:eastAsia="宋体" w:cs="Times New Roman"/>
                <w:spacing w:val="-3"/>
                <w:sz w:val="24"/>
                <w:szCs w:val="24"/>
                <w:lang w:val="en-US" w:eastAsia="zh-CN"/>
              </w:rPr>
              <w:t>，臭气浓度约为16（无量纲），喷洒生物除臭剂后除臭率为50%，污水处理设施总面积为368.42m</w:t>
            </w:r>
            <w:r>
              <w:rPr>
                <w:rFonts w:hint="default" w:ascii="Times New Roman" w:hAnsi="Times New Roman" w:eastAsia="宋体" w:cs="Times New Roman"/>
                <w:spacing w:val="-3"/>
                <w:sz w:val="24"/>
                <w:szCs w:val="24"/>
                <w:vertAlign w:val="superscript"/>
                <w:lang w:val="en-US" w:eastAsia="zh-CN"/>
              </w:rPr>
              <w:t>2</w:t>
            </w:r>
            <w:r>
              <w:rPr>
                <w:rFonts w:hint="default" w:ascii="Times New Roman" w:hAnsi="Times New Roman" w:eastAsia="宋体" w:cs="Times New Roman"/>
                <w:spacing w:val="-3"/>
                <w:sz w:val="24"/>
                <w:szCs w:val="24"/>
                <w:vertAlign w:val="baseline"/>
                <w:lang w:val="en-US" w:eastAsia="zh-CN"/>
              </w:rPr>
              <w:t>，污水处理设施运行时间为365天</w:t>
            </w:r>
            <w:r>
              <w:rPr>
                <w:rFonts w:hint="default" w:ascii="Times New Roman" w:hAnsi="Times New Roman" w:eastAsia="宋体" w:cs="Times New Roman"/>
                <w:spacing w:val="-3"/>
                <w:sz w:val="24"/>
                <w:szCs w:val="24"/>
                <w:lang w:val="en-US" w:eastAsia="zh-CN"/>
              </w:rPr>
              <w:t>。污水处理设施NH</w:t>
            </w:r>
            <w:r>
              <w:rPr>
                <w:rFonts w:hint="default" w:ascii="Times New Roman" w:hAnsi="Times New Roman" w:eastAsia="宋体" w:cs="Times New Roman"/>
                <w:spacing w:val="-3"/>
                <w:sz w:val="24"/>
                <w:szCs w:val="24"/>
                <w:vertAlign w:val="subscript"/>
                <w:lang w:val="en-US" w:eastAsia="zh-CN"/>
              </w:rPr>
              <w:t>3</w:t>
            </w:r>
            <w:r>
              <w:rPr>
                <w:rFonts w:hint="default" w:ascii="Times New Roman" w:hAnsi="Times New Roman" w:eastAsia="宋体" w:cs="Times New Roman"/>
                <w:spacing w:val="-3"/>
                <w:sz w:val="24"/>
                <w:szCs w:val="24"/>
                <w:lang w:val="en-US" w:eastAsia="zh-CN"/>
              </w:rPr>
              <w:t>和H</w:t>
            </w:r>
            <w:r>
              <w:rPr>
                <w:rFonts w:hint="default" w:ascii="Times New Roman" w:hAnsi="Times New Roman" w:eastAsia="宋体" w:cs="Times New Roman"/>
                <w:spacing w:val="-3"/>
                <w:sz w:val="24"/>
                <w:szCs w:val="24"/>
                <w:vertAlign w:val="subscript"/>
                <w:lang w:val="en-US" w:eastAsia="zh-CN"/>
              </w:rPr>
              <w:t>2</w:t>
            </w:r>
            <w:r>
              <w:rPr>
                <w:rFonts w:hint="default" w:ascii="Times New Roman" w:hAnsi="Times New Roman" w:eastAsia="宋体" w:cs="Times New Roman"/>
                <w:spacing w:val="-3"/>
                <w:sz w:val="24"/>
                <w:szCs w:val="24"/>
                <w:lang w:val="en-US" w:eastAsia="zh-CN"/>
              </w:rPr>
              <w:t>S产生排放情况见表4-6：</w:t>
            </w:r>
          </w:p>
          <w:p w14:paraId="2D405CE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eastAsia="宋体" w:cs="Times New Roman"/>
                <w:b/>
                <w:bCs/>
                <w:spacing w:val="-3"/>
                <w:sz w:val="21"/>
                <w:szCs w:val="21"/>
                <w:lang w:val="en-US" w:eastAsia="zh-CN"/>
              </w:rPr>
            </w:pPr>
            <w:r>
              <w:rPr>
                <w:rFonts w:hint="default" w:ascii="Times New Roman" w:hAnsi="Times New Roman" w:eastAsia="宋体" w:cs="Times New Roman"/>
                <w:b/>
                <w:bCs/>
                <w:spacing w:val="-3"/>
                <w:sz w:val="21"/>
                <w:szCs w:val="21"/>
                <w:lang w:val="en-US" w:eastAsia="zh-CN"/>
              </w:rPr>
              <w:t>表4-6 污水处理设施恶臭产出情况一览表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821"/>
              <w:gridCol w:w="1278"/>
              <w:gridCol w:w="1114"/>
              <w:gridCol w:w="613"/>
              <w:gridCol w:w="1278"/>
              <w:gridCol w:w="1115"/>
            </w:tblGrid>
            <w:tr w14:paraId="5071A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2" w:type="pct"/>
                  <w:vAlign w:val="center"/>
                </w:tcPr>
                <w:p w14:paraId="2035873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污染物名称</w:t>
                  </w:r>
                </w:p>
              </w:tc>
              <w:tc>
                <w:tcPr>
                  <w:tcW w:w="1149" w:type="pct"/>
                  <w:vAlign w:val="center"/>
                </w:tcPr>
                <w:p w14:paraId="24833F3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污染物排放系数（</w:t>
                  </w:r>
                  <w:r>
                    <w:rPr>
                      <w:rFonts w:hint="default" w:ascii="Times New Roman" w:hAnsi="Times New Roman" w:eastAsia="宋体" w:cs="Times New Roman"/>
                      <w:spacing w:val="-3"/>
                      <w:sz w:val="21"/>
                      <w:szCs w:val="21"/>
                      <w:lang w:val="en-US" w:eastAsia="zh-CN"/>
                    </w:rPr>
                    <w:t>mg/s·m</w:t>
                  </w:r>
                  <w:r>
                    <w:rPr>
                      <w:rFonts w:hint="default" w:ascii="Times New Roman" w:hAnsi="Times New Roman" w:eastAsia="宋体" w:cs="Times New Roman"/>
                      <w:spacing w:val="-3"/>
                      <w:sz w:val="21"/>
                      <w:szCs w:val="21"/>
                      <w:vertAlign w:val="superscript"/>
                      <w:lang w:val="en-US" w:eastAsia="zh-CN"/>
                    </w:rPr>
                    <w:t>2</w:t>
                  </w:r>
                  <w:r>
                    <w:rPr>
                      <w:rFonts w:hint="default" w:ascii="Times New Roman" w:hAnsi="Times New Roman" w:eastAsia="宋体" w:cs="Times New Roman"/>
                      <w:spacing w:val="-3"/>
                      <w:sz w:val="21"/>
                      <w:szCs w:val="21"/>
                      <w:lang w:val="en-US" w:eastAsia="zh-CN"/>
                    </w:rPr>
                    <w:t>）</w:t>
                  </w:r>
                </w:p>
              </w:tc>
              <w:tc>
                <w:tcPr>
                  <w:tcW w:w="806" w:type="pct"/>
                  <w:vAlign w:val="center"/>
                </w:tcPr>
                <w:p w14:paraId="612EF4F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产生速率（kg/h）</w:t>
                  </w:r>
                </w:p>
              </w:tc>
              <w:tc>
                <w:tcPr>
                  <w:tcW w:w="703" w:type="pct"/>
                  <w:vAlign w:val="center"/>
                </w:tcPr>
                <w:p w14:paraId="34E3B7A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产生量（t/a）</w:t>
                  </w:r>
                </w:p>
              </w:tc>
              <w:tc>
                <w:tcPr>
                  <w:tcW w:w="387" w:type="pct"/>
                  <w:vAlign w:val="center"/>
                </w:tcPr>
                <w:p w14:paraId="108995B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去除率</w:t>
                  </w:r>
                </w:p>
              </w:tc>
              <w:tc>
                <w:tcPr>
                  <w:tcW w:w="806" w:type="pct"/>
                  <w:vAlign w:val="center"/>
                </w:tcPr>
                <w:p w14:paraId="494FA37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排放速率（kg/h）</w:t>
                  </w:r>
                </w:p>
              </w:tc>
              <w:tc>
                <w:tcPr>
                  <w:tcW w:w="703" w:type="pct"/>
                  <w:vAlign w:val="center"/>
                </w:tcPr>
                <w:p w14:paraId="3D143B4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排放量（t/a）</w:t>
                  </w:r>
                </w:p>
              </w:tc>
            </w:tr>
            <w:tr w14:paraId="5AA12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2" w:type="pct"/>
                  <w:vAlign w:val="center"/>
                </w:tcPr>
                <w:p w14:paraId="41EEA2A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NH</w:t>
                  </w:r>
                  <w:r>
                    <w:rPr>
                      <w:rFonts w:hint="default" w:ascii="Times New Roman" w:hAnsi="Times New Roman" w:eastAsia="宋体" w:cs="Times New Roman"/>
                      <w:spacing w:val="-3"/>
                      <w:sz w:val="21"/>
                      <w:szCs w:val="21"/>
                      <w:vertAlign w:val="subscript"/>
                      <w:lang w:val="en-US" w:eastAsia="zh-CN"/>
                    </w:rPr>
                    <w:t>3</w:t>
                  </w:r>
                </w:p>
              </w:tc>
              <w:tc>
                <w:tcPr>
                  <w:tcW w:w="1149" w:type="pct"/>
                  <w:vAlign w:val="center"/>
                </w:tcPr>
                <w:p w14:paraId="355DA51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0.01</w:t>
                  </w:r>
                </w:p>
              </w:tc>
              <w:tc>
                <w:tcPr>
                  <w:tcW w:w="806" w:type="pct"/>
                  <w:vAlign w:val="center"/>
                </w:tcPr>
                <w:p w14:paraId="61FD643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0.01326</w:t>
                  </w:r>
                </w:p>
              </w:tc>
              <w:tc>
                <w:tcPr>
                  <w:tcW w:w="703" w:type="pct"/>
                  <w:vAlign w:val="center"/>
                </w:tcPr>
                <w:p w14:paraId="155F810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0.11616</w:t>
                  </w:r>
                </w:p>
              </w:tc>
              <w:tc>
                <w:tcPr>
                  <w:tcW w:w="387" w:type="pct"/>
                  <w:vAlign w:val="center"/>
                </w:tcPr>
                <w:p w14:paraId="3405434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50%</w:t>
                  </w:r>
                </w:p>
              </w:tc>
              <w:tc>
                <w:tcPr>
                  <w:tcW w:w="806" w:type="pct"/>
                  <w:vAlign w:val="center"/>
                </w:tcPr>
                <w:p w14:paraId="1A80653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0.00663</w:t>
                  </w:r>
                </w:p>
              </w:tc>
              <w:tc>
                <w:tcPr>
                  <w:tcW w:w="703" w:type="pct"/>
                  <w:vAlign w:val="center"/>
                </w:tcPr>
                <w:p w14:paraId="6F0A051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0.05808</w:t>
                  </w:r>
                </w:p>
              </w:tc>
            </w:tr>
            <w:tr w14:paraId="00724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42" w:type="pct"/>
                  <w:vAlign w:val="center"/>
                </w:tcPr>
                <w:p w14:paraId="04DA904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H</w:t>
                  </w:r>
                  <w:r>
                    <w:rPr>
                      <w:rFonts w:hint="default" w:ascii="Times New Roman" w:hAnsi="Times New Roman" w:eastAsia="宋体" w:cs="Times New Roman"/>
                      <w:spacing w:val="-3"/>
                      <w:sz w:val="21"/>
                      <w:szCs w:val="21"/>
                      <w:vertAlign w:val="subscript"/>
                      <w:lang w:val="en-US" w:eastAsia="zh-CN"/>
                    </w:rPr>
                    <w:t>2</w:t>
                  </w:r>
                  <w:r>
                    <w:rPr>
                      <w:rFonts w:hint="default" w:ascii="Times New Roman" w:hAnsi="Times New Roman" w:eastAsia="宋体" w:cs="Times New Roman"/>
                      <w:spacing w:val="-3"/>
                      <w:sz w:val="21"/>
                      <w:szCs w:val="21"/>
                      <w:vertAlign w:val="baseline"/>
                      <w:lang w:val="en-US" w:eastAsia="zh-CN"/>
                    </w:rPr>
                    <w:t>S</w:t>
                  </w:r>
                </w:p>
              </w:tc>
              <w:tc>
                <w:tcPr>
                  <w:tcW w:w="1149" w:type="pct"/>
                  <w:vAlign w:val="center"/>
                </w:tcPr>
                <w:p w14:paraId="63DD2EA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0.0005</w:t>
                  </w:r>
                </w:p>
              </w:tc>
              <w:tc>
                <w:tcPr>
                  <w:tcW w:w="806" w:type="pct"/>
                  <w:vAlign w:val="center"/>
                </w:tcPr>
                <w:p w14:paraId="5F7ED12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0.00066</w:t>
                  </w:r>
                </w:p>
              </w:tc>
              <w:tc>
                <w:tcPr>
                  <w:tcW w:w="703" w:type="pct"/>
                  <w:vAlign w:val="center"/>
                </w:tcPr>
                <w:p w14:paraId="498A4ED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0.00578</w:t>
                  </w:r>
                </w:p>
              </w:tc>
              <w:tc>
                <w:tcPr>
                  <w:tcW w:w="387" w:type="pct"/>
                  <w:vAlign w:val="center"/>
                </w:tcPr>
                <w:p w14:paraId="11C95B9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50%</w:t>
                  </w:r>
                </w:p>
              </w:tc>
              <w:tc>
                <w:tcPr>
                  <w:tcW w:w="806" w:type="pct"/>
                  <w:vAlign w:val="center"/>
                </w:tcPr>
                <w:p w14:paraId="4203FCD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0.00</w:t>
                  </w:r>
                  <w:r>
                    <w:rPr>
                      <w:rFonts w:hint="default" w:ascii="Times New Roman" w:hAnsi="Times New Roman" w:cs="Times New Roman"/>
                      <w:spacing w:val="-3"/>
                      <w:sz w:val="21"/>
                      <w:szCs w:val="21"/>
                      <w:vertAlign w:val="baseline"/>
                      <w:lang w:val="en-US" w:eastAsia="zh-CN"/>
                    </w:rPr>
                    <w:t>033</w:t>
                  </w:r>
                </w:p>
              </w:tc>
              <w:tc>
                <w:tcPr>
                  <w:tcW w:w="703" w:type="pct"/>
                  <w:vAlign w:val="center"/>
                </w:tcPr>
                <w:p w14:paraId="2F0D848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pacing w:val="-3"/>
                      <w:sz w:val="21"/>
                      <w:szCs w:val="21"/>
                      <w:vertAlign w:val="baseline"/>
                      <w:lang w:val="en-US" w:eastAsia="zh-CN"/>
                    </w:rPr>
                  </w:pPr>
                  <w:r>
                    <w:rPr>
                      <w:rFonts w:hint="default" w:ascii="Times New Roman" w:hAnsi="Times New Roman" w:eastAsia="宋体" w:cs="Times New Roman"/>
                      <w:spacing w:val="-3"/>
                      <w:sz w:val="21"/>
                      <w:szCs w:val="21"/>
                      <w:vertAlign w:val="baseline"/>
                      <w:lang w:val="en-US" w:eastAsia="zh-CN"/>
                    </w:rPr>
                    <w:t>0.00289</w:t>
                  </w:r>
                </w:p>
              </w:tc>
            </w:tr>
          </w:tbl>
          <w:p w14:paraId="7439240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spacing w:val="-3"/>
                <w:lang w:val="en-US" w:eastAsia="zh-CN"/>
              </w:rPr>
            </w:pPr>
            <w:r>
              <w:rPr>
                <w:rFonts w:hint="default" w:ascii="Times New Roman" w:hAnsi="Times New Roman" w:cs="Times New Roman"/>
                <w:spacing w:val="-3"/>
                <w:lang w:val="en-US" w:eastAsia="zh-CN"/>
              </w:rPr>
              <w:t>治理措施：格栅池、气浮池、水解酸化池、生物接触氧化池、沉淀池及化粪池等采取加盖密封处理；定期喷洒生物除臭剂除臭。</w:t>
            </w:r>
          </w:p>
          <w:p w14:paraId="3A30F84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bCs/>
                <w:spacing w:val="-3"/>
                <w:lang w:val="en-US" w:eastAsia="zh-CN"/>
              </w:rPr>
            </w:pPr>
            <w:r>
              <w:rPr>
                <w:rFonts w:hint="default" w:ascii="Times New Roman" w:hAnsi="Times New Roman" w:cs="Times New Roman"/>
                <w:b w:val="0"/>
                <w:bCs w:val="0"/>
                <w:spacing w:val="-3"/>
                <w:lang w:val="en-US" w:eastAsia="zh-CN"/>
              </w:rPr>
              <w:t>（3）达标排放及环境影响分析：</w:t>
            </w:r>
          </w:p>
          <w:p w14:paraId="417091D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项目所在区域为达标区，项目周边以林地为主。根据上述工程分析，本项目各废气拟采取的污染防治工艺成熟、运行稳定、处理效果良好，污染物均可做到达标排放，且属于排污许可规范推荐的技术，具备技术可行性。</w:t>
            </w:r>
          </w:p>
          <w:p w14:paraId="305886E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（4）恶臭气体对周边敏感目标的影响分析</w:t>
            </w:r>
          </w:p>
          <w:p w14:paraId="32ED6BA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本项目选址位于南岳区南岳镇烧田村上粮组，项目所在区域大气环境质量现状良好。项目周边500m范围内存在衡阳安荣精神病医院、店门中学、店门镇中心完小等大气环境保护目标，距离项目最近的敏感点为西北侧37m处一户居民。本项目场区与各方向的敏感目标均存在山体树木阻断，且树林植被茂密高大，对臭气</w:t>
            </w:r>
            <w:r>
              <w:rPr>
                <w:rFonts w:hint="eastAsia" w:cs="Times New Roman"/>
                <w:b w:val="0"/>
                <w:bCs w:val="0"/>
                <w:spacing w:val="-3"/>
                <w:lang w:val="en-US" w:eastAsia="zh-CN"/>
              </w:rPr>
              <w:t>有</w:t>
            </w:r>
            <w:r>
              <w:rPr>
                <w:rFonts w:hint="default" w:ascii="Times New Roman" w:hAnsi="Times New Roman" w:cs="Times New Roman"/>
                <w:b w:val="0"/>
                <w:bCs w:val="0"/>
                <w:spacing w:val="-3"/>
                <w:lang w:val="en-US" w:eastAsia="zh-CN"/>
              </w:rPr>
              <w:t>一定的净化吸附作用。</w:t>
            </w:r>
          </w:p>
          <w:p w14:paraId="4160E60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且建设单位也会采取相应的除臭措施。项目运营期主要废气为屠宰生产线和污水处理站排放的恶臭气体，通过喷洒生物除臭剂，污水处理站采取密闭设计，可有效减少其排放量，同时在场区周边种植树木绿化隔离带，可有效吸引恶臭气体发散量，减少对周边环境的影响。同时项目运营后应当按照相关监测规范进行自行监测，保障各项污染物达标排放。</w:t>
            </w:r>
          </w:p>
          <w:p w14:paraId="235DDE0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（5）废气污染物排放源汇总</w:t>
            </w:r>
          </w:p>
          <w:p w14:paraId="239D734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eastAsia="宋体" w:cs="Times New Roman"/>
                <w:b/>
                <w:bCs/>
                <w:spacing w:val="-3"/>
                <w:sz w:val="21"/>
                <w:szCs w:val="21"/>
                <w:lang w:val="en-US" w:eastAsia="zh-CN"/>
              </w:rPr>
            </w:pPr>
            <w:r>
              <w:rPr>
                <w:rFonts w:hint="default" w:ascii="Times New Roman" w:hAnsi="Times New Roman" w:eastAsia="宋体" w:cs="Times New Roman"/>
                <w:b/>
                <w:bCs/>
                <w:spacing w:val="-3"/>
                <w:sz w:val="21"/>
                <w:szCs w:val="21"/>
                <w:lang w:val="en-US" w:eastAsia="zh-CN"/>
              </w:rPr>
              <w:t>表4-7 废气污染物排放源汇总一览表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575"/>
              <w:gridCol w:w="801"/>
              <w:gridCol w:w="852"/>
              <w:gridCol w:w="736"/>
              <w:gridCol w:w="1371"/>
              <w:gridCol w:w="801"/>
              <w:gridCol w:w="833"/>
              <w:gridCol w:w="773"/>
              <w:gridCol w:w="507"/>
            </w:tblGrid>
            <w:tr w14:paraId="73174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71" w:type="dxa"/>
                  <w:vMerge w:val="restart"/>
                  <w:vAlign w:val="center"/>
                </w:tcPr>
                <w:p w14:paraId="4164BAD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污染源</w:t>
                  </w:r>
                </w:p>
              </w:tc>
              <w:tc>
                <w:tcPr>
                  <w:tcW w:w="575" w:type="dxa"/>
                  <w:vMerge w:val="restart"/>
                  <w:vAlign w:val="center"/>
                </w:tcPr>
                <w:p w14:paraId="4994812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污染因子</w:t>
                  </w:r>
                </w:p>
              </w:tc>
              <w:tc>
                <w:tcPr>
                  <w:tcW w:w="2389" w:type="dxa"/>
                  <w:gridSpan w:val="3"/>
                  <w:vAlign w:val="center"/>
                </w:tcPr>
                <w:p w14:paraId="6FFC011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产生情况</w:t>
                  </w:r>
                </w:p>
              </w:tc>
              <w:tc>
                <w:tcPr>
                  <w:tcW w:w="1371" w:type="dxa"/>
                  <w:vMerge w:val="restart"/>
                  <w:vAlign w:val="center"/>
                </w:tcPr>
                <w:p w14:paraId="0B87470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kern w:val="21"/>
                      <w:sz w:val="18"/>
                      <w:szCs w:val="18"/>
                    </w:rPr>
                    <w:t>治理措施</w:t>
                  </w:r>
                  <w:r>
                    <w:rPr>
                      <w:rFonts w:hint="default" w:ascii="Times New Roman" w:hAnsi="Times New Roman" w:eastAsia="宋体" w:cs="Times New Roman"/>
                      <w:color w:val="000000"/>
                      <w:kern w:val="21"/>
                      <w:sz w:val="18"/>
                      <w:szCs w:val="18"/>
                      <w:lang w:val="en-US" w:eastAsia="zh-CN"/>
                    </w:rPr>
                    <w:t>及处理效率</w:t>
                  </w:r>
                </w:p>
              </w:tc>
              <w:tc>
                <w:tcPr>
                  <w:tcW w:w="2407" w:type="dxa"/>
                  <w:gridSpan w:val="3"/>
                  <w:vAlign w:val="center"/>
                </w:tcPr>
                <w:p w14:paraId="7C9C4E6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排放情况</w:t>
                  </w:r>
                </w:p>
              </w:tc>
              <w:tc>
                <w:tcPr>
                  <w:tcW w:w="507" w:type="dxa"/>
                  <w:vMerge w:val="restart"/>
                  <w:vAlign w:val="center"/>
                </w:tcPr>
                <w:p w14:paraId="0CED9D3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是否为可行技术</w:t>
                  </w:r>
                </w:p>
              </w:tc>
            </w:tr>
            <w:tr w14:paraId="49AEA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1" w:type="dxa"/>
                  <w:vMerge w:val="continue"/>
                  <w:vAlign w:val="center"/>
                </w:tcPr>
                <w:p w14:paraId="79EA76C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18"/>
                      <w:szCs w:val="18"/>
                    </w:rPr>
                  </w:pPr>
                </w:p>
              </w:tc>
              <w:tc>
                <w:tcPr>
                  <w:tcW w:w="575" w:type="dxa"/>
                  <w:vMerge w:val="continue"/>
                  <w:vAlign w:val="center"/>
                </w:tcPr>
                <w:p w14:paraId="71A08872">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18"/>
                      <w:szCs w:val="18"/>
                    </w:rPr>
                  </w:pPr>
                </w:p>
              </w:tc>
              <w:tc>
                <w:tcPr>
                  <w:tcW w:w="801" w:type="dxa"/>
                  <w:vAlign w:val="center"/>
                </w:tcPr>
                <w:p w14:paraId="1C7E984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产生量t/a</w:t>
                  </w:r>
                </w:p>
              </w:tc>
              <w:tc>
                <w:tcPr>
                  <w:tcW w:w="852" w:type="dxa"/>
                  <w:vAlign w:val="center"/>
                </w:tcPr>
                <w:p w14:paraId="6A2779F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产生速率kg/h</w:t>
                  </w:r>
                </w:p>
              </w:tc>
              <w:tc>
                <w:tcPr>
                  <w:tcW w:w="736" w:type="dxa"/>
                  <w:vAlign w:val="center"/>
                </w:tcPr>
                <w:p w14:paraId="2220AD48">
                  <w:pPr>
                    <w:keepNext w:val="0"/>
                    <w:keepLines w:val="0"/>
                    <w:pageBreakBefore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color w:val="000000"/>
                      <w:sz w:val="18"/>
                      <w:szCs w:val="18"/>
                    </w:rPr>
                  </w:pPr>
                  <w:r>
                    <w:rPr>
                      <w:rFonts w:hint="default" w:ascii="Times New Roman" w:hAnsi="Times New Roman" w:eastAsia="宋体" w:cs="Times New Roman"/>
                      <w:color w:val="000000"/>
                      <w:sz w:val="18"/>
                      <w:szCs w:val="18"/>
                    </w:rPr>
                    <w:t>产生</w:t>
                  </w:r>
                </w:p>
                <w:p w14:paraId="05B596D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浓度mg/m</w:t>
                  </w:r>
                  <w:r>
                    <w:rPr>
                      <w:rFonts w:hint="default" w:ascii="Times New Roman" w:hAnsi="Times New Roman" w:eastAsia="宋体" w:cs="Times New Roman"/>
                      <w:color w:val="000000"/>
                      <w:sz w:val="18"/>
                      <w:szCs w:val="18"/>
                      <w:vertAlign w:val="superscript"/>
                    </w:rPr>
                    <w:t>3</w:t>
                  </w:r>
                </w:p>
              </w:tc>
              <w:tc>
                <w:tcPr>
                  <w:tcW w:w="1371" w:type="dxa"/>
                  <w:vMerge w:val="continue"/>
                  <w:vAlign w:val="center"/>
                </w:tcPr>
                <w:p w14:paraId="2241E45C">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p>
              </w:tc>
              <w:tc>
                <w:tcPr>
                  <w:tcW w:w="801" w:type="dxa"/>
                  <w:vAlign w:val="center"/>
                </w:tcPr>
                <w:p w14:paraId="3FE7627F">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排放量t/a</w:t>
                  </w:r>
                </w:p>
              </w:tc>
              <w:tc>
                <w:tcPr>
                  <w:tcW w:w="833" w:type="dxa"/>
                  <w:vAlign w:val="center"/>
                </w:tcPr>
                <w:p w14:paraId="6EB4EA75">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排放</w:t>
                  </w:r>
                  <w:r>
                    <w:rPr>
                      <w:rFonts w:hint="default" w:ascii="Times New Roman" w:hAnsi="Times New Roman" w:cs="Times New Roman"/>
                      <w:color w:val="000000"/>
                      <w:sz w:val="18"/>
                      <w:szCs w:val="18"/>
                      <w:lang w:val="en-US" w:eastAsia="zh-CN"/>
                    </w:rPr>
                    <w:t>速率kg/h</w:t>
                  </w:r>
                </w:p>
              </w:tc>
              <w:tc>
                <w:tcPr>
                  <w:tcW w:w="773" w:type="dxa"/>
                  <w:vAlign w:val="center"/>
                </w:tcPr>
                <w:p w14:paraId="13ABFC7C">
                  <w:pPr>
                    <w:keepNext w:val="0"/>
                    <w:keepLines w:val="0"/>
                    <w:pageBreakBefore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排放浓度mg/m</w:t>
                  </w:r>
                  <w:r>
                    <w:rPr>
                      <w:rFonts w:hint="default" w:ascii="Times New Roman" w:hAnsi="Times New Roman" w:eastAsia="宋体" w:cs="Times New Roman"/>
                      <w:color w:val="000000"/>
                      <w:sz w:val="18"/>
                      <w:szCs w:val="18"/>
                      <w:vertAlign w:val="superscript"/>
                    </w:rPr>
                    <w:t>3</w:t>
                  </w:r>
                </w:p>
              </w:tc>
              <w:tc>
                <w:tcPr>
                  <w:tcW w:w="507" w:type="dxa"/>
                  <w:vMerge w:val="continue"/>
                  <w:vAlign w:val="center"/>
                </w:tcPr>
                <w:p w14:paraId="03FC4761">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p>
              </w:tc>
            </w:tr>
            <w:tr w14:paraId="14B93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671" w:type="dxa"/>
                  <w:vMerge w:val="restart"/>
                  <w:vAlign w:val="center"/>
                </w:tcPr>
                <w:p w14:paraId="6AD8744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屠宰车间、存栏舍</w:t>
                  </w:r>
                </w:p>
              </w:tc>
              <w:tc>
                <w:tcPr>
                  <w:tcW w:w="575" w:type="dxa"/>
                  <w:vAlign w:val="center"/>
                </w:tcPr>
                <w:p w14:paraId="0DCFC43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color w:val="000000"/>
                      <w:sz w:val="18"/>
                      <w:szCs w:val="18"/>
                    </w:rPr>
                    <w:t>NH</w:t>
                  </w:r>
                  <w:r>
                    <w:rPr>
                      <w:rFonts w:hint="default" w:ascii="Times New Roman" w:hAnsi="Times New Roman" w:eastAsia="宋体" w:cs="Times New Roman"/>
                      <w:color w:val="000000"/>
                      <w:sz w:val="18"/>
                      <w:szCs w:val="18"/>
                      <w:vertAlign w:val="subscript"/>
                    </w:rPr>
                    <w:t>3</w:t>
                  </w:r>
                </w:p>
              </w:tc>
              <w:tc>
                <w:tcPr>
                  <w:tcW w:w="801" w:type="dxa"/>
                  <w:vAlign w:val="center"/>
                </w:tcPr>
                <w:p w14:paraId="3C794A6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0.01095</w:t>
                  </w:r>
                </w:p>
              </w:tc>
              <w:tc>
                <w:tcPr>
                  <w:tcW w:w="852" w:type="dxa"/>
                  <w:vAlign w:val="center"/>
                </w:tcPr>
                <w:p w14:paraId="7D4EC5E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0.00125</w:t>
                  </w:r>
                </w:p>
              </w:tc>
              <w:tc>
                <w:tcPr>
                  <w:tcW w:w="736" w:type="dxa"/>
                  <w:vAlign w:val="center"/>
                </w:tcPr>
                <w:p w14:paraId="2D9E5BC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1371" w:type="dxa"/>
                  <w:vMerge w:val="restart"/>
                  <w:vAlign w:val="center"/>
                </w:tcPr>
                <w:p w14:paraId="39BC847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喷洒除臭剂、通风、保洁、清洗等措施（氨气的去除率取40%，硫化氢的去除率取70%）</w:t>
                  </w:r>
                </w:p>
              </w:tc>
              <w:tc>
                <w:tcPr>
                  <w:tcW w:w="801" w:type="dxa"/>
                  <w:vAlign w:val="center"/>
                </w:tcPr>
                <w:p w14:paraId="1E8ED1C1">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0.00657</w:t>
                  </w:r>
                </w:p>
              </w:tc>
              <w:tc>
                <w:tcPr>
                  <w:tcW w:w="833" w:type="dxa"/>
                  <w:vAlign w:val="center"/>
                </w:tcPr>
                <w:p w14:paraId="63FC170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0.00075</w:t>
                  </w:r>
                </w:p>
              </w:tc>
              <w:tc>
                <w:tcPr>
                  <w:tcW w:w="773" w:type="dxa"/>
                  <w:vAlign w:val="center"/>
                </w:tcPr>
                <w:p w14:paraId="7CD755D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507" w:type="dxa"/>
                  <w:vAlign w:val="center"/>
                </w:tcPr>
                <w:p w14:paraId="3D0A665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是</w:t>
                  </w:r>
                </w:p>
              </w:tc>
            </w:tr>
            <w:tr w14:paraId="3C54F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1" w:type="dxa"/>
                  <w:vMerge w:val="continue"/>
                  <w:vAlign w:val="center"/>
                </w:tcPr>
                <w:p w14:paraId="1B46735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p>
              </w:tc>
              <w:tc>
                <w:tcPr>
                  <w:tcW w:w="575" w:type="dxa"/>
                  <w:vAlign w:val="center"/>
                </w:tcPr>
                <w:p w14:paraId="241B6DE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H</w:t>
                  </w:r>
                  <w:r>
                    <w:rPr>
                      <w:rFonts w:hint="default" w:ascii="Times New Roman" w:hAnsi="Times New Roman" w:eastAsia="宋体" w:cs="Times New Roman"/>
                      <w:color w:val="000000"/>
                      <w:sz w:val="18"/>
                      <w:szCs w:val="18"/>
                      <w:vertAlign w:val="subscript"/>
                    </w:rPr>
                    <w:t>2</w:t>
                  </w:r>
                  <w:r>
                    <w:rPr>
                      <w:rFonts w:hint="default" w:ascii="Times New Roman" w:hAnsi="Times New Roman" w:eastAsia="宋体" w:cs="Times New Roman"/>
                      <w:color w:val="000000"/>
                      <w:sz w:val="18"/>
                      <w:szCs w:val="18"/>
                    </w:rPr>
                    <w:t>S</w:t>
                  </w:r>
                </w:p>
              </w:tc>
              <w:tc>
                <w:tcPr>
                  <w:tcW w:w="801" w:type="dxa"/>
                  <w:vAlign w:val="center"/>
                </w:tcPr>
                <w:p w14:paraId="01BC368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0.00096</w:t>
                  </w:r>
                </w:p>
              </w:tc>
              <w:tc>
                <w:tcPr>
                  <w:tcW w:w="852" w:type="dxa"/>
                  <w:vAlign w:val="center"/>
                </w:tcPr>
                <w:p w14:paraId="71973C6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0.00011</w:t>
                  </w:r>
                </w:p>
              </w:tc>
              <w:tc>
                <w:tcPr>
                  <w:tcW w:w="736" w:type="dxa"/>
                  <w:vAlign w:val="center"/>
                </w:tcPr>
                <w:p w14:paraId="33A2E73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1371" w:type="dxa"/>
                  <w:vMerge w:val="continue"/>
                  <w:vAlign w:val="center"/>
                </w:tcPr>
                <w:p w14:paraId="6BBC5B56">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p>
              </w:tc>
              <w:tc>
                <w:tcPr>
                  <w:tcW w:w="801" w:type="dxa"/>
                  <w:vAlign w:val="center"/>
                </w:tcPr>
                <w:p w14:paraId="6011A43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0.00029</w:t>
                  </w:r>
                </w:p>
              </w:tc>
              <w:tc>
                <w:tcPr>
                  <w:tcW w:w="833" w:type="dxa"/>
                  <w:vAlign w:val="center"/>
                </w:tcPr>
                <w:p w14:paraId="142DF1A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0.00003</w:t>
                  </w:r>
                </w:p>
              </w:tc>
              <w:tc>
                <w:tcPr>
                  <w:tcW w:w="773" w:type="dxa"/>
                  <w:vAlign w:val="center"/>
                </w:tcPr>
                <w:p w14:paraId="397E5B9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507" w:type="dxa"/>
                  <w:vAlign w:val="center"/>
                </w:tcPr>
                <w:p w14:paraId="183CA58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是</w:t>
                  </w:r>
                </w:p>
              </w:tc>
            </w:tr>
            <w:tr w14:paraId="6E10A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671" w:type="dxa"/>
                  <w:vMerge w:val="restart"/>
                  <w:vAlign w:val="center"/>
                </w:tcPr>
                <w:p w14:paraId="48308E3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污水处理设施</w:t>
                  </w:r>
                </w:p>
              </w:tc>
              <w:tc>
                <w:tcPr>
                  <w:tcW w:w="575" w:type="dxa"/>
                  <w:vAlign w:val="center"/>
                </w:tcPr>
                <w:p w14:paraId="554B017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NH</w:t>
                  </w:r>
                  <w:r>
                    <w:rPr>
                      <w:rFonts w:hint="default" w:ascii="Times New Roman" w:hAnsi="Times New Roman" w:eastAsia="宋体" w:cs="Times New Roman"/>
                      <w:color w:val="000000"/>
                      <w:sz w:val="18"/>
                      <w:szCs w:val="18"/>
                      <w:vertAlign w:val="subscript"/>
                    </w:rPr>
                    <w:t>3</w:t>
                  </w:r>
                </w:p>
              </w:tc>
              <w:tc>
                <w:tcPr>
                  <w:tcW w:w="801" w:type="dxa"/>
                  <w:vAlign w:val="center"/>
                </w:tcPr>
                <w:p w14:paraId="0592389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0.11616</w:t>
                  </w:r>
                </w:p>
              </w:tc>
              <w:tc>
                <w:tcPr>
                  <w:tcW w:w="852" w:type="dxa"/>
                  <w:vAlign w:val="center"/>
                </w:tcPr>
                <w:p w14:paraId="0AA2FDC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0.01326</w:t>
                  </w:r>
                </w:p>
              </w:tc>
              <w:tc>
                <w:tcPr>
                  <w:tcW w:w="736" w:type="dxa"/>
                  <w:vAlign w:val="center"/>
                </w:tcPr>
                <w:p w14:paraId="5A06F51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1371" w:type="dxa"/>
                  <w:vMerge w:val="restart"/>
                  <w:vAlign w:val="center"/>
                </w:tcPr>
                <w:p w14:paraId="6B337AD1">
                  <w:pPr>
                    <w:keepNext w:val="0"/>
                    <w:keepLines w:val="0"/>
                    <w:pageBreakBefore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各污水处理池封闭；固废脱水处理后密闭暂存，喷洒除臭剂</w:t>
                  </w:r>
                  <w:r>
                    <w:rPr>
                      <w:rFonts w:hint="default" w:ascii="Times New Roman" w:hAnsi="Times New Roman" w:eastAsia="宋体" w:cs="Times New Roman"/>
                      <w:color w:val="000000"/>
                      <w:sz w:val="18"/>
                      <w:szCs w:val="18"/>
                      <w:lang w:eastAsia="zh-CN"/>
                    </w:rPr>
                    <w:t>（</w:t>
                  </w:r>
                  <w:r>
                    <w:rPr>
                      <w:rFonts w:hint="default" w:ascii="Times New Roman" w:hAnsi="Times New Roman" w:eastAsia="宋体" w:cs="Times New Roman"/>
                      <w:color w:val="000000"/>
                      <w:sz w:val="18"/>
                      <w:szCs w:val="18"/>
                      <w:lang w:val="en-US" w:eastAsia="zh-CN"/>
                    </w:rPr>
                    <w:t>废气处理率</w:t>
                  </w:r>
                  <w:r>
                    <w:rPr>
                      <w:rFonts w:hint="default" w:ascii="Times New Roman" w:hAnsi="Times New Roman" w:eastAsia="宋体" w:cs="Times New Roman"/>
                      <w:color w:val="000000"/>
                      <w:sz w:val="18"/>
                      <w:szCs w:val="18"/>
                      <w:lang w:eastAsia="zh-CN"/>
                    </w:rPr>
                    <w:t>为50%）</w:t>
                  </w:r>
                </w:p>
              </w:tc>
              <w:tc>
                <w:tcPr>
                  <w:tcW w:w="801" w:type="dxa"/>
                  <w:vAlign w:val="center"/>
                </w:tcPr>
                <w:p w14:paraId="0F9E541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0.05828</w:t>
                  </w:r>
                </w:p>
              </w:tc>
              <w:tc>
                <w:tcPr>
                  <w:tcW w:w="833" w:type="dxa"/>
                  <w:vAlign w:val="center"/>
                </w:tcPr>
                <w:p w14:paraId="6E9772E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0.00663</w:t>
                  </w:r>
                </w:p>
              </w:tc>
              <w:tc>
                <w:tcPr>
                  <w:tcW w:w="773" w:type="dxa"/>
                  <w:vAlign w:val="center"/>
                </w:tcPr>
                <w:p w14:paraId="61D59AC0">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507" w:type="dxa"/>
                  <w:vAlign w:val="center"/>
                </w:tcPr>
                <w:p w14:paraId="03422BAB">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是</w:t>
                  </w:r>
                </w:p>
              </w:tc>
            </w:tr>
            <w:tr w14:paraId="088FF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1" w:type="dxa"/>
                  <w:vMerge w:val="continue"/>
                  <w:vAlign w:val="center"/>
                </w:tcPr>
                <w:p w14:paraId="092EA52F">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p>
              </w:tc>
              <w:tc>
                <w:tcPr>
                  <w:tcW w:w="575" w:type="dxa"/>
                  <w:vAlign w:val="center"/>
                </w:tcPr>
                <w:p w14:paraId="7C76F065">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color w:val="000000"/>
                      <w:sz w:val="18"/>
                      <w:szCs w:val="18"/>
                    </w:rPr>
                    <w:t>H</w:t>
                  </w:r>
                  <w:r>
                    <w:rPr>
                      <w:rFonts w:hint="default" w:ascii="Times New Roman" w:hAnsi="Times New Roman" w:eastAsia="宋体" w:cs="Times New Roman"/>
                      <w:color w:val="000000"/>
                      <w:sz w:val="18"/>
                      <w:szCs w:val="18"/>
                      <w:vertAlign w:val="subscript"/>
                    </w:rPr>
                    <w:t>2</w:t>
                  </w:r>
                  <w:r>
                    <w:rPr>
                      <w:rFonts w:hint="default" w:ascii="Times New Roman" w:hAnsi="Times New Roman" w:eastAsia="宋体" w:cs="Times New Roman"/>
                      <w:color w:val="000000"/>
                      <w:sz w:val="18"/>
                      <w:szCs w:val="18"/>
                    </w:rPr>
                    <w:t>S</w:t>
                  </w:r>
                </w:p>
              </w:tc>
              <w:tc>
                <w:tcPr>
                  <w:tcW w:w="801" w:type="dxa"/>
                  <w:vAlign w:val="center"/>
                </w:tcPr>
                <w:p w14:paraId="6D313E5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0.00578</w:t>
                  </w:r>
                </w:p>
              </w:tc>
              <w:tc>
                <w:tcPr>
                  <w:tcW w:w="852" w:type="dxa"/>
                  <w:vAlign w:val="center"/>
                </w:tcPr>
                <w:p w14:paraId="118E4B29">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0.00066</w:t>
                  </w:r>
                </w:p>
              </w:tc>
              <w:tc>
                <w:tcPr>
                  <w:tcW w:w="736" w:type="dxa"/>
                  <w:vAlign w:val="center"/>
                </w:tcPr>
                <w:p w14:paraId="657B6908">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1371" w:type="dxa"/>
                  <w:vMerge w:val="continue"/>
                  <w:vAlign w:val="center"/>
                </w:tcPr>
                <w:p w14:paraId="52628AC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p>
              </w:tc>
              <w:tc>
                <w:tcPr>
                  <w:tcW w:w="801" w:type="dxa"/>
                  <w:vAlign w:val="center"/>
                </w:tcPr>
                <w:p w14:paraId="0382037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0.00289</w:t>
                  </w:r>
                </w:p>
              </w:tc>
              <w:tc>
                <w:tcPr>
                  <w:tcW w:w="833" w:type="dxa"/>
                  <w:vAlign w:val="center"/>
                </w:tcPr>
                <w:p w14:paraId="36B50027">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0.00289</w:t>
                  </w:r>
                </w:p>
              </w:tc>
              <w:tc>
                <w:tcPr>
                  <w:tcW w:w="773" w:type="dxa"/>
                  <w:vAlign w:val="center"/>
                </w:tcPr>
                <w:p w14:paraId="2434910A">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w:t>
                  </w:r>
                </w:p>
              </w:tc>
              <w:tc>
                <w:tcPr>
                  <w:tcW w:w="507" w:type="dxa"/>
                  <w:vAlign w:val="center"/>
                </w:tcPr>
                <w:p w14:paraId="7515D14D">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eastAsia="宋体" w:cs="Times New Roman"/>
                      <w:b w:val="0"/>
                      <w:bCs w:val="0"/>
                      <w:spacing w:val="-3"/>
                      <w:sz w:val="18"/>
                      <w:szCs w:val="18"/>
                      <w:vertAlign w:val="baseline"/>
                      <w:lang w:val="en-US" w:eastAsia="zh-CN"/>
                    </w:rPr>
                  </w:pPr>
                  <w:r>
                    <w:rPr>
                      <w:rFonts w:hint="default" w:ascii="Times New Roman" w:hAnsi="Times New Roman" w:eastAsia="宋体" w:cs="Times New Roman"/>
                      <w:b w:val="0"/>
                      <w:bCs w:val="0"/>
                      <w:spacing w:val="-3"/>
                      <w:sz w:val="18"/>
                      <w:szCs w:val="18"/>
                      <w:vertAlign w:val="baseline"/>
                      <w:lang w:val="en-US" w:eastAsia="zh-CN"/>
                    </w:rPr>
                    <w:t>是</w:t>
                  </w:r>
                </w:p>
              </w:tc>
            </w:tr>
          </w:tbl>
          <w:p w14:paraId="1F2EB69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70" w:firstLineChars="200"/>
              <w:jc w:val="left"/>
              <w:textAlignment w:val="auto"/>
              <w:rPr>
                <w:rFonts w:hint="default" w:ascii="Times New Roman" w:hAnsi="Times New Roman" w:cs="Times New Roman"/>
                <w:b/>
                <w:bCs/>
                <w:spacing w:val="-3"/>
                <w:lang w:val="en-US" w:eastAsia="zh-CN"/>
              </w:rPr>
            </w:pPr>
            <w:r>
              <w:rPr>
                <w:rFonts w:hint="default" w:ascii="Times New Roman" w:hAnsi="Times New Roman" w:cs="Times New Roman"/>
                <w:b/>
                <w:bCs/>
                <w:spacing w:val="-3"/>
                <w:lang w:val="en-US" w:eastAsia="zh-CN"/>
              </w:rPr>
              <w:t>2、废水</w:t>
            </w:r>
          </w:p>
          <w:p w14:paraId="445EC15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本项目运营期废水产生主要是屠宰生产废水以及屠宰场员工工作期间产生的生活污水。</w:t>
            </w:r>
          </w:p>
          <w:p w14:paraId="58BAE234">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eastAsia="宋体" w:cs="Times New Roman"/>
                <w:b w:val="0"/>
                <w:bCs w:val="0"/>
                <w:spacing w:val="-3"/>
                <w:kern w:val="2"/>
                <w:sz w:val="24"/>
                <w:szCs w:val="24"/>
                <w:lang w:val="en-US" w:eastAsia="zh-CN" w:bidi="ar-SA"/>
              </w:rPr>
              <w:t>（1）</w:t>
            </w:r>
            <w:r>
              <w:rPr>
                <w:rFonts w:hint="default" w:ascii="Times New Roman" w:hAnsi="Times New Roman" w:cs="Times New Roman"/>
                <w:b w:val="0"/>
                <w:bCs w:val="0"/>
                <w:spacing w:val="-3"/>
                <w:lang w:val="en-US" w:eastAsia="zh-CN"/>
              </w:rPr>
              <w:t>屠宰废水</w:t>
            </w:r>
          </w:p>
          <w:p w14:paraId="3F8556C3">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屠宰废水来源于待宰圈、屠宰车间，主要包括：圈栏冲洗、宰前淋洗、宰后烫毛、剥皮、开腔、劈半、解体、内脏冲洗及车间冲洗等过程产生的废水。</w:t>
            </w:r>
          </w:p>
          <w:p w14:paraId="59C57BBC">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通过项目水平衡分析，屠宰场屠宰废水排放量为</w:t>
            </w:r>
            <w:r>
              <w:rPr>
                <w:rFonts w:hint="eastAsia" w:cs="Times New Roman"/>
                <w:b w:val="0"/>
                <w:bCs w:val="0"/>
                <w:spacing w:val="-3"/>
                <w:lang w:val="en-US" w:eastAsia="zh-CN"/>
              </w:rPr>
              <w:t>94.5</w:t>
            </w:r>
            <w:r>
              <w:rPr>
                <w:rFonts w:hint="default" w:ascii="Times New Roman" w:hAnsi="Times New Roman" w:cs="Times New Roman"/>
                <w:b w:val="0"/>
                <w:bCs w:val="0"/>
                <w:spacing w:val="-3"/>
                <w:lang w:val="en-US" w:eastAsia="zh-CN"/>
              </w:rPr>
              <w:t>m</w:t>
            </w:r>
            <w:r>
              <w:rPr>
                <w:rFonts w:hint="default" w:ascii="Times New Roman" w:hAnsi="Times New Roman" w:cs="Times New Roman"/>
                <w:b w:val="0"/>
                <w:bCs w:val="0"/>
                <w:spacing w:val="-3"/>
                <w:vertAlign w:val="superscript"/>
                <w:lang w:val="en-US" w:eastAsia="zh-CN"/>
              </w:rPr>
              <w:t>3</w:t>
            </w:r>
            <w:r>
              <w:rPr>
                <w:rFonts w:hint="default" w:ascii="Times New Roman" w:hAnsi="Times New Roman" w:cs="Times New Roman"/>
                <w:b w:val="0"/>
                <w:bCs w:val="0"/>
                <w:spacing w:val="-3"/>
                <w:lang w:val="en-US" w:eastAsia="zh-CN"/>
              </w:rPr>
              <w:t>/d，主要污染物为COD 、BOD</w:t>
            </w:r>
            <w:r>
              <w:rPr>
                <w:rFonts w:hint="default" w:ascii="Times New Roman" w:hAnsi="Times New Roman" w:cs="Times New Roman"/>
                <w:b w:val="0"/>
                <w:bCs w:val="0"/>
                <w:spacing w:val="-3"/>
                <w:vertAlign w:val="subscript"/>
                <w:lang w:val="en-US" w:eastAsia="zh-CN"/>
              </w:rPr>
              <w:t>5</w:t>
            </w:r>
            <w:r>
              <w:rPr>
                <w:rFonts w:hint="default" w:ascii="Times New Roman" w:hAnsi="Times New Roman" w:cs="Times New Roman"/>
                <w:b w:val="0"/>
                <w:bCs w:val="0"/>
                <w:spacing w:val="-3"/>
                <w:lang w:val="en-US" w:eastAsia="zh-CN"/>
              </w:rPr>
              <w:t xml:space="preserve"> 、SS 、氨氮及动植物油。屠宰废水是一种高浓度有机污染废水，成分复杂，因此本项目规划出一片区域，对屠宰废水进行预处理，预处理工艺采用</w:t>
            </w:r>
            <w:r>
              <w:rPr>
                <w:rFonts w:hint="eastAsia" w:ascii="宋体" w:hAnsi="宋体" w:eastAsia="宋体" w:cs="宋体"/>
                <w:highlight w:val="none"/>
                <w:u w:val="none"/>
                <w:lang w:val="en-US" w:eastAsia="zh-CN"/>
              </w:rPr>
              <w:t>“</w:t>
            </w:r>
            <w:r>
              <w:rPr>
                <w:rFonts w:hint="default" w:ascii="Times New Roman" w:hAnsi="Times New Roman" w:eastAsia="宋体" w:cs="Times New Roman"/>
                <w:highlight w:val="none"/>
                <w:u w:val="none"/>
                <w:lang w:val="en-US" w:eastAsia="zh-CN"/>
              </w:rPr>
              <w:t>格栅-隔油-调节池-气浮-厌氧处理（水解酸化）</w:t>
            </w:r>
            <w:r>
              <w:rPr>
                <w:rFonts w:hint="eastAsia" w:ascii="宋体" w:hAnsi="宋体" w:eastAsia="宋体" w:cs="宋体"/>
                <w:highlight w:val="none"/>
                <w:u w:val="none"/>
                <w:lang w:val="en-US" w:eastAsia="zh-CN"/>
              </w:rPr>
              <w:t>”</w:t>
            </w:r>
            <w:r>
              <w:rPr>
                <w:rFonts w:hint="default" w:ascii="Times New Roman" w:hAnsi="Times New Roman" w:cs="Times New Roman"/>
                <w:b w:val="0"/>
                <w:bCs w:val="0"/>
                <w:spacing w:val="-3"/>
                <w:lang w:val="en-US" w:eastAsia="zh-CN"/>
              </w:rPr>
              <w:t>，由于本项目市政污水管网尚未接通，项目前期通过槽罐车运输项目废水，待市政污水管网接通后，项目废水通过市政污水管网排入南岳区污水处理厂进一步处理。</w:t>
            </w:r>
          </w:p>
          <w:p w14:paraId="183E2515">
            <w:pPr>
              <w:pStyle w:val="6"/>
              <w:pageBreakBefore w:val="0"/>
              <w:wordWrap/>
              <w:overflowPunct/>
              <w:spacing w:beforeAutospacing="0" w:afterAutospacing="0" w:line="360" w:lineRule="auto"/>
              <w:ind w:left="0" w:leftChars="0" w:right="0"/>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由前文分析，本项目屠宰废水量预计为</w:t>
            </w:r>
            <w:r>
              <w:rPr>
                <w:rFonts w:hint="eastAsia" w:cs="Times New Roman"/>
                <w:b w:val="0"/>
                <w:bCs w:val="0"/>
                <w:spacing w:val="-3"/>
                <w:lang w:val="en-US" w:eastAsia="zh-CN"/>
              </w:rPr>
              <w:t>34492.5</w:t>
            </w:r>
            <w:r>
              <w:rPr>
                <w:rFonts w:hint="default" w:ascii="Times New Roman" w:hAnsi="Times New Roman" w:cs="Times New Roman"/>
                <w:b w:val="0"/>
                <w:bCs w:val="0"/>
                <w:spacing w:val="-3"/>
                <w:lang w:val="en-US" w:eastAsia="zh-CN"/>
              </w:rPr>
              <w:t>m</w:t>
            </w:r>
            <w:r>
              <w:rPr>
                <w:rFonts w:hint="default" w:ascii="Times New Roman" w:hAnsi="Times New Roman" w:cs="Times New Roman"/>
                <w:b w:val="0"/>
                <w:bCs w:val="0"/>
                <w:spacing w:val="-3"/>
                <w:vertAlign w:val="superscript"/>
                <w:lang w:val="en-US" w:eastAsia="zh-CN"/>
              </w:rPr>
              <w:t>3</w:t>
            </w:r>
            <w:r>
              <w:rPr>
                <w:rFonts w:hint="default" w:ascii="Times New Roman" w:hAnsi="Times New Roman" w:cs="Times New Roman"/>
                <w:b w:val="0"/>
                <w:bCs w:val="0"/>
                <w:spacing w:val="-3"/>
                <w:lang w:val="en-US" w:eastAsia="zh-CN"/>
              </w:rPr>
              <w:t>/a，根据《屠宰与肉类加工废水治理工程技术规范》（HJ2004-2010</w:t>
            </w:r>
            <w:r>
              <w:rPr>
                <w:rFonts w:hint="eastAsia" w:cs="Times New Roman"/>
                <w:b w:val="0"/>
                <w:bCs w:val="0"/>
                <w:spacing w:val="-3"/>
                <w:lang w:val="en-US" w:eastAsia="zh-CN"/>
              </w:rPr>
              <w:t>）</w:t>
            </w:r>
            <w:r>
              <w:rPr>
                <w:rFonts w:hint="default" w:ascii="Times New Roman" w:hAnsi="Times New Roman" w:cs="Times New Roman"/>
                <w:b w:val="0"/>
                <w:bCs w:val="0"/>
                <w:spacing w:val="-3"/>
                <w:lang w:val="en-US" w:eastAsia="zh-CN"/>
              </w:rPr>
              <w:t>与《排污许可证申请与核发技术规范 农副产品加工工业-屠宰及肉类加工业》（HJ860.3-2018</w:t>
            </w:r>
            <w:r>
              <w:rPr>
                <w:rFonts w:hint="eastAsia" w:cs="Times New Roman"/>
                <w:b w:val="0"/>
                <w:bCs w:val="0"/>
                <w:spacing w:val="-3"/>
                <w:lang w:val="en-US" w:eastAsia="zh-CN"/>
              </w:rPr>
              <w:t>）</w:t>
            </w:r>
            <w:r>
              <w:rPr>
                <w:rFonts w:hint="default" w:ascii="Times New Roman" w:hAnsi="Times New Roman" w:cs="Times New Roman"/>
                <w:b w:val="0"/>
                <w:bCs w:val="0"/>
                <w:spacing w:val="-3"/>
                <w:lang w:val="en-US" w:eastAsia="zh-CN"/>
              </w:rPr>
              <w:t>计算统计，相关污染物浓度见下表4-8：</w:t>
            </w:r>
          </w:p>
          <w:p w14:paraId="6030E6C3">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b w:val="0"/>
                <w:bCs w:val="0"/>
                <w:spacing w:val="-3"/>
                <w:sz w:val="21"/>
                <w:szCs w:val="21"/>
                <w:lang w:val="en-US" w:eastAsia="zh-CN"/>
              </w:rPr>
            </w:pPr>
            <w:r>
              <w:rPr>
                <w:rFonts w:hint="default" w:ascii="Times New Roman" w:hAnsi="Times New Roman" w:eastAsia="宋体" w:cs="Times New Roman"/>
                <w:b/>
                <w:bCs/>
                <w:spacing w:val="-3"/>
                <w:sz w:val="21"/>
                <w:szCs w:val="21"/>
                <w:lang w:val="en-US" w:eastAsia="zh-CN"/>
              </w:rPr>
              <w:t>表4-8 屠宰工业的废水产污系数及产生情况表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1041"/>
              <w:gridCol w:w="1041"/>
              <w:gridCol w:w="1041"/>
              <w:gridCol w:w="794"/>
              <w:gridCol w:w="847"/>
              <w:gridCol w:w="837"/>
              <w:gridCol w:w="522"/>
              <w:gridCol w:w="421"/>
            </w:tblGrid>
            <w:tr w14:paraId="3E94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903" w:type="pct"/>
                  <w:vAlign w:val="center"/>
                </w:tcPr>
                <w:p w14:paraId="105404B8">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来源</w:t>
                  </w:r>
                </w:p>
              </w:tc>
              <w:tc>
                <w:tcPr>
                  <w:tcW w:w="648" w:type="pct"/>
                  <w:vAlign w:val="center"/>
                </w:tcPr>
                <w:p w14:paraId="572E4CDC">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COD</w:t>
                  </w:r>
                </w:p>
              </w:tc>
              <w:tc>
                <w:tcPr>
                  <w:tcW w:w="648" w:type="pct"/>
                  <w:vAlign w:val="center"/>
                </w:tcPr>
                <w:p w14:paraId="608AEEDD">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BOD</w:t>
                  </w:r>
                  <w:r>
                    <w:rPr>
                      <w:rFonts w:hint="default" w:ascii="Times New Roman" w:hAnsi="Times New Roman" w:eastAsia="宋体" w:cs="Times New Roman"/>
                      <w:b w:val="0"/>
                      <w:bCs w:val="0"/>
                      <w:spacing w:val="-3"/>
                      <w:sz w:val="21"/>
                      <w:szCs w:val="21"/>
                      <w:vertAlign w:val="subscript"/>
                      <w:lang w:val="en-US" w:eastAsia="zh-CN"/>
                    </w:rPr>
                    <w:t>5</w:t>
                  </w:r>
                </w:p>
              </w:tc>
              <w:tc>
                <w:tcPr>
                  <w:tcW w:w="648" w:type="pct"/>
                  <w:vAlign w:val="center"/>
                </w:tcPr>
                <w:p w14:paraId="46F9BE2C">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SS</w:t>
                  </w:r>
                </w:p>
              </w:tc>
              <w:tc>
                <w:tcPr>
                  <w:tcW w:w="456" w:type="pct"/>
                  <w:vAlign w:val="center"/>
                </w:tcPr>
                <w:p w14:paraId="53C9D7A8">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NH</w:t>
                  </w:r>
                  <w:r>
                    <w:rPr>
                      <w:rFonts w:hint="default" w:ascii="Times New Roman" w:hAnsi="Times New Roman" w:eastAsia="宋体" w:cs="Times New Roman"/>
                      <w:b w:val="0"/>
                      <w:bCs w:val="0"/>
                      <w:spacing w:val="-3"/>
                      <w:sz w:val="21"/>
                      <w:szCs w:val="21"/>
                      <w:vertAlign w:val="subscript"/>
                      <w:lang w:val="en-US" w:eastAsia="zh-CN"/>
                    </w:rPr>
                    <w:t>3</w:t>
                  </w:r>
                  <w:r>
                    <w:rPr>
                      <w:rFonts w:hint="default" w:ascii="Times New Roman" w:hAnsi="Times New Roman" w:eastAsia="宋体" w:cs="Times New Roman"/>
                      <w:b w:val="0"/>
                      <w:bCs w:val="0"/>
                      <w:spacing w:val="-3"/>
                      <w:sz w:val="21"/>
                      <w:szCs w:val="21"/>
                      <w:vertAlign w:val="baseline"/>
                      <w:lang w:val="en-US" w:eastAsia="zh-CN"/>
                    </w:rPr>
                    <w:t>-N</w:t>
                  </w:r>
                </w:p>
              </w:tc>
              <w:tc>
                <w:tcPr>
                  <w:tcW w:w="583" w:type="pct"/>
                  <w:vAlign w:val="center"/>
                </w:tcPr>
                <w:p w14:paraId="02535C52">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pH</w:t>
                  </w:r>
                </w:p>
              </w:tc>
              <w:tc>
                <w:tcPr>
                  <w:tcW w:w="519" w:type="pct"/>
                  <w:vAlign w:val="center"/>
                </w:tcPr>
                <w:p w14:paraId="211C8917">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动植物油</w:t>
                  </w:r>
                </w:p>
              </w:tc>
              <w:tc>
                <w:tcPr>
                  <w:tcW w:w="328" w:type="pct"/>
                  <w:vAlign w:val="center"/>
                </w:tcPr>
                <w:p w14:paraId="0B29C4F7">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总氮</w:t>
                  </w:r>
                </w:p>
              </w:tc>
              <w:tc>
                <w:tcPr>
                  <w:tcW w:w="263" w:type="pct"/>
                  <w:vAlign w:val="center"/>
                </w:tcPr>
                <w:p w14:paraId="06338412">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总磷</w:t>
                  </w:r>
                </w:p>
              </w:tc>
            </w:tr>
            <w:tr w14:paraId="62C16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pct"/>
                  <w:vAlign w:val="center"/>
                </w:tcPr>
                <w:p w14:paraId="5AFFD8BB">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HJ2004-2010</w:t>
                  </w:r>
                </w:p>
              </w:tc>
              <w:tc>
                <w:tcPr>
                  <w:tcW w:w="648" w:type="pct"/>
                  <w:vAlign w:val="center"/>
                </w:tcPr>
                <w:p w14:paraId="3C5BB7DC">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800~2000</w:t>
                  </w:r>
                </w:p>
              </w:tc>
              <w:tc>
                <w:tcPr>
                  <w:tcW w:w="648" w:type="pct"/>
                  <w:vAlign w:val="center"/>
                </w:tcPr>
                <w:p w14:paraId="16C7D152">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500~1000</w:t>
                  </w:r>
                </w:p>
              </w:tc>
              <w:tc>
                <w:tcPr>
                  <w:tcW w:w="648" w:type="pct"/>
                  <w:vAlign w:val="center"/>
                </w:tcPr>
                <w:p w14:paraId="0430ACAB">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500~1000</w:t>
                  </w:r>
                </w:p>
              </w:tc>
              <w:tc>
                <w:tcPr>
                  <w:tcW w:w="456" w:type="pct"/>
                  <w:vAlign w:val="center"/>
                </w:tcPr>
                <w:p w14:paraId="710D0013">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25~70</w:t>
                  </w:r>
                </w:p>
              </w:tc>
              <w:tc>
                <w:tcPr>
                  <w:tcW w:w="583" w:type="pct"/>
                  <w:vAlign w:val="center"/>
                </w:tcPr>
                <w:p w14:paraId="18FFA137">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6.5~7.5</w:t>
                  </w:r>
                </w:p>
              </w:tc>
              <w:tc>
                <w:tcPr>
                  <w:tcW w:w="519" w:type="pct"/>
                  <w:vAlign w:val="center"/>
                </w:tcPr>
                <w:p w14:paraId="07FAC1D1">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30~100</w:t>
                  </w:r>
                </w:p>
              </w:tc>
              <w:tc>
                <w:tcPr>
                  <w:tcW w:w="328" w:type="pct"/>
                  <w:vAlign w:val="center"/>
                </w:tcPr>
                <w:p w14:paraId="0D8516EA">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w:t>
                  </w:r>
                </w:p>
              </w:tc>
              <w:tc>
                <w:tcPr>
                  <w:tcW w:w="263" w:type="pct"/>
                  <w:vAlign w:val="center"/>
                </w:tcPr>
                <w:p w14:paraId="6AB3348E">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w:t>
                  </w:r>
                </w:p>
              </w:tc>
            </w:tr>
            <w:tr w14:paraId="54C99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pct"/>
                  <w:vAlign w:val="center"/>
                </w:tcPr>
                <w:p w14:paraId="330824E6">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HJ860.3-2018</w:t>
                  </w:r>
                </w:p>
              </w:tc>
              <w:tc>
                <w:tcPr>
                  <w:tcW w:w="648" w:type="pct"/>
                  <w:vAlign w:val="center"/>
                </w:tcPr>
                <w:p w14:paraId="43B97A2F">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cs="Times New Roman"/>
                      <w:b w:val="0"/>
                      <w:bCs w:val="0"/>
                      <w:spacing w:val="-3"/>
                      <w:sz w:val="21"/>
                      <w:szCs w:val="21"/>
                      <w:vertAlign w:val="baseline"/>
                      <w:lang w:val="en-US" w:eastAsia="zh-CN"/>
                    </w:rPr>
                    <w:t>2211</w:t>
                  </w:r>
                </w:p>
              </w:tc>
              <w:tc>
                <w:tcPr>
                  <w:tcW w:w="648" w:type="pct"/>
                  <w:vAlign w:val="center"/>
                </w:tcPr>
                <w:p w14:paraId="233700D7">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cs="Times New Roman"/>
                      <w:b w:val="0"/>
                      <w:bCs w:val="0"/>
                      <w:spacing w:val="-3"/>
                      <w:sz w:val="21"/>
                      <w:szCs w:val="21"/>
                      <w:vertAlign w:val="baseline"/>
                      <w:lang w:val="en-US" w:eastAsia="zh-CN"/>
                    </w:rPr>
                    <w:t>/</w:t>
                  </w:r>
                </w:p>
              </w:tc>
              <w:tc>
                <w:tcPr>
                  <w:tcW w:w="648" w:type="pct"/>
                  <w:vAlign w:val="center"/>
                </w:tcPr>
                <w:p w14:paraId="631B3929">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w:t>
                  </w:r>
                </w:p>
              </w:tc>
              <w:tc>
                <w:tcPr>
                  <w:tcW w:w="456" w:type="pct"/>
                  <w:vAlign w:val="center"/>
                </w:tcPr>
                <w:p w14:paraId="507EA1A2">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cs="Times New Roman"/>
                      <w:b w:val="0"/>
                      <w:bCs w:val="0"/>
                      <w:spacing w:val="-3"/>
                      <w:sz w:val="21"/>
                      <w:szCs w:val="21"/>
                      <w:vertAlign w:val="baseline"/>
                      <w:lang w:val="en-US" w:eastAsia="zh-CN"/>
                    </w:rPr>
                    <w:t>88</w:t>
                  </w:r>
                </w:p>
              </w:tc>
              <w:tc>
                <w:tcPr>
                  <w:tcW w:w="583" w:type="pct"/>
                  <w:vAlign w:val="center"/>
                </w:tcPr>
                <w:p w14:paraId="45EE2037">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w:t>
                  </w:r>
                </w:p>
              </w:tc>
              <w:tc>
                <w:tcPr>
                  <w:tcW w:w="519" w:type="pct"/>
                  <w:vAlign w:val="center"/>
                </w:tcPr>
                <w:p w14:paraId="6620E462">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w:t>
                  </w:r>
                </w:p>
              </w:tc>
              <w:tc>
                <w:tcPr>
                  <w:tcW w:w="328" w:type="pct"/>
                  <w:vAlign w:val="center"/>
                </w:tcPr>
                <w:p w14:paraId="1D98F985">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cs="Times New Roman"/>
                      <w:b w:val="0"/>
                      <w:bCs w:val="0"/>
                      <w:spacing w:val="-3"/>
                      <w:sz w:val="21"/>
                      <w:szCs w:val="21"/>
                      <w:vertAlign w:val="baseline"/>
                      <w:lang w:val="en-US" w:eastAsia="zh-CN"/>
                    </w:rPr>
                    <w:t>170</w:t>
                  </w:r>
                </w:p>
              </w:tc>
              <w:tc>
                <w:tcPr>
                  <w:tcW w:w="263" w:type="pct"/>
                  <w:vAlign w:val="center"/>
                </w:tcPr>
                <w:p w14:paraId="66ACA0D9">
                  <w:pPr>
                    <w:pStyle w:val="6"/>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spacing w:val="-3"/>
                      <w:sz w:val="21"/>
                      <w:szCs w:val="21"/>
                      <w:vertAlign w:val="baseline"/>
                      <w:lang w:val="en-US" w:eastAsia="zh-CN"/>
                    </w:rPr>
                  </w:pPr>
                  <w:r>
                    <w:rPr>
                      <w:rFonts w:hint="default" w:ascii="Times New Roman" w:hAnsi="Times New Roman" w:eastAsia="宋体" w:cs="Times New Roman"/>
                      <w:b w:val="0"/>
                      <w:bCs w:val="0"/>
                      <w:spacing w:val="-3"/>
                      <w:sz w:val="21"/>
                      <w:szCs w:val="21"/>
                      <w:vertAlign w:val="baseline"/>
                      <w:lang w:val="en-US" w:eastAsia="zh-CN"/>
                    </w:rPr>
                    <w:t>6</w:t>
                  </w:r>
                </w:p>
              </w:tc>
            </w:tr>
          </w:tbl>
          <w:p w14:paraId="52FFAAF9">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68" w:firstLineChars="200"/>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通过类比上表生产废水数据，本项目生产污水属于有机型污水，确定本项目生产混合废水原水水质中各污染物的产生浓度分别为CODcr：2</w:t>
            </w:r>
            <w:r>
              <w:rPr>
                <w:rFonts w:hint="eastAsia" w:cs="Times New Roman"/>
                <w:b w:val="0"/>
                <w:bCs w:val="0"/>
                <w:spacing w:val="-3"/>
                <w:lang w:val="en-US" w:eastAsia="zh-CN"/>
              </w:rPr>
              <w:t>211</w:t>
            </w:r>
            <w:r>
              <w:rPr>
                <w:rFonts w:hint="default" w:ascii="Times New Roman" w:hAnsi="Times New Roman" w:cs="Times New Roman"/>
                <w:b w:val="0"/>
                <w:bCs w:val="0"/>
                <w:spacing w:val="-3"/>
                <w:lang w:val="en-US" w:eastAsia="zh-CN"/>
              </w:rPr>
              <w:t>mg/L</w:t>
            </w:r>
            <w:r>
              <w:rPr>
                <w:rFonts w:hint="eastAsia" w:ascii="宋体" w:hAnsi="宋体" w:eastAsia="宋体" w:cs="宋体"/>
                <w:b w:val="0"/>
                <w:bCs w:val="0"/>
                <w:spacing w:val="-3"/>
                <w:lang w:val="en-US" w:eastAsia="zh-CN"/>
              </w:rPr>
              <w:t>,</w:t>
            </w:r>
            <w:r>
              <w:rPr>
                <w:rFonts w:hint="default" w:ascii="Times New Roman" w:hAnsi="Times New Roman" w:cs="Times New Roman"/>
                <w:b w:val="0"/>
                <w:bCs w:val="0"/>
                <w:spacing w:val="-3"/>
                <w:lang w:val="en-US" w:eastAsia="zh-CN"/>
              </w:rPr>
              <w:t>BOD</w:t>
            </w:r>
            <w:r>
              <w:rPr>
                <w:rFonts w:hint="default" w:ascii="Times New Roman" w:hAnsi="Times New Roman" w:cs="Times New Roman"/>
                <w:b w:val="0"/>
                <w:bCs w:val="0"/>
                <w:spacing w:val="-3"/>
                <w:vertAlign w:val="subscript"/>
                <w:lang w:val="en-US" w:eastAsia="zh-CN"/>
              </w:rPr>
              <w:t>5</w:t>
            </w:r>
            <w:r>
              <w:rPr>
                <w:rFonts w:hint="eastAsia" w:ascii="宋体" w:hAnsi="宋体" w:eastAsia="宋体" w:cs="宋体"/>
                <w:b w:val="0"/>
                <w:bCs w:val="0"/>
                <w:spacing w:val="-3"/>
                <w:lang w:val="en-US" w:eastAsia="zh-CN"/>
              </w:rPr>
              <w:t>:</w:t>
            </w:r>
            <w:r>
              <w:rPr>
                <w:rFonts w:hint="default" w:ascii="Times New Roman" w:hAnsi="Times New Roman" w:cs="Times New Roman"/>
                <w:b w:val="0"/>
                <w:bCs w:val="0"/>
                <w:spacing w:val="-3"/>
                <w:lang w:val="en-US" w:eastAsia="zh-CN"/>
              </w:rPr>
              <w:t>1000mg/L</w:t>
            </w:r>
            <w:r>
              <w:rPr>
                <w:rFonts w:hint="eastAsia" w:ascii="宋体" w:hAnsi="宋体" w:eastAsia="宋体" w:cs="宋体"/>
                <w:b w:val="0"/>
                <w:bCs w:val="0"/>
                <w:spacing w:val="-3"/>
                <w:lang w:val="en-US" w:eastAsia="zh-CN"/>
              </w:rPr>
              <w:t>,</w:t>
            </w:r>
            <w:r>
              <w:rPr>
                <w:rFonts w:hint="default" w:ascii="Times New Roman" w:hAnsi="Times New Roman" w:cs="Times New Roman"/>
                <w:b w:val="0"/>
                <w:bCs w:val="0"/>
                <w:spacing w:val="-3"/>
                <w:lang w:val="en-US" w:eastAsia="zh-CN"/>
              </w:rPr>
              <w:t>SS:1000mg/L</w:t>
            </w:r>
            <w:r>
              <w:rPr>
                <w:rFonts w:hint="eastAsia" w:ascii="宋体" w:hAnsi="宋体" w:eastAsia="宋体" w:cs="宋体"/>
                <w:b w:val="0"/>
                <w:bCs w:val="0"/>
                <w:spacing w:val="-3"/>
                <w:lang w:val="en-US" w:eastAsia="zh-CN"/>
              </w:rPr>
              <w:t>,</w:t>
            </w:r>
            <w:r>
              <w:rPr>
                <w:rFonts w:hint="default" w:ascii="Times New Roman" w:hAnsi="Times New Roman" w:cs="Times New Roman"/>
                <w:b w:val="0"/>
                <w:bCs w:val="0"/>
                <w:spacing w:val="-3"/>
                <w:lang w:val="en-US" w:eastAsia="zh-CN"/>
              </w:rPr>
              <w:t>NH</w:t>
            </w:r>
            <w:r>
              <w:rPr>
                <w:rFonts w:hint="default" w:ascii="Times New Roman" w:hAnsi="Times New Roman" w:cs="Times New Roman"/>
                <w:b w:val="0"/>
                <w:bCs w:val="0"/>
                <w:spacing w:val="-3"/>
                <w:vertAlign w:val="subscript"/>
                <w:lang w:val="en-US" w:eastAsia="zh-CN"/>
              </w:rPr>
              <w:t>3</w:t>
            </w:r>
            <w:r>
              <w:rPr>
                <w:rFonts w:hint="default" w:ascii="Times New Roman" w:hAnsi="Times New Roman" w:cs="Times New Roman"/>
                <w:b w:val="0"/>
                <w:bCs w:val="0"/>
                <w:spacing w:val="-3"/>
                <w:lang w:val="en-US" w:eastAsia="zh-CN"/>
              </w:rPr>
              <w:t>-N</w:t>
            </w:r>
            <w:r>
              <w:rPr>
                <w:rFonts w:hint="eastAsia" w:ascii="宋体" w:hAnsi="宋体" w:eastAsia="宋体" w:cs="宋体"/>
                <w:b w:val="0"/>
                <w:bCs w:val="0"/>
                <w:spacing w:val="-3"/>
                <w:lang w:val="en-US" w:eastAsia="zh-CN"/>
              </w:rPr>
              <w:t>:</w:t>
            </w:r>
            <w:r>
              <w:rPr>
                <w:rFonts w:hint="default" w:ascii="Times New Roman" w:hAnsi="Times New Roman" w:cs="Times New Roman"/>
                <w:b w:val="0"/>
                <w:bCs w:val="0"/>
                <w:spacing w:val="-3"/>
                <w:lang w:val="en-US" w:eastAsia="zh-CN"/>
              </w:rPr>
              <w:t>70mg/L</w:t>
            </w:r>
            <w:r>
              <w:rPr>
                <w:rFonts w:hint="eastAsia" w:ascii="宋体" w:hAnsi="宋体" w:eastAsia="宋体" w:cs="宋体"/>
                <w:b w:val="0"/>
                <w:bCs w:val="0"/>
                <w:spacing w:val="-3"/>
                <w:lang w:val="en-US" w:eastAsia="zh-CN"/>
              </w:rPr>
              <w:t>,</w:t>
            </w:r>
            <w:r>
              <w:rPr>
                <w:rFonts w:hint="default" w:ascii="Times New Roman" w:hAnsi="Times New Roman" w:cs="Times New Roman"/>
                <w:b w:val="0"/>
                <w:bCs w:val="0"/>
                <w:spacing w:val="-3"/>
                <w:lang w:val="en-US" w:eastAsia="zh-CN"/>
              </w:rPr>
              <w:t>总氮：170mg/L，总磷：6.0mg/L。</w:t>
            </w:r>
          </w:p>
          <w:p w14:paraId="073BEE72">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（2）生活污水</w:t>
            </w:r>
          </w:p>
          <w:p w14:paraId="5768B39E">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360" w:lineRule="auto"/>
              <w:ind w:left="0" w:leftChars="0" w:right="0" w:firstLine="468" w:firstLineChars="200"/>
              <w:jc w:val="left"/>
              <w:textAlignment w:val="auto"/>
              <w:rPr>
                <w:rFonts w:hint="default" w:ascii="Times New Roman" w:hAnsi="Times New Roman" w:cs="Times New Roman"/>
                <w:b w:val="0"/>
                <w:bCs w:val="0"/>
                <w:spacing w:val="-3"/>
                <w:lang w:val="en-US" w:eastAsia="zh-CN"/>
              </w:rPr>
            </w:pPr>
            <w:r>
              <w:rPr>
                <w:rFonts w:hint="default" w:ascii="Times New Roman" w:hAnsi="Times New Roman" w:cs="Times New Roman"/>
                <w:b w:val="0"/>
                <w:bCs w:val="0"/>
                <w:spacing w:val="-3"/>
                <w:lang w:val="en-US" w:eastAsia="zh-CN"/>
              </w:rPr>
              <w:t>项目生活污水排放量为0.9m</w:t>
            </w:r>
            <w:r>
              <w:rPr>
                <w:rFonts w:hint="default" w:ascii="Times New Roman" w:hAnsi="Times New Roman" w:cs="Times New Roman"/>
                <w:b w:val="0"/>
                <w:bCs w:val="0"/>
                <w:spacing w:val="-3"/>
                <w:vertAlign w:val="superscript"/>
                <w:lang w:val="en-US" w:eastAsia="zh-CN"/>
              </w:rPr>
              <w:t>3</w:t>
            </w:r>
            <w:r>
              <w:rPr>
                <w:rFonts w:hint="default" w:ascii="Times New Roman" w:hAnsi="Times New Roman" w:cs="Times New Roman"/>
                <w:b w:val="0"/>
                <w:bCs w:val="0"/>
                <w:spacing w:val="-3"/>
                <w:lang w:val="en-US" w:eastAsia="zh-CN"/>
              </w:rPr>
              <w:t>/d，产物系数按0.8计，项目生活</w:t>
            </w:r>
            <w:r>
              <w:rPr>
                <w:rFonts w:hint="eastAsia" w:cs="Times New Roman"/>
                <w:b w:val="0"/>
                <w:bCs w:val="0"/>
                <w:spacing w:val="-3"/>
                <w:lang w:val="en-US" w:eastAsia="zh-CN"/>
              </w:rPr>
              <w:t>污</w:t>
            </w:r>
            <w:r>
              <w:rPr>
                <w:rFonts w:hint="default" w:ascii="Times New Roman" w:hAnsi="Times New Roman" w:cs="Times New Roman"/>
                <w:b w:val="0"/>
                <w:bCs w:val="0"/>
                <w:spacing w:val="-3"/>
                <w:lang w:val="en-US" w:eastAsia="zh-CN"/>
              </w:rPr>
              <w:t>水排放量为262.5m</w:t>
            </w:r>
            <w:r>
              <w:rPr>
                <w:rFonts w:hint="default" w:ascii="Times New Roman" w:hAnsi="Times New Roman" w:cs="Times New Roman"/>
                <w:b w:val="0"/>
                <w:bCs w:val="0"/>
                <w:spacing w:val="-3"/>
                <w:vertAlign w:val="superscript"/>
                <w:lang w:val="en-US" w:eastAsia="zh-CN"/>
              </w:rPr>
              <w:t>3</w:t>
            </w:r>
            <w:r>
              <w:rPr>
                <w:rFonts w:hint="default" w:ascii="Times New Roman" w:hAnsi="Times New Roman" w:cs="Times New Roman"/>
                <w:b w:val="0"/>
                <w:bCs w:val="0"/>
                <w:spacing w:val="-3"/>
                <w:vertAlign w:val="baseline"/>
                <w:lang w:val="en-US" w:eastAsia="zh-CN"/>
              </w:rPr>
              <w:t>。</w:t>
            </w:r>
            <w:r>
              <w:rPr>
                <w:rFonts w:hint="default" w:ascii="Times New Roman" w:hAnsi="Times New Roman" w:cs="Times New Roman"/>
                <w:b w:val="0"/>
                <w:bCs w:val="0"/>
                <w:spacing w:val="-3"/>
                <w:lang w:val="en-US" w:eastAsia="zh-CN"/>
              </w:rPr>
              <w:t>主要污染物为COD、BOD</w:t>
            </w:r>
            <w:r>
              <w:rPr>
                <w:rFonts w:hint="default" w:ascii="Times New Roman" w:hAnsi="Times New Roman" w:cs="Times New Roman"/>
                <w:b w:val="0"/>
                <w:bCs w:val="0"/>
                <w:spacing w:val="-3"/>
                <w:vertAlign w:val="subscript"/>
                <w:lang w:val="en-US" w:eastAsia="zh-CN"/>
              </w:rPr>
              <w:t>5</w:t>
            </w:r>
            <w:r>
              <w:rPr>
                <w:rFonts w:hint="default" w:ascii="Times New Roman" w:hAnsi="Times New Roman" w:cs="Times New Roman"/>
                <w:b w:val="0"/>
                <w:bCs w:val="0"/>
                <w:spacing w:val="-3"/>
                <w:lang w:val="en-US" w:eastAsia="zh-CN"/>
              </w:rPr>
              <w:t>、SS、氨氮及动植物油，生活污水经化粪池、污水处理设施运往南岳区污水处理厂处理。类比同类项目，一般生活污水浓度见下表4-</w:t>
            </w:r>
            <w:r>
              <w:rPr>
                <w:rFonts w:hint="eastAsia" w:cs="Times New Roman"/>
                <w:b w:val="0"/>
                <w:bCs w:val="0"/>
                <w:spacing w:val="-3"/>
                <w:lang w:val="en-US" w:eastAsia="zh-CN"/>
              </w:rPr>
              <w:t>9</w:t>
            </w:r>
            <w:r>
              <w:rPr>
                <w:rFonts w:hint="default" w:ascii="Times New Roman" w:hAnsi="Times New Roman" w:cs="Times New Roman"/>
                <w:b w:val="0"/>
                <w:bCs w:val="0"/>
                <w:spacing w:val="-3"/>
                <w:lang w:val="en-US" w:eastAsia="zh-CN"/>
              </w:rPr>
              <w:t>。</w:t>
            </w:r>
          </w:p>
          <w:p w14:paraId="17F84B6B">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pacing w:val="-3"/>
                <w:sz w:val="21"/>
                <w:szCs w:val="21"/>
                <w:lang w:val="en-US" w:eastAsia="zh-CN"/>
              </w:rPr>
              <w:t>表4-</w:t>
            </w:r>
            <w:r>
              <w:rPr>
                <w:rFonts w:hint="default" w:ascii="Times New Roman" w:hAnsi="Times New Roman" w:cs="Times New Roman"/>
                <w:b/>
                <w:bCs/>
                <w:spacing w:val="-3"/>
                <w:sz w:val="21"/>
                <w:szCs w:val="21"/>
                <w:lang w:val="en-US" w:eastAsia="zh-CN"/>
              </w:rPr>
              <w:t>9</w:t>
            </w:r>
            <w:r>
              <w:rPr>
                <w:rFonts w:hint="default" w:ascii="Times New Roman" w:hAnsi="Times New Roman" w:eastAsia="宋体" w:cs="Times New Roman"/>
                <w:b/>
                <w:bCs/>
                <w:spacing w:val="-3"/>
                <w:sz w:val="21"/>
                <w:szCs w:val="21"/>
                <w:lang w:val="en-US" w:eastAsia="zh-CN"/>
              </w:rPr>
              <w:t xml:space="preserve"> 生活污水水质指标</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3"/>
              <w:gridCol w:w="1202"/>
              <w:gridCol w:w="1441"/>
              <w:gridCol w:w="1679"/>
              <w:gridCol w:w="1202"/>
            </w:tblGrid>
            <w:tr w14:paraId="2A345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11" w:type="pct"/>
                  <w:vAlign w:val="center"/>
                </w:tcPr>
                <w:p w14:paraId="40349631">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水质项目</w:t>
                  </w:r>
                </w:p>
              </w:tc>
              <w:tc>
                <w:tcPr>
                  <w:tcW w:w="759" w:type="pct"/>
                  <w:vAlign w:val="center"/>
                </w:tcPr>
                <w:p w14:paraId="3DBD79E3">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COD</w:t>
                  </w:r>
                </w:p>
              </w:tc>
              <w:tc>
                <w:tcPr>
                  <w:tcW w:w="910" w:type="pct"/>
                  <w:vAlign w:val="center"/>
                </w:tcPr>
                <w:p w14:paraId="1A36EB56">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BOD</w:t>
                  </w:r>
                  <w:r>
                    <w:rPr>
                      <w:rFonts w:hint="default" w:ascii="Times New Roman" w:hAnsi="Times New Roman" w:eastAsia="宋体" w:cs="Times New Roman"/>
                      <w:sz w:val="21"/>
                      <w:szCs w:val="21"/>
                      <w:vertAlign w:val="subscript"/>
                      <w:lang w:val="en-US" w:eastAsia="zh-CN"/>
                    </w:rPr>
                    <w:t>5</w:t>
                  </w:r>
                </w:p>
              </w:tc>
              <w:tc>
                <w:tcPr>
                  <w:tcW w:w="1060" w:type="pct"/>
                  <w:vAlign w:val="center"/>
                </w:tcPr>
                <w:p w14:paraId="3CD1B046">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vertAlign w:val="baseline"/>
                      <w:lang w:val="en-US" w:eastAsia="zh-CN"/>
                    </w:rPr>
                    <w:t>-N</w:t>
                  </w:r>
                </w:p>
              </w:tc>
              <w:tc>
                <w:tcPr>
                  <w:tcW w:w="759" w:type="pct"/>
                  <w:vAlign w:val="center"/>
                </w:tcPr>
                <w:p w14:paraId="1D332A8A">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SS</w:t>
                  </w:r>
                </w:p>
              </w:tc>
            </w:tr>
            <w:tr w14:paraId="126D4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11" w:type="pct"/>
                  <w:vAlign w:val="center"/>
                </w:tcPr>
                <w:p w14:paraId="0A4B3008">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浓度</w:t>
                  </w:r>
                </w:p>
              </w:tc>
              <w:tc>
                <w:tcPr>
                  <w:tcW w:w="759" w:type="pct"/>
                  <w:vAlign w:val="center"/>
                </w:tcPr>
                <w:p w14:paraId="69DA1616">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350</w:t>
                  </w:r>
                </w:p>
              </w:tc>
              <w:tc>
                <w:tcPr>
                  <w:tcW w:w="910" w:type="pct"/>
                  <w:vAlign w:val="center"/>
                </w:tcPr>
                <w:p w14:paraId="4DB677CA">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200</w:t>
                  </w:r>
                </w:p>
              </w:tc>
              <w:tc>
                <w:tcPr>
                  <w:tcW w:w="1060" w:type="pct"/>
                  <w:vAlign w:val="center"/>
                </w:tcPr>
                <w:p w14:paraId="4399CFD9">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25</w:t>
                  </w:r>
                </w:p>
              </w:tc>
              <w:tc>
                <w:tcPr>
                  <w:tcW w:w="759" w:type="pct"/>
                  <w:vAlign w:val="center"/>
                </w:tcPr>
                <w:p w14:paraId="0D52ED15">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200</w:t>
                  </w:r>
                </w:p>
              </w:tc>
            </w:tr>
          </w:tbl>
          <w:p w14:paraId="4FAECE4C">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工程运营期间</w:t>
            </w:r>
            <w:r>
              <w:rPr>
                <w:rFonts w:hint="eastAsia" w:cs="Times New Roman"/>
                <w:b w:val="0"/>
                <w:bCs w:val="0"/>
                <w:color w:val="000000"/>
                <w:kern w:val="0"/>
                <w:sz w:val="24"/>
                <w:szCs w:val="24"/>
                <w:lang w:val="en-US" w:eastAsia="zh-CN" w:bidi="ar"/>
              </w:rPr>
              <w:t>废</w:t>
            </w:r>
            <w:r>
              <w:rPr>
                <w:rFonts w:hint="default" w:ascii="Times New Roman" w:hAnsi="Times New Roman" w:cs="Times New Roman"/>
                <w:b w:val="0"/>
                <w:bCs w:val="0"/>
                <w:color w:val="000000"/>
                <w:kern w:val="0"/>
                <w:sz w:val="24"/>
                <w:szCs w:val="24"/>
                <w:lang w:val="en-US" w:eastAsia="zh-CN" w:bidi="ar"/>
              </w:rPr>
              <w:t>水污染源</w:t>
            </w:r>
            <w:r>
              <w:rPr>
                <w:rFonts w:hint="eastAsia" w:cs="Times New Roman"/>
                <w:b w:val="0"/>
                <w:bCs w:val="0"/>
                <w:color w:val="000000"/>
                <w:kern w:val="0"/>
                <w:sz w:val="24"/>
                <w:szCs w:val="24"/>
                <w:lang w:val="en-US" w:eastAsia="zh-CN" w:bidi="ar"/>
              </w:rPr>
              <w:t>产生</w:t>
            </w:r>
            <w:r>
              <w:rPr>
                <w:rFonts w:hint="default" w:ascii="Times New Roman" w:hAnsi="Times New Roman" w:cs="Times New Roman"/>
                <w:b w:val="0"/>
                <w:bCs w:val="0"/>
                <w:color w:val="000000"/>
                <w:kern w:val="0"/>
                <w:sz w:val="24"/>
                <w:szCs w:val="24"/>
                <w:lang w:val="en-US" w:eastAsia="zh-CN" w:bidi="ar"/>
              </w:rPr>
              <w:t>情况汇总表4-1</w:t>
            </w:r>
            <w:r>
              <w:rPr>
                <w:rFonts w:hint="eastAsia" w:cs="Times New Roman"/>
                <w:b w:val="0"/>
                <w:bCs w:val="0"/>
                <w:color w:val="000000"/>
                <w:kern w:val="0"/>
                <w:sz w:val="24"/>
                <w:szCs w:val="24"/>
                <w:lang w:val="en-US" w:eastAsia="zh-CN" w:bidi="ar"/>
              </w:rPr>
              <w:t>0</w:t>
            </w:r>
            <w:r>
              <w:rPr>
                <w:rFonts w:hint="default" w:ascii="Times New Roman" w:hAnsi="Times New Roman" w:cs="Times New Roman"/>
                <w:b w:val="0"/>
                <w:bCs w:val="0"/>
                <w:color w:val="000000"/>
                <w:kern w:val="0"/>
                <w:sz w:val="24"/>
                <w:szCs w:val="24"/>
                <w:lang w:val="en-US" w:eastAsia="zh-CN" w:bidi="ar"/>
              </w:rPr>
              <w:t>。</w:t>
            </w:r>
          </w:p>
          <w:p w14:paraId="3893FD07">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表4-1</w:t>
            </w:r>
            <w:r>
              <w:rPr>
                <w:rFonts w:hint="default" w:ascii="Times New Roman" w:hAnsi="Times New Roman" w:cs="Times New Roman"/>
                <w:b/>
                <w:bCs/>
                <w:color w:val="000000"/>
                <w:kern w:val="0"/>
                <w:sz w:val="21"/>
                <w:szCs w:val="21"/>
                <w:lang w:val="en-US" w:eastAsia="zh-CN" w:bidi="ar"/>
              </w:rPr>
              <w:t>0</w:t>
            </w:r>
            <w:r>
              <w:rPr>
                <w:rFonts w:hint="default" w:ascii="Times New Roman" w:hAnsi="Times New Roman" w:eastAsia="宋体" w:cs="Times New Roman"/>
                <w:b/>
                <w:bCs/>
                <w:color w:val="000000"/>
                <w:kern w:val="0"/>
                <w:sz w:val="21"/>
                <w:szCs w:val="21"/>
                <w:lang w:val="en-US" w:eastAsia="zh-CN" w:bidi="ar"/>
              </w:rPr>
              <w:t xml:space="preserve"> 项目废水污染源产生情况表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2"/>
              <w:gridCol w:w="878"/>
              <w:gridCol w:w="891"/>
              <w:gridCol w:w="840"/>
              <w:gridCol w:w="840"/>
              <w:gridCol w:w="750"/>
              <w:gridCol w:w="767"/>
              <w:gridCol w:w="751"/>
              <w:gridCol w:w="751"/>
            </w:tblGrid>
            <w:tr w14:paraId="75A8A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470" w:type="pct"/>
                  <w:gridSpan w:val="2"/>
                  <w:vAlign w:val="center"/>
                </w:tcPr>
                <w:p w14:paraId="7C42088F">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项目</w:t>
                  </w:r>
                </w:p>
              </w:tc>
              <w:tc>
                <w:tcPr>
                  <w:tcW w:w="562" w:type="pct"/>
                  <w:vAlign w:val="center"/>
                </w:tcPr>
                <w:p w14:paraId="7CA3CA30">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CODcr</w:t>
                  </w:r>
                </w:p>
              </w:tc>
              <w:tc>
                <w:tcPr>
                  <w:tcW w:w="530" w:type="pct"/>
                  <w:vAlign w:val="center"/>
                </w:tcPr>
                <w:p w14:paraId="4DE97F3D">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BOD</w:t>
                  </w:r>
                  <w:r>
                    <w:rPr>
                      <w:rFonts w:hint="default" w:ascii="Times New Roman" w:hAnsi="Times New Roman" w:eastAsia="宋体" w:cs="Times New Roman"/>
                      <w:b w:val="0"/>
                      <w:bCs w:val="0"/>
                      <w:color w:val="000000"/>
                      <w:kern w:val="0"/>
                      <w:sz w:val="18"/>
                      <w:szCs w:val="18"/>
                      <w:vertAlign w:val="subscript"/>
                      <w:lang w:val="en-US" w:eastAsia="zh-CN" w:bidi="ar"/>
                    </w:rPr>
                    <w:t>5</w:t>
                  </w:r>
                </w:p>
              </w:tc>
              <w:tc>
                <w:tcPr>
                  <w:tcW w:w="530" w:type="pct"/>
                  <w:vAlign w:val="center"/>
                </w:tcPr>
                <w:p w14:paraId="6D352E2D">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SS</w:t>
                  </w:r>
                </w:p>
              </w:tc>
              <w:tc>
                <w:tcPr>
                  <w:tcW w:w="473" w:type="pct"/>
                  <w:vAlign w:val="center"/>
                </w:tcPr>
                <w:p w14:paraId="2ACA36B6">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NH</w:t>
                  </w:r>
                  <w:r>
                    <w:rPr>
                      <w:rFonts w:hint="default" w:ascii="Times New Roman" w:hAnsi="Times New Roman" w:eastAsia="宋体" w:cs="Times New Roman"/>
                      <w:b w:val="0"/>
                      <w:bCs w:val="0"/>
                      <w:color w:val="000000"/>
                      <w:kern w:val="0"/>
                      <w:sz w:val="18"/>
                      <w:szCs w:val="18"/>
                      <w:vertAlign w:val="subscript"/>
                      <w:lang w:val="en-US" w:eastAsia="zh-CN" w:bidi="ar"/>
                    </w:rPr>
                    <w:t>3</w:t>
                  </w:r>
                  <w:r>
                    <w:rPr>
                      <w:rFonts w:hint="default" w:ascii="Times New Roman" w:hAnsi="Times New Roman" w:eastAsia="宋体" w:cs="Times New Roman"/>
                      <w:b w:val="0"/>
                      <w:bCs w:val="0"/>
                      <w:color w:val="000000"/>
                      <w:kern w:val="0"/>
                      <w:sz w:val="18"/>
                      <w:szCs w:val="18"/>
                      <w:vertAlign w:val="baseline"/>
                      <w:lang w:val="en-US" w:eastAsia="zh-CN" w:bidi="ar"/>
                    </w:rPr>
                    <w:t>-N</w:t>
                  </w:r>
                </w:p>
              </w:tc>
              <w:tc>
                <w:tcPr>
                  <w:tcW w:w="484" w:type="pct"/>
                  <w:vAlign w:val="center"/>
                </w:tcPr>
                <w:p w14:paraId="11F583BA">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动植物油</w:t>
                  </w:r>
                </w:p>
              </w:tc>
              <w:tc>
                <w:tcPr>
                  <w:tcW w:w="473" w:type="pct"/>
                  <w:vAlign w:val="center"/>
                </w:tcPr>
                <w:p w14:paraId="78264BCE">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总氮</w:t>
                  </w:r>
                </w:p>
              </w:tc>
              <w:tc>
                <w:tcPr>
                  <w:tcW w:w="473" w:type="pct"/>
                  <w:vAlign w:val="center"/>
                </w:tcPr>
                <w:p w14:paraId="1C8E9C77">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总磷</w:t>
                  </w:r>
                </w:p>
              </w:tc>
            </w:tr>
            <w:tr w14:paraId="4C8BE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restart"/>
                  <w:vAlign w:val="center"/>
                </w:tcPr>
                <w:p w14:paraId="3E6877F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屠宰废水</w:t>
                  </w:r>
                  <w:r>
                    <w:rPr>
                      <w:rFonts w:hint="eastAsia" w:cs="Times New Roman"/>
                      <w:b w:val="0"/>
                      <w:bCs w:val="0"/>
                      <w:color w:val="000000"/>
                      <w:kern w:val="0"/>
                      <w:sz w:val="18"/>
                      <w:szCs w:val="18"/>
                      <w:vertAlign w:val="baseline"/>
                      <w:lang w:val="en-US" w:eastAsia="zh-CN" w:bidi="ar"/>
                    </w:rPr>
                    <w:t>34492.5</w:t>
                  </w:r>
                  <w:r>
                    <w:rPr>
                      <w:rFonts w:hint="default" w:ascii="Times New Roman" w:hAnsi="Times New Roman" w:eastAsia="宋体" w:cs="Times New Roman"/>
                      <w:b w:val="0"/>
                      <w:bCs w:val="0"/>
                      <w:color w:val="000000"/>
                      <w:kern w:val="0"/>
                      <w:sz w:val="18"/>
                      <w:szCs w:val="18"/>
                      <w:vertAlign w:val="baseline"/>
                      <w:lang w:val="en-US" w:eastAsia="zh-CN" w:bidi="ar"/>
                    </w:rPr>
                    <w:t>t/a</w:t>
                  </w:r>
                </w:p>
              </w:tc>
              <w:tc>
                <w:tcPr>
                  <w:tcW w:w="553" w:type="pct"/>
                  <w:vAlign w:val="center"/>
                </w:tcPr>
                <w:p w14:paraId="697ED84F">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产生浓度mg/L</w:t>
                  </w:r>
                </w:p>
              </w:tc>
              <w:tc>
                <w:tcPr>
                  <w:tcW w:w="562" w:type="pct"/>
                  <w:vAlign w:val="center"/>
                </w:tcPr>
                <w:p w14:paraId="66E05922">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2211</w:t>
                  </w:r>
                </w:p>
              </w:tc>
              <w:tc>
                <w:tcPr>
                  <w:tcW w:w="530" w:type="pct"/>
                  <w:vAlign w:val="center"/>
                </w:tcPr>
                <w:p w14:paraId="044854C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1000</w:t>
                  </w:r>
                </w:p>
              </w:tc>
              <w:tc>
                <w:tcPr>
                  <w:tcW w:w="530" w:type="pct"/>
                  <w:vAlign w:val="center"/>
                </w:tcPr>
                <w:p w14:paraId="2FEAED82">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1000</w:t>
                  </w:r>
                </w:p>
              </w:tc>
              <w:tc>
                <w:tcPr>
                  <w:tcW w:w="473" w:type="pct"/>
                  <w:vAlign w:val="center"/>
                </w:tcPr>
                <w:p w14:paraId="0693B8A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70</w:t>
                  </w:r>
                </w:p>
              </w:tc>
              <w:tc>
                <w:tcPr>
                  <w:tcW w:w="484" w:type="pct"/>
                  <w:vAlign w:val="center"/>
                </w:tcPr>
                <w:p w14:paraId="5444ECF6">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100</w:t>
                  </w:r>
                </w:p>
              </w:tc>
              <w:tc>
                <w:tcPr>
                  <w:tcW w:w="473" w:type="pct"/>
                  <w:vAlign w:val="center"/>
                </w:tcPr>
                <w:p w14:paraId="1745E1AD">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170</w:t>
                  </w:r>
                </w:p>
              </w:tc>
              <w:tc>
                <w:tcPr>
                  <w:tcW w:w="473" w:type="pct"/>
                  <w:vAlign w:val="center"/>
                </w:tcPr>
                <w:p w14:paraId="780C0BE9">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6</w:t>
                  </w:r>
                </w:p>
              </w:tc>
            </w:tr>
            <w:tr w14:paraId="43A08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continue"/>
                  <w:vAlign w:val="center"/>
                </w:tcPr>
                <w:p w14:paraId="6082F410">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p>
              </w:tc>
              <w:tc>
                <w:tcPr>
                  <w:tcW w:w="553" w:type="pct"/>
                  <w:vAlign w:val="center"/>
                </w:tcPr>
                <w:p w14:paraId="2A33A74C">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产生量t/a</w:t>
                  </w:r>
                </w:p>
              </w:tc>
              <w:tc>
                <w:tcPr>
                  <w:tcW w:w="562" w:type="pct"/>
                  <w:vAlign w:val="center"/>
                </w:tcPr>
                <w:p w14:paraId="6F18C5DD">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76.2629</w:t>
                  </w:r>
                </w:p>
              </w:tc>
              <w:tc>
                <w:tcPr>
                  <w:tcW w:w="530" w:type="pct"/>
                  <w:vAlign w:val="center"/>
                </w:tcPr>
                <w:p w14:paraId="6680F4FC">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34.4925</w:t>
                  </w:r>
                </w:p>
              </w:tc>
              <w:tc>
                <w:tcPr>
                  <w:tcW w:w="530" w:type="pct"/>
                  <w:vAlign w:val="center"/>
                </w:tcPr>
                <w:p w14:paraId="0F85E14E">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34.4925</w:t>
                  </w:r>
                </w:p>
              </w:tc>
              <w:tc>
                <w:tcPr>
                  <w:tcW w:w="473" w:type="pct"/>
                  <w:vAlign w:val="center"/>
                </w:tcPr>
                <w:p w14:paraId="302B2798">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2.4145</w:t>
                  </w:r>
                </w:p>
              </w:tc>
              <w:tc>
                <w:tcPr>
                  <w:tcW w:w="484" w:type="pct"/>
                  <w:vAlign w:val="center"/>
                </w:tcPr>
                <w:p w14:paraId="783F7BE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3.4493</w:t>
                  </w:r>
                </w:p>
              </w:tc>
              <w:tc>
                <w:tcPr>
                  <w:tcW w:w="473" w:type="pct"/>
                  <w:vAlign w:val="center"/>
                </w:tcPr>
                <w:p w14:paraId="7BB4825A">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5.8637</w:t>
                  </w:r>
                </w:p>
              </w:tc>
              <w:tc>
                <w:tcPr>
                  <w:tcW w:w="473" w:type="pct"/>
                  <w:vAlign w:val="center"/>
                </w:tcPr>
                <w:p w14:paraId="6B811DD5">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0.2</w:t>
                  </w:r>
                  <w:r>
                    <w:rPr>
                      <w:rFonts w:hint="eastAsia" w:cs="Times New Roman"/>
                      <w:b w:val="0"/>
                      <w:bCs w:val="0"/>
                      <w:color w:val="000000"/>
                      <w:kern w:val="0"/>
                      <w:sz w:val="18"/>
                      <w:szCs w:val="18"/>
                      <w:vertAlign w:val="baseline"/>
                      <w:lang w:val="en-US" w:eastAsia="zh-CN" w:bidi="ar"/>
                    </w:rPr>
                    <w:t>070</w:t>
                  </w:r>
                </w:p>
              </w:tc>
            </w:tr>
            <w:tr w14:paraId="2846F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restart"/>
                  <w:vAlign w:val="center"/>
                </w:tcPr>
                <w:p w14:paraId="0DD54C5A">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车辆清洗废水1314t/a</w:t>
                  </w:r>
                </w:p>
              </w:tc>
              <w:tc>
                <w:tcPr>
                  <w:tcW w:w="553" w:type="pct"/>
                  <w:vAlign w:val="center"/>
                </w:tcPr>
                <w:p w14:paraId="12A9B9FC">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产生浓度mg/L</w:t>
                  </w:r>
                </w:p>
              </w:tc>
              <w:tc>
                <w:tcPr>
                  <w:tcW w:w="562" w:type="pct"/>
                  <w:vAlign w:val="center"/>
                </w:tcPr>
                <w:p w14:paraId="468ADDF5">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530" w:type="pct"/>
                  <w:vAlign w:val="center"/>
                </w:tcPr>
                <w:p w14:paraId="1E82C20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530" w:type="pct"/>
                  <w:vAlign w:val="center"/>
                </w:tcPr>
                <w:p w14:paraId="1158DD04">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473" w:type="pct"/>
                  <w:vAlign w:val="center"/>
                </w:tcPr>
                <w:p w14:paraId="43D22644">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484" w:type="pct"/>
                  <w:vAlign w:val="center"/>
                </w:tcPr>
                <w:p w14:paraId="7630FD69">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42255ED0">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28549FE5">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r>
            <w:tr w14:paraId="7DC20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continue"/>
                  <w:vAlign w:val="center"/>
                </w:tcPr>
                <w:p w14:paraId="40A3A14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p>
              </w:tc>
              <w:tc>
                <w:tcPr>
                  <w:tcW w:w="553" w:type="pct"/>
                  <w:vAlign w:val="center"/>
                </w:tcPr>
                <w:p w14:paraId="14DDD5A7">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产生量t/a</w:t>
                  </w:r>
                </w:p>
              </w:tc>
              <w:tc>
                <w:tcPr>
                  <w:tcW w:w="562" w:type="pct"/>
                  <w:vAlign w:val="center"/>
                </w:tcPr>
                <w:p w14:paraId="45AD676D">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530" w:type="pct"/>
                  <w:vAlign w:val="center"/>
                </w:tcPr>
                <w:p w14:paraId="2014DC4D">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530" w:type="pct"/>
                  <w:vAlign w:val="center"/>
                </w:tcPr>
                <w:p w14:paraId="17FCABE6">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473" w:type="pct"/>
                  <w:vAlign w:val="center"/>
                </w:tcPr>
                <w:p w14:paraId="067AB907">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w:t>
                  </w:r>
                </w:p>
              </w:tc>
              <w:tc>
                <w:tcPr>
                  <w:tcW w:w="484" w:type="pct"/>
                  <w:vAlign w:val="center"/>
                </w:tcPr>
                <w:p w14:paraId="2980C58B">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42AD74F5">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41A92A7A">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r>
            <w:tr w14:paraId="330D4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restart"/>
                  <w:vAlign w:val="center"/>
                </w:tcPr>
                <w:p w14:paraId="0ABBC07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生活污水262.5t/a</w:t>
                  </w:r>
                </w:p>
              </w:tc>
              <w:tc>
                <w:tcPr>
                  <w:tcW w:w="553" w:type="pct"/>
                  <w:vAlign w:val="center"/>
                </w:tcPr>
                <w:p w14:paraId="15687A02">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产生浓度mg/L</w:t>
                  </w:r>
                </w:p>
              </w:tc>
              <w:tc>
                <w:tcPr>
                  <w:tcW w:w="562" w:type="pct"/>
                  <w:vAlign w:val="center"/>
                </w:tcPr>
                <w:p w14:paraId="0C0FA7AE">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350</w:t>
                  </w:r>
                </w:p>
              </w:tc>
              <w:tc>
                <w:tcPr>
                  <w:tcW w:w="530" w:type="pct"/>
                  <w:vAlign w:val="center"/>
                </w:tcPr>
                <w:p w14:paraId="6ED20BFA">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200</w:t>
                  </w:r>
                </w:p>
              </w:tc>
              <w:tc>
                <w:tcPr>
                  <w:tcW w:w="530" w:type="pct"/>
                  <w:vAlign w:val="center"/>
                </w:tcPr>
                <w:p w14:paraId="6C4B25A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25</w:t>
                  </w:r>
                </w:p>
              </w:tc>
              <w:tc>
                <w:tcPr>
                  <w:tcW w:w="473" w:type="pct"/>
                  <w:vAlign w:val="center"/>
                </w:tcPr>
                <w:p w14:paraId="072CF5E6">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200</w:t>
                  </w:r>
                </w:p>
              </w:tc>
              <w:tc>
                <w:tcPr>
                  <w:tcW w:w="484" w:type="pct"/>
                  <w:vAlign w:val="center"/>
                </w:tcPr>
                <w:p w14:paraId="0C66B72E">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0EAE5F3B">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62EFBDDA">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r>
            <w:tr w14:paraId="2ACA0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continue"/>
                  <w:vAlign w:val="center"/>
                </w:tcPr>
                <w:p w14:paraId="0F1F9184">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p>
              </w:tc>
              <w:tc>
                <w:tcPr>
                  <w:tcW w:w="553" w:type="pct"/>
                  <w:vAlign w:val="center"/>
                </w:tcPr>
                <w:p w14:paraId="1C7FCEA9">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产生量t/a</w:t>
                  </w:r>
                </w:p>
              </w:tc>
              <w:tc>
                <w:tcPr>
                  <w:tcW w:w="562" w:type="pct"/>
                  <w:vAlign w:val="center"/>
                </w:tcPr>
                <w:p w14:paraId="7EBE578D">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0.0919</w:t>
                  </w:r>
                </w:p>
              </w:tc>
              <w:tc>
                <w:tcPr>
                  <w:tcW w:w="530" w:type="pct"/>
                  <w:vAlign w:val="center"/>
                </w:tcPr>
                <w:p w14:paraId="6B9A7329">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0.0525</w:t>
                  </w:r>
                </w:p>
              </w:tc>
              <w:tc>
                <w:tcPr>
                  <w:tcW w:w="530" w:type="pct"/>
                  <w:vAlign w:val="center"/>
                </w:tcPr>
                <w:p w14:paraId="10F1EA71">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0.0066</w:t>
                  </w:r>
                </w:p>
              </w:tc>
              <w:tc>
                <w:tcPr>
                  <w:tcW w:w="473" w:type="pct"/>
                  <w:vAlign w:val="center"/>
                </w:tcPr>
                <w:p w14:paraId="4E68A4C1">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0.0525</w:t>
                  </w:r>
                </w:p>
              </w:tc>
              <w:tc>
                <w:tcPr>
                  <w:tcW w:w="484" w:type="pct"/>
                  <w:vAlign w:val="center"/>
                </w:tcPr>
                <w:p w14:paraId="3B51632F">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1D52A35F">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c>
                <w:tcPr>
                  <w:tcW w:w="473" w:type="pct"/>
                  <w:vAlign w:val="center"/>
                </w:tcPr>
                <w:p w14:paraId="2C3B3F0A">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w:t>
                  </w:r>
                </w:p>
              </w:tc>
            </w:tr>
            <w:tr w14:paraId="17E42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restart"/>
                  <w:vAlign w:val="center"/>
                </w:tcPr>
                <w:p w14:paraId="713EAC30">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综合废水</w:t>
                  </w:r>
                  <w:r>
                    <w:rPr>
                      <w:rFonts w:hint="eastAsia" w:cs="Times New Roman"/>
                      <w:b w:val="0"/>
                      <w:bCs w:val="0"/>
                      <w:color w:val="000000"/>
                      <w:kern w:val="0"/>
                      <w:sz w:val="18"/>
                      <w:szCs w:val="18"/>
                      <w:vertAlign w:val="baseline"/>
                      <w:lang w:val="en-US" w:eastAsia="zh-CN" w:bidi="ar"/>
                    </w:rPr>
                    <w:t>36069</w:t>
                  </w:r>
                  <w:r>
                    <w:rPr>
                      <w:rFonts w:hint="default" w:ascii="Times New Roman" w:hAnsi="Times New Roman" w:eastAsia="宋体" w:cs="Times New Roman"/>
                      <w:b w:val="0"/>
                      <w:bCs w:val="0"/>
                      <w:color w:val="000000"/>
                      <w:kern w:val="0"/>
                      <w:sz w:val="18"/>
                      <w:szCs w:val="18"/>
                      <w:vertAlign w:val="baseline"/>
                      <w:lang w:val="en-US" w:eastAsia="zh-CN" w:bidi="ar"/>
                    </w:rPr>
                    <w:t>t/a</w:t>
                  </w:r>
                </w:p>
              </w:tc>
              <w:tc>
                <w:tcPr>
                  <w:tcW w:w="553" w:type="pct"/>
                  <w:vAlign w:val="center"/>
                </w:tcPr>
                <w:p w14:paraId="2DC154C7">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产生浓度mg/L</w:t>
                  </w:r>
                </w:p>
              </w:tc>
              <w:tc>
                <w:tcPr>
                  <w:tcW w:w="562" w:type="pct"/>
                  <w:vAlign w:val="center"/>
                </w:tcPr>
                <w:p w14:paraId="36378461">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21</w:t>
                  </w:r>
                  <w:r>
                    <w:rPr>
                      <w:rFonts w:hint="eastAsia" w:cs="Times New Roman"/>
                      <w:b w:val="0"/>
                      <w:bCs w:val="0"/>
                      <w:color w:val="000000"/>
                      <w:kern w:val="0"/>
                      <w:sz w:val="18"/>
                      <w:szCs w:val="18"/>
                      <w:vertAlign w:val="baseline"/>
                      <w:lang w:val="en-US" w:eastAsia="zh-CN" w:bidi="ar"/>
                    </w:rPr>
                    <w:t>17</w:t>
                  </w:r>
                </w:p>
              </w:tc>
              <w:tc>
                <w:tcPr>
                  <w:tcW w:w="530" w:type="pct"/>
                  <w:vAlign w:val="center"/>
                </w:tcPr>
                <w:p w14:paraId="1D9407B0">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9</w:t>
                  </w:r>
                  <w:r>
                    <w:rPr>
                      <w:rFonts w:hint="eastAsia" w:cs="Times New Roman"/>
                      <w:b w:val="0"/>
                      <w:bCs w:val="0"/>
                      <w:color w:val="000000"/>
                      <w:kern w:val="0"/>
                      <w:sz w:val="18"/>
                      <w:szCs w:val="18"/>
                      <w:vertAlign w:val="baseline"/>
                      <w:lang w:val="en-US" w:eastAsia="zh-CN" w:bidi="ar"/>
                    </w:rPr>
                    <w:t>58</w:t>
                  </w:r>
                </w:p>
              </w:tc>
              <w:tc>
                <w:tcPr>
                  <w:tcW w:w="530" w:type="pct"/>
                  <w:vAlign w:val="center"/>
                </w:tcPr>
                <w:p w14:paraId="342D521C">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9</w:t>
                  </w:r>
                  <w:r>
                    <w:rPr>
                      <w:rFonts w:hint="eastAsia" w:cs="Times New Roman"/>
                      <w:b w:val="0"/>
                      <w:bCs w:val="0"/>
                      <w:color w:val="000000"/>
                      <w:kern w:val="0"/>
                      <w:sz w:val="18"/>
                      <w:szCs w:val="18"/>
                      <w:vertAlign w:val="baseline"/>
                      <w:lang w:val="en-US" w:eastAsia="zh-CN" w:bidi="ar"/>
                    </w:rPr>
                    <w:t>56</w:t>
                  </w:r>
                </w:p>
              </w:tc>
              <w:tc>
                <w:tcPr>
                  <w:tcW w:w="473" w:type="pct"/>
                  <w:vAlign w:val="center"/>
                </w:tcPr>
                <w:p w14:paraId="5727BB65">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6</w:t>
                  </w:r>
                  <w:r>
                    <w:rPr>
                      <w:rFonts w:hint="eastAsia" w:cs="Times New Roman"/>
                      <w:b w:val="0"/>
                      <w:bCs w:val="0"/>
                      <w:color w:val="000000"/>
                      <w:kern w:val="0"/>
                      <w:sz w:val="18"/>
                      <w:szCs w:val="18"/>
                      <w:vertAlign w:val="baseline"/>
                      <w:lang w:val="en-US" w:eastAsia="zh-CN" w:bidi="ar"/>
                    </w:rPr>
                    <w:t>8</w:t>
                  </w:r>
                </w:p>
              </w:tc>
              <w:tc>
                <w:tcPr>
                  <w:tcW w:w="484" w:type="pct"/>
                  <w:vAlign w:val="center"/>
                </w:tcPr>
                <w:p w14:paraId="5204CD1F">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9</w:t>
                  </w:r>
                  <w:r>
                    <w:rPr>
                      <w:rFonts w:hint="eastAsia" w:cs="Times New Roman"/>
                      <w:b w:val="0"/>
                      <w:bCs w:val="0"/>
                      <w:color w:val="000000"/>
                      <w:kern w:val="0"/>
                      <w:sz w:val="18"/>
                      <w:szCs w:val="18"/>
                      <w:vertAlign w:val="baseline"/>
                      <w:lang w:val="en-US" w:eastAsia="zh-CN" w:bidi="ar"/>
                    </w:rPr>
                    <w:t>6</w:t>
                  </w:r>
                </w:p>
              </w:tc>
              <w:tc>
                <w:tcPr>
                  <w:tcW w:w="473" w:type="pct"/>
                  <w:vAlign w:val="center"/>
                </w:tcPr>
                <w:p w14:paraId="3FCB2203">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16</w:t>
                  </w:r>
                  <w:r>
                    <w:rPr>
                      <w:rFonts w:hint="eastAsia" w:cs="Times New Roman"/>
                      <w:b w:val="0"/>
                      <w:bCs w:val="0"/>
                      <w:color w:val="000000"/>
                      <w:kern w:val="0"/>
                      <w:sz w:val="18"/>
                      <w:szCs w:val="18"/>
                      <w:vertAlign w:val="baseline"/>
                      <w:lang w:val="en-US" w:eastAsia="zh-CN" w:bidi="ar"/>
                    </w:rPr>
                    <w:t>3</w:t>
                  </w:r>
                </w:p>
              </w:tc>
              <w:tc>
                <w:tcPr>
                  <w:tcW w:w="473" w:type="pct"/>
                  <w:vAlign w:val="center"/>
                </w:tcPr>
                <w:p w14:paraId="2058C2B9">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6</w:t>
                  </w:r>
                </w:p>
              </w:tc>
            </w:tr>
            <w:tr w14:paraId="50B0F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pct"/>
                  <w:vMerge w:val="continue"/>
                  <w:vAlign w:val="center"/>
                </w:tcPr>
                <w:p w14:paraId="3E1D2684">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p>
              </w:tc>
              <w:tc>
                <w:tcPr>
                  <w:tcW w:w="553" w:type="pct"/>
                  <w:vAlign w:val="center"/>
                </w:tcPr>
                <w:p w14:paraId="65980D0C">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eastAsia="宋体" w:cs="Times New Roman"/>
                      <w:b w:val="0"/>
                      <w:bCs w:val="0"/>
                      <w:color w:val="000000"/>
                      <w:kern w:val="0"/>
                      <w:sz w:val="18"/>
                      <w:szCs w:val="18"/>
                      <w:vertAlign w:val="baseline"/>
                      <w:lang w:val="en-US" w:eastAsia="zh-CN" w:bidi="ar"/>
                    </w:rPr>
                    <w:t>产生量t/a</w:t>
                  </w:r>
                </w:p>
              </w:tc>
              <w:tc>
                <w:tcPr>
                  <w:tcW w:w="562" w:type="pct"/>
                  <w:vAlign w:val="center"/>
                </w:tcPr>
                <w:p w14:paraId="290045CC">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76.3548</w:t>
                  </w:r>
                </w:p>
              </w:tc>
              <w:tc>
                <w:tcPr>
                  <w:tcW w:w="530" w:type="pct"/>
                  <w:vAlign w:val="center"/>
                </w:tcPr>
                <w:p w14:paraId="609DC9B6">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34.545</w:t>
                  </w:r>
                </w:p>
              </w:tc>
              <w:tc>
                <w:tcPr>
                  <w:tcW w:w="530" w:type="pct"/>
                  <w:vAlign w:val="center"/>
                </w:tcPr>
                <w:p w14:paraId="51536DE5">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34.4991</w:t>
                  </w:r>
                </w:p>
              </w:tc>
              <w:tc>
                <w:tcPr>
                  <w:tcW w:w="473" w:type="pct"/>
                  <w:vAlign w:val="center"/>
                </w:tcPr>
                <w:p w14:paraId="7A0E0656">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2.467</w:t>
                  </w:r>
                </w:p>
              </w:tc>
              <w:tc>
                <w:tcPr>
                  <w:tcW w:w="484" w:type="pct"/>
                  <w:vAlign w:val="center"/>
                </w:tcPr>
                <w:p w14:paraId="4BA15842">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3.4493</w:t>
                  </w:r>
                </w:p>
              </w:tc>
              <w:tc>
                <w:tcPr>
                  <w:tcW w:w="473" w:type="pct"/>
                  <w:vAlign w:val="center"/>
                </w:tcPr>
                <w:p w14:paraId="19A6A0B1">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eastAsia" w:cs="Times New Roman"/>
                      <w:b w:val="0"/>
                      <w:bCs w:val="0"/>
                      <w:color w:val="000000"/>
                      <w:kern w:val="0"/>
                      <w:sz w:val="18"/>
                      <w:szCs w:val="18"/>
                      <w:vertAlign w:val="baseline"/>
                      <w:lang w:val="en-US" w:eastAsia="zh-CN" w:bidi="ar"/>
                    </w:rPr>
                    <w:t>5.8637</w:t>
                  </w:r>
                </w:p>
              </w:tc>
              <w:tc>
                <w:tcPr>
                  <w:tcW w:w="473" w:type="pct"/>
                  <w:vAlign w:val="center"/>
                </w:tcPr>
                <w:p w14:paraId="7E335888">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default" w:ascii="Times New Roman" w:hAnsi="Times New Roman" w:eastAsia="宋体" w:cs="Times New Roman"/>
                      <w:b w:val="0"/>
                      <w:bCs w:val="0"/>
                      <w:color w:val="000000"/>
                      <w:kern w:val="0"/>
                      <w:sz w:val="18"/>
                      <w:szCs w:val="18"/>
                      <w:vertAlign w:val="baseline"/>
                      <w:lang w:val="en-US" w:eastAsia="zh-CN" w:bidi="ar"/>
                    </w:rPr>
                  </w:pPr>
                  <w:r>
                    <w:rPr>
                      <w:rFonts w:hint="default" w:ascii="Times New Roman" w:hAnsi="Times New Roman" w:cs="Times New Roman"/>
                      <w:b w:val="0"/>
                      <w:bCs w:val="0"/>
                      <w:color w:val="000000"/>
                      <w:kern w:val="0"/>
                      <w:sz w:val="18"/>
                      <w:szCs w:val="18"/>
                      <w:vertAlign w:val="baseline"/>
                      <w:lang w:val="en-US" w:eastAsia="zh-CN" w:bidi="ar"/>
                    </w:rPr>
                    <w:t>0.2</w:t>
                  </w:r>
                  <w:r>
                    <w:rPr>
                      <w:rFonts w:hint="eastAsia" w:cs="Times New Roman"/>
                      <w:b w:val="0"/>
                      <w:bCs w:val="0"/>
                      <w:color w:val="000000"/>
                      <w:kern w:val="0"/>
                      <w:sz w:val="18"/>
                      <w:szCs w:val="18"/>
                      <w:vertAlign w:val="baseline"/>
                      <w:lang w:val="en-US" w:eastAsia="zh-CN" w:bidi="ar"/>
                    </w:rPr>
                    <w:t>070</w:t>
                  </w:r>
                </w:p>
              </w:tc>
            </w:tr>
          </w:tbl>
          <w:p w14:paraId="3E6BE57C">
            <w:pPr>
              <w:pStyle w:val="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场内屠宰生产废水、车辆清洗废水和生产废水均需通过自建的污水处理设施预处理。项目前期通过槽罐车运输项目废水，待污水管网铺设完毕，项目废水通过污水管网系统排入南岳区污水处理厂进一步处理，项目外排废水污染物产排情况见表4-11。</w:t>
            </w:r>
          </w:p>
          <w:p w14:paraId="59B653E2">
            <w:pPr>
              <w:pStyle w:val="6"/>
              <w:pageBreakBefore w:val="0"/>
              <w:wordWrap/>
              <w:overflowPunct/>
              <w:spacing w:beforeAutospacing="0" w:afterAutospacing="0" w:line="360" w:lineRule="auto"/>
              <w:ind w:left="0" w:leftChars="0" w:right="0" w:firstLine="0" w:firstLineChars="0"/>
              <w:jc w:val="center"/>
              <w:rPr>
                <w:rFonts w:hint="default" w:ascii="Times New Roman" w:hAnsi="Times New Roman" w:cs="Times New Roman"/>
                <w:b/>
                <w:bCs/>
                <w:color w:val="000000"/>
                <w:kern w:val="0"/>
                <w:sz w:val="21"/>
                <w:szCs w:val="21"/>
                <w:lang w:val="en-US" w:eastAsia="zh-CN" w:bidi="ar"/>
              </w:rPr>
            </w:pPr>
            <w:r>
              <w:rPr>
                <w:rFonts w:hint="default" w:ascii="Times New Roman" w:hAnsi="Times New Roman" w:cs="Times New Roman"/>
                <w:b/>
                <w:bCs/>
                <w:color w:val="000000"/>
                <w:kern w:val="0"/>
                <w:sz w:val="21"/>
                <w:szCs w:val="21"/>
                <w:lang w:val="en-US" w:eastAsia="zh-CN" w:bidi="ar"/>
              </w:rPr>
              <w:t>表4-11  外排废水污染物产排情况汇总一览表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724"/>
              <w:gridCol w:w="801"/>
              <w:gridCol w:w="606"/>
              <w:gridCol w:w="396"/>
              <w:gridCol w:w="576"/>
              <w:gridCol w:w="636"/>
              <w:gridCol w:w="681"/>
              <w:gridCol w:w="396"/>
              <w:gridCol w:w="784"/>
              <w:gridCol w:w="606"/>
              <w:gridCol w:w="711"/>
              <w:gridCol w:w="607"/>
            </w:tblGrid>
            <w:tr w14:paraId="1A1A6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9" w:type="pct"/>
                  <w:vMerge w:val="restart"/>
                  <w:vAlign w:val="center"/>
                </w:tcPr>
                <w:p w14:paraId="120F559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产排污环节</w:t>
                  </w:r>
                </w:p>
              </w:tc>
              <w:tc>
                <w:tcPr>
                  <w:tcW w:w="455" w:type="pct"/>
                  <w:vMerge w:val="restart"/>
                  <w:vAlign w:val="center"/>
                </w:tcPr>
                <w:p w14:paraId="701FD0E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污染物种类</w:t>
                  </w:r>
                </w:p>
              </w:tc>
              <w:tc>
                <w:tcPr>
                  <w:tcW w:w="886" w:type="pct"/>
                  <w:gridSpan w:val="2"/>
                  <w:vAlign w:val="center"/>
                </w:tcPr>
                <w:p w14:paraId="025C653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污染物产生情况</w:t>
                  </w:r>
                </w:p>
              </w:tc>
              <w:tc>
                <w:tcPr>
                  <w:tcW w:w="249" w:type="pct"/>
                  <w:vMerge w:val="restart"/>
                  <w:vAlign w:val="center"/>
                </w:tcPr>
                <w:p w14:paraId="283682C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排放形式</w:t>
                  </w:r>
                </w:p>
              </w:tc>
              <w:tc>
                <w:tcPr>
                  <w:tcW w:w="1442" w:type="pct"/>
                  <w:gridSpan w:val="4"/>
                  <w:vAlign w:val="center"/>
                </w:tcPr>
                <w:p w14:paraId="341F349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治理设施情况</w:t>
                  </w:r>
                </w:p>
              </w:tc>
              <w:tc>
                <w:tcPr>
                  <w:tcW w:w="886" w:type="pct"/>
                  <w:gridSpan w:val="2"/>
                  <w:vAlign w:val="center"/>
                </w:tcPr>
                <w:p w14:paraId="06714FA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企业排放口污染物排放情况</w:t>
                  </w:r>
                </w:p>
              </w:tc>
              <w:tc>
                <w:tcPr>
                  <w:tcW w:w="830" w:type="pct"/>
                  <w:gridSpan w:val="2"/>
                  <w:vAlign w:val="center"/>
                </w:tcPr>
                <w:p w14:paraId="48DA049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经污水处理厂处理后污染物排放浓度mg/L</w:t>
                  </w:r>
                </w:p>
              </w:tc>
            </w:tr>
            <w:tr w14:paraId="2135D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9" w:type="pct"/>
                  <w:vMerge w:val="continue"/>
                  <w:vAlign w:val="center"/>
                </w:tcPr>
                <w:p w14:paraId="0FE0936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55" w:type="pct"/>
                  <w:vMerge w:val="continue"/>
                  <w:vAlign w:val="center"/>
                </w:tcPr>
                <w:p w14:paraId="084C91A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504" w:type="pct"/>
                  <w:vAlign w:val="center"/>
                </w:tcPr>
                <w:p w14:paraId="4663E24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产生量t/a</w:t>
                  </w:r>
                </w:p>
              </w:tc>
              <w:tc>
                <w:tcPr>
                  <w:tcW w:w="381" w:type="pct"/>
                  <w:vAlign w:val="center"/>
                </w:tcPr>
                <w:p w14:paraId="2E172DC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产生浓度mg/L</w:t>
                  </w:r>
                </w:p>
              </w:tc>
              <w:tc>
                <w:tcPr>
                  <w:tcW w:w="249" w:type="pct"/>
                  <w:vMerge w:val="continue"/>
                  <w:vAlign w:val="center"/>
                </w:tcPr>
                <w:p w14:paraId="5B8145D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363" w:type="pct"/>
                  <w:vAlign w:val="center"/>
                </w:tcPr>
                <w:p w14:paraId="14AA7B9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治理措施</w:t>
                  </w:r>
                </w:p>
              </w:tc>
              <w:tc>
                <w:tcPr>
                  <w:tcW w:w="400" w:type="pct"/>
                  <w:vAlign w:val="center"/>
                </w:tcPr>
                <w:p w14:paraId="7D91D4A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收集效率</w:t>
                  </w:r>
                </w:p>
              </w:tc>
              <w:tc>
                <w:tcPr>
                  <w:tcW w:w="429" w:type="pct"/>
                  <w:vAlign w:val="center"/>
                </w:tcPr>
                <w:p w14:paraId="2EF28BB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治理工艺去除率</w:t>
                  </w:r>
                </w:p>
              </w:tc>
              <w:tc>
                <w:tcPr>
                  <w:tcW w:w="249" w:type="pct"/>
                  <w:vAlign w:val="center"/>
                </w:tcPr>
                <w:p w14:paraId="4FD0C6A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是否为可行性技术</w:t>
                  </w:r>
                </w:p>
              </w:tc>
              <w:tc>
                <w:tcPr>
                  <w:tcW w:w="504" w:type="pct"/>
                  <w:vAlign w:val="center"/>
                </w:tcPr>
                <w:p w14:paraId="3264D14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排放量t/a</w:t>
                  </w:r>
                </w:p>
              </w:tc>
              <w:tc>
                <w:tcPr>
                  <w:tcW w:w="381" w:type="pct"/>
                  <w:vAlign w:val="center"/>
                </w:tcPr>
                <w:p w14:paraId="5020C41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排放浓度mg/L</w:t>
                  </w:r>
                </w:p>
              </w:tc>
              <w:tc>
                <w:tcPr>
                  <w:tcW w:w="447" w:type="pct"/>
                  <w:vAlign w:val="center"/>
                </w:tcPr>
                <w:p w14:paraId="4B6823E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排放量t/a</w:t>
                  </w:r>
                </w:p>
              </w:tc>
              <w:tc>
                <w:tcPr>
                  <w:tcW w:w="382" w:type="pct"/>
                  <w:vAlign w:val="center"/>
                </w:tcPr>
                <w:p w14:paraId="40D6787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排放浓度mg/L</w:t>
                  </w:r>
                </w:p>
              </w:tc>
            </w:tr>
            <w:tr w14:paraId="5686F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49" w:type="pct"/>
                  <w:vMerge w:val="restart"/>
                  <w:vAlign w:val="center"/>
                </w:tcPr>
                <w:p w14:paraId="2CB6FB7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综合废水</w:t>
                  </w:r>
                </w:p>
              </w:tc>
              <w:tc>
                <w:tcPr>
                  <w:tcW w:w="455" w:type="pct"/>
                  <w:vAlign w:val="center"/>
                </w:tcPr>
                <w:p w14:paraId="690BC05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COD</w:t>
                  </w:r>
                </w:p>
              </w:tc>
              <w:tc>
                <w:tcPr>
                  <w:tcW w:w="504" w:type="pct"/>
                  <w:vAlign w:val="center"/>
                </w:tcPr>
                <w:p w14:paraId="40BE557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76.2629</w:t>
                  </w:r>
                </w:p>
              </w:tc>
              <w:tc>
                <w:tcPr>
                  <w:tcW w:w="381" w:type="pct"/>
                  <w:vAlign w:val="center"/>
                </w:tcPr>
                <w:p w14:paraId="2EF0EB0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21</w:t>
                  </w:r>
                  <w:r>
                    <w:rPr>
                      <w:rFonts w:hint="eastAsia" w:cs="Times New Roman"/>
                      <w:lang w:val="en-US" w:eastAsia="zh-CN"/>
                    </w:rPr>
                    <w:t>17</w:t>
                  </w:r>
                </w:p>
              </w:tc>
              <w:tc>
                <w:tcPr>
                  <w:tcW w:w="249" w:type="pct"/>
                  <w:vMerge w:val="restart"/>
                  <w:vAlign w:val="center"/>
                </w:tcPr>
                <w:p w14:paraId="3A862A6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间接排放</w:t>
                  </w:r>
                </w:p>
              </w:tc>
              <w:tc>
                <w:tcPr>
                  <w:tcW w:w="363" w:type="pct"/>
                  <w:vMerge w:val="restart"/>
                  <w:vAlign w:val="center"/>
                </w:tcPr>
                <w:p w14:paraId="145A8D2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化粪池、自建污水处理设施预处理</w:t>
                  </w:r>
                </w:p>
              </w:tc>
              <w:tc>
                <w:tcPr>
                  <w:tcW w:w="400" w:type="pct"/>
                  <w:vMerge w:val="restart"/>
                  <w:vAlign w:val="center"/>
                </w:tcPr>
                <w:p w14:paraId="3482CEC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100%</w:t>
                  </w:r>
                </w:p>
              </w:tc>
              <w:tc>
                <w:tcPr>
                  <w:tcW w:w="429" w:type="pct"/>
                  <w:vAlign w:val="center"/>
                </w:tcPr>
                <w:p w14:paraId="7EA581A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87.</w:t>
                  </w:r>
                  <w:r>
                    <w:rPr>
                      <w:rFonts w:hint="eastAsia" w:cs="Times New Roman"/>
                      <w:lang w:val="en-US" w:eastAsia="zh-CN"/>
                    </w:rPr>
                    <w:t>7</w:t>
                  </w:r>
                  <w:r>
                    <w:rPr>
                      <w:rFonts w:hint="default" w:ascii="Times New Roman" w:hAnsi="Times New Roman" w:cs="Times New Roman"/>
                      <w:lang w:val="en-US" w:eastAsia="zh-CN"/>
                    </w:rPr>
                    <w:t>%</w:t>
                  </w:r>
                </w:p>
              </w:tc>
              <w:tc>
                <w:tcPr>
                  <w:tcW w:w="249" w:type="pct"/>
                  <w:vMerge w:val="restart"/>
                  <w:vAlign w:val="center"/>
                </w:tcPr>
                <w:p w14:paraId="10F9EB8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是</w:t>
                  </w:r>
                </w:p>
              </w:tc>
              <w:tc>
                <w:tcPr>
                  <w:tcW w:w="504" w:type="pct"/>
                  <w:vAlign w:val="center"/>
                </w:tcPr>
                <w:p w14:paraId="38BD319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9.3779</w:t>
                  </w:r>
                </w:p>
              </w:tc>
              <w:tc>
                <w:tcPr>
                  <w:tcW w:w="381" w:type="pct"/>
                  <w:vAlign w:val="center"/>
                </w:tcPr>
                <w:p w14:paraId="4324ED2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260</w:t>
                  </w:r>
                </w:p>
              </w:tc>
              <w:tc>
                <w:tcPr>
                  <w:tcW w:w="447" w:type="pct"/>
                  <w:vAlign w:val="center"/>
                </w:tcPr>
                <w:p w14:paraId="121988C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1.0821</w:t>
                  </w:r>
                </w:p>
              </w:tc>
              <w:tc>
                <w:tcPr>
                  <w:tcW w:w="382" w:type="pct"/>
                  <w:vAlign w:val="center"/>
                </w:tcPr>
                <w:p w14:paraId="6B862CD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30</w:t>
                  </w:r>
                </w:p>
              </w:tc>
            </w:tr>
            <w:tr w14:paraId="3562E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49" w:type="pct"/>
                  <w:vMerge w:val="continue"/>
                  <w:vAlign w:val="center"/>
                </w:tcPr>
                <w:p w14:paraId="441D7D9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55" w:type="pct"/>
                  <w:vAlign w:val="center"/>
                </w:tcPr>
                <w:p w14:paraId="1A90473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BOD</w:t>
                  </w:r>
                  <w:r>
                    <w:rPr>
                      <w:rFonts w:hint="default" w:ascii="Times New Roman" w:hAnsi="Times New Roman" w:cs="Times New Roman"/>
                      <w:vertAlign w:val="subscript"/>
                      <w:lang w:val="en-US" w:eastAsia="zh-CN"/>
                    </w:rPr>
                    <w:t>5</w:t>
                  </w:r>
                </w:p>
              </w:tc>
              <w:tc>
                <w:tcPr>
                  <w:tcW w:w="504" w:type="pct"/>
                  <w:vAlign w:val="center"/>
                </w:tcPr>
                <w:p w14:paraId="3970126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34.545</w:t>
                  </w:r>
                </w:p>
              </w:tc>
              <w:tc>
                <w:tcPr>
                  <w:tcW w:w="381" w:type="pct"/>
                  <w:vAlign w:val="center"/>
                </w:tcPr>
                <w:p w14:paraId="46C765E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9</w:t>
                  </w:r>
                  <w:r>
                    <w:rPr>
                      <w:rFonts w:hint="eastAsia" w:cs="Times New Roman"/>
                      <w:lang w:val="en-US" w:eastAsia="zh-CN"/>
                    </w:rPr>
                    <w:t>58</w:t>
                  </w:r>
                </w:p>
              </w:tc>
              <w:tc>
                <w:tcPr>
                  <w:tcW w:w="249" w:type="pct"/>
                  <w:vMerge w:val="continue"/>
                  <w:vAlign w:val="center"/>
                </w:tcPr>
                <w:p w14:paraId="5A84F33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363" w:type="pct"/>
                  <w:vMerge w:val="continue"/>
                  <w:vAlign w:val="center"/>
                </w:tcPr>
                <w:p w14:paraId="1242C58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00" w:type="pct"/>
                  <w:vMerge w:val="continue"/>
                  <w:vAlign w:val="center"/>
                </w:tcPr>
                <w:p w14:paraId="0EDCBD5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29" w:type="pct"/>
                  <w:vAlign w:val="center"/>
                </w:tcPr>
                <w:p w14:paraId="0BB8BEB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86.</w:t>
                  </w:r>
                  <w:r>
                    <w:rPr>
                      <w:rFonts w:hint="eastAsia" w:cs="Times New Roman"/>
                      <w:lang w:val="en-US" w:eastAsia="zh-CN"/>
                    </w:rPr>
                    <w:t>4</w:t>
                  </w:r>
                  <w:r>
                    <w:rPr>
                      <w:rFonts w:hint="default" w:ascii="Times New Roman" w:hAnsi="Times New Roman" w:cs="Times New Roman"/>
                      <w:lang w:val="en-US" w:eastAsia="zh-CN"/>
                    </w:rPr>
                    <w:t>%</w:t>
                  </w:r>
                </w:p>
              </w:tc>
              <w:tc>
                <w:tcPr>
                  <w:tcW w:w="249" w:type="pct"/>
                  <w:vMerge w:val="continue"/>
                  <w:vAlign w:val="center"/>
                </w:tcPr>
                <w:p w14:paraId="5AC0345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504" w:type="pct"/>
                  <w:vAlign w:val="center"/>
                </w:tcPr>
                <w:p w14:paraId="1CB6A05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4.6890</w:t>
                  </w:r>
                </w:p>
              </w:tc>
              <w:tc>
                <w:tcPr>
                  <w:tcW w:w="381" w:type="pct"/>
                  <w:vAlign w:val="center"/>
                </w:tcPr>
                <w:p w14:paraId="10C5DD9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130</w:t>
                  </w:r>
                </w:p>
              </w:tc>
              <w:tc>
                <w:tcPr>
                  <w:tcW w:w="447" w:type="pct"/>
                  <w:vAlign w:val="center"/>
                </w:tcPr>
                <w:p w14:paraId="28DA2A1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0.</w:t>
                  </w:r>
                  <w:r>
                    <w:rPr>
                      <w:rFonts w:hint="eastAsia" w:cs="Times New Roman"/>
                      <w:lang w:val="en-US" w:eastAsia="zh-CN"/>
                    </w:rPr>
                    <w:t>3607</w:t>
                  </w:r>
                </w:p>
              </w:tc>
              <w:tc>
                <w:tcPr>
                  <w:tcW w:w="382" w:type="pct"/>
                  <w:vAlign w:val="center"/>
                </w:tcPr>
                <w:p w14:paraId="3594070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10</w:t>
                  </w:r>
                </w:p>
              </w:tc>
            </w:tr>
            <w:tr w14:paraId="02EC3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49" w:type="pct"/>
                  <w:vMerge w:val="continue"/>
                  <w:vAlign w:val="center"/>
                </w:tcPr>
                <w:p w14:paraId="73B986E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55" w:type="pct"/>
                  <w:vAlign w:val="center"/>
                </w:tcPr>
                <w:p w14:paraId="3A80960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SS</w:t>
                  </w:r>
                </w:p>
              </w:tc>
              <w:tc>
                <w:tcPr>
                  <w:tcW w:w="504" w:type="pct"/>
                  <w:vAlign w:val="center"/>
                </w:tcPr>
                <w:p w14:paraId="02B7808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34.4991</w:t>
                  </w:r>
                </w:p>
              </w:tc>
              <w:tc>
                <w:tcPr>
                  <w:tcW w:w="381" w:type="pct"/>
                  <w:vAlign w:val="center"/>
                </w:tcPr>
                <w:p w14:paraId="0276D32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9</w:t>
                  </w:r>
                  <w:r>
                    <w:rPr>
                      <w:rFonts w:hint="eastAsia" w:cs="Times New Roman"/>
                      <w:lang w:val="en-US" w:eastAsia="zh-CN"/>
                    </w:rPr>
                    <w:t>56</w:t>
                  </w:r>
                </w:p>
              </w:tc>
              <w:tc>
                <w:tcPr>
                  <w:tcW w:w="249" w:type="pct"/>
                  <w:vMerge w:val="continue"/>
                  <w:vAlign w:val="center"/>
                </w:tcPr>
                <w:p w14:paraId="3566756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363" w:type="pct"/>
                  <w:vMerge w:val="continue"/>
                  <w:vAlign w:val="center"/>
                </w:tcPr>
                <w:p w14:paraId="5BF2D80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00" w:type="pct"/>
                  <w:vMerge w:val="continue"/>
                  <w:vAlign w:val="center"/>
                </w:tcPr>
                <w:p w14:paraId="1D856FD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29" w:type="pct"/>
                  <w:vAlign w:val="center"/>
                </w:tcPr>
                <w:p w14:paraId="6389957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81.</w:t>
                  </w:r>
                  <w:r>
                    <w:rPr>
                      <w:rFonts w:hint="eastAsia" w:cs="Times New Roman"/>
                      <w:lang w:val="en-US" w:eastAsia="zh-CN"/>
                    </w:rPr>
                    <w:t>2</w:t>
                  </w:r>
                  <w:r>
                    <w:rPr>
                      <w:rFonts w:hint="default" w:ascii="Times New Roman" w:hAnsi="Times New Roman" w:cs="Times New Roman"/>
                      <w:lang w:val="en-US" w:eastAsia="zh-CN"/>
                    </w:rPr>
                    <w:t>%</w:t>
                  </w:r>
                </w:p>
              </w:tc>
              <w:tc>
                <w:tcPr>
                  <w:tcW w:w="249" w:type="pct"/>
                  <w:vMerge w:val="continue"/>
                  <w:vAlign w:val="center"/>
                </w:tcPr>
                <w:p w14:paraId="195E552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504" w:type="pct"/>
                  <w:vAlign w:val="center"/>
                </w:tcPr>
                <w:p w14:paraId="2990375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6.4924</w:t>
                  </w:r>
                </w:p>
              </w:tc>
              <w:tc>
                <w:tcPr>
                  <w:tcW w:w="381" w:type="pct"/>
                  <w:vAlign w:val="center"/>
                </w:tcPr>
                <w:p w14:paraId="13C802D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180</w:t>
                  </w:r>
                </w:p>
              </w:tc>
              <w:tc>
                <w:tcPr>
                  <w:tcW w:w="447" w:type="pct"/>
                  <w:vAlign w:val="center"/>
                </w:tcPr>
                <w:p w14:paraId="7EB9215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0.3607</w:t>
                  </w:r>
                </w:p>
              </w:tc>
              <w:tc>
                <w:tcPr>
                  <w:tcW w:w="382" w:type="pct"/>
                  <w:vAlign w:val="center"/>
                </w:tcPr>
                <w:p w14:paraId="5B654DD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10</w:t>
                  </w:r>
                </w:p>
              </w:tc>
            </w:tr>
            <w:tr w14:paraId="7E561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49" w:type="pct"/>
                  <w:vMerge w:val="continue"/>
                  <w:vAlign w:val="center"/>
                </w:tcPr>
                <w:p w14:paraId="4880573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55" w:type="pct"/>
                  <w:vAlign w:val="center"/>
                </w:tcPr>
                <w:p w14:paraId="557E18B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NH</w:t>
                  </w:r>
                  <w:r>
                    <w:rPr>
                      <w:rFonts w:hint="default" w:ascii="Times New Roman" w:hAnsi="Times New Roman" w:cs="Times New Roman"/>
                      <w:vertAlign w:val="subscript"/>
                      <w:lang w:val="en-US" w:eastAsia="zh-CN"/>
                    </w:rPr>
                    <w:t>3</w:t>
                  </w:r>
                  <w:r>
                    <w:rPr>
                      <w:rFonts w:hint="default" w:ascii="Times New Roman" w:hAnsi="Times New Roman" w:cs="Times New Roman"/>
                      <w:lang w:val="en-US" w:eastAsia="zh-CN"/>
                    </w:rPr>
                    <w:t>-N</w:t>
                  </w:r>
                </w:p>
              </w:tc>
              <w:tc>
                <w:tcPr>
                  <w:tcW w:w="504" w:type="pct"/>
                  <w:vAlign w:val="center"/>
                </w:tcPr>
                <w:p w14:paraId="095B638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2.467</w:t>
                  </w:r>
                </w:p>
              </w:tc>
              <w:tc>
                <w:tcPr>
                  <w:tcW w:w="381" w:type="pct"/>
                  <w:vAlign w:val="center"/>
                </w:tcPr>
                <w:p w14:paraId="34D67CC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6</w:t>
                  </w:r>
                  <w:r>
                    <w:rPr>
                      <w:rFonts w:hint="eastAsia" w:cs="Times New Roman"/>
                      <w:lang w:val="en-US" w:eastAsia="zh-CN"/>
                    </w:rPr>
                    <w:t>8</w:t>
                  </w:r>
                </w:p>
              </w:tc>
              <w:tc>
                <w:tcPr>
                  <w:tcW w:w="249" w:type="pct"/>
                  <w:vMerge w:val="continue"/>
                  <w:vAlign w:val="center"/>
                </w:tcPr>
                <w:p w14:paraId="083784F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363" w:type="pct"/>
                  <w:vMerge w:val="continue"/>
                  <w:vAlign w:val="center"/>
                </w:tcPr>
                <w:p w14:paraId="01819A0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00" w:type="pct"/>
                  <w:vMerge w:val="continue"/>
                  <w:vAlign w:val="center"/>
                </w:tcPr>
                <w:p w14:paraId="0108030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29" w:type="pct"/>
                  <w:vAlign w:val="center"/>
                </w:tcPr>
                <w:p w14:paraId="37E1A32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63.</w:t>
                  </w:r>
                  <w:r>
                    <w:rPr>
                      <w:rFonts w:hint="eastAsia" w:cs="Times New Roman"/>
                      <w:lang w:val="en-US" w:eastAsia="zh-CN"/>
                    </w:rPr>
                    <w:t>2</w:t>
                  </w:r>
                  <w:r>
                    <w:rPr>
                      <w:rFonts w:hint="default" w:ascii="Times New Roman" w:hAnsi="Times New Roman" w:cs="Times New Roman"/>
                      <w:lang w:val="en-US" w:eastAsia="zh-CN"/>
                    </w:rPr>
                    <w:t>%</w:t>
                  </w:r>
                </w:p>
              </w:tc>
              <w:tc>
                <w:tcPr>
                  <w:tcW w:w="249" w:type="pct"/>
                  <w:vMerge w:val="continue"/>
                  <w:vAlign w:val="center"/>
                </w:tcPr>
                <w:p w14:paraId="38232F0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504" w:type="pct"/>
                  <w:vAlign w:val="center"/>
                </w:tcPr>
                <w:p w14:paraId="3417F15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0.9017</w:t>
                  </w:r>
                </w:p>
              </w:tc>
              <w:tc>
                <w:tcPr>
                  <w:tcW w:w="381" w:type="pct"/>
                  <w:vAlign w:val="center"/>
                </w:tcPr>
                <w:p w14:paraId="4C802A1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25</w:t>
                  </w:r>
                </w:p>
              </w:tc>
              <w:tc>
                <w:tcPr>
                  <w:tcW w:w="447" w:type="pct"/>
                  <w:vAlign w:val="center"/>
                </w:tcPr>
                <w:p w14:paraId="670ECAB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0.0541</w:t>
                  </w:r>
                </w:p>
              </w:tc>
              <w:tc>
                <w:tcPr>
                  <w:tcW w:w="382" w:type="pct"/>
                  <w:vAlign w:val="center"/>
                </w:tcPr>
                <w:p w14:paraId="3CA2F39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1.5</w:t>
                  </w:r>
                </w:p>
              </w:tc>
            </w:tr>
            <w:tr w14:paraId="352B1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49" w:type="pct"/>
                  <w:vMerge w:val="continue"/>
                  <w:vAlign w:val="center"/>
                </w:tcPr>
                <w:p w14:paraId="0423264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55" w:type="pct"/>
                  <w:vAlign w:val="center"/>
                </w:tcPr>
                <w:p w14:paraId="2A4561E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动植物油</w:t>
                  </w:r>
                </w:p>
              </w:tc>
              <w:tc>
                <w:tcPr>
                  <w:tcW w:w="504" w:type="pct"/>
                  <w:vAlign w:val="center"/>
                </w:tcPr>
                <w:p w14:paraId="0FEA164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3.4493</w:t>
                  </w:r>
                </w:p>
              </w:tc>
              <w:tc>
                <w:tcPr>
                  <w:tcW w:w="381" w:type="pct"/>
                  <w:vAlign w:val="center"/>
                </w:tcPr>
                <w:p w14:paraId="510F799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9</w:t>
                  </w:r>
                  <w:r>
                    <w:rPr>
                      <w:rFonts w:hint="eastAsia" w:cs="Times New Roman"/>
                      <w:lang w:val="en-US" w:eastAsia="zh-CN"/>
                    </w:rPr>
                    <w:t>6</w:t>
                  </w:r>
                </w:p>
              </w:tc>
              <w:tc>
                <w:tcPr>
                  <w:tcW w:w="249" w:type="pct"/>
                  <w:vMerge w:val="continue"/>
                  <w:vAlign w:val="center"/>
                </w:tcPr>
                <w:p w14:paraId="466C3F7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363" w:type="pct"/>
                  <w:vMerge w:val="continue"/>
                  <w:vAlign w:val="center"/>
                </w:tcPr>
                <w:p w14:paraId="36B70D0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00" w:type="pct"/>
                  <w:vMerge w:val="continue"/>
                  <w:vAlign w:val="center"/>
                </w:tcPr>
                <w:p w14:paraId="1AD0B75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29" w:type="pct"/>
                  <w:vAlign w:val="center"/>
                </w:tcPr>
                <w:p w14:paraId="7EA5415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w:t>
                  </w:r>
                  <w:r>
                    <w:rPr>
                      <w:rFonts w:hint="eastAsia" w:cs="Times New Roman"/>
                      <w:lang w:val="en-US" w:eastAsia="zh-CN"/>
                    </w:rPr>
                    <w:t>7.5</w:t>
                  </w:r>
                  <w:r>
                    <w:rPr>
                      <w:rFonts w:hint="default" w:ascii="Times New Roman" w:hAnsi="Times New Roman" w:cs="Times New Roman"/>
                      <w:lang w:val="en-US" w:eastAsia="zh-CN"/>
                    </w:rPr>
                    <w:t>%</w:t>
                  </w:r>
                </w:p>
              </w:tc>
              <w:tc>
                <w:tcPr>
                  <w:tcW w:w="249" w:type="pct"/>
                  <w:vMerge w:val="continue"/>
                  <w:vAlign w:val="center"/>
                </w:tcPr>
                <w:p w14:paraId="612B858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504" w:type="pct"/>
                  <w:vAlign w:val="center"/>
                </w:tcPr>
                <w:p w14:paraId="55E55B4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2.1641</w:t>
                  </w:r>
                </w:p>
              </w:tc>
              <w:tc>
                <w:tcPr>
                  <w:tcW w:w="381" w:type="pct"/>
                  <w:vAlign w:val="center"/>
                </w:tcPr>
                <w:p w14:paraId="19BE5D4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60</w:t>
                  </w:r>
                </w:p>
              </w:tc>
              <w:tc>
                <w:tcPr>
                  <w:tcW w:w="447" w:type="pct"/>
                  <w:vAlign w:val="center"/>
                </w:tcPr>
                <w:p w14:paraId="3EE2AF9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0.0361</w:t>
                  </w:r>
                </w:p>
              </w:tc>
              <w:tc>
                <w:tcPr>
                  <w:tcW w:w="382" w:type="pct"/>
                  <w:vAlign w:val="center"/>
                </w:tcPr>
                <w:p w14:paraId="25595EB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w:t>
                  </w:r>
                </w:p>
              </w:tc>
            </w:tr>
            <w:tr w14:paraId="432DE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49" w:type="pct"/>
                  <w:vMerge w:val="continue"/>
                  <w:vAlign w:val="center"/>
                </w:tcPr>
                <w:p w14:paraId="5B467D7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55" w:type="pct"/>
                  <w:vAlign w:val="center"/>
                </w:tcPr>
                <w:p w14:paraId="67D7DDC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总氮</w:t>
                  </w:r>
                </w:p>
              </w:tc>
              <w:tc>
                <w:tcPr>
                  <w:tcW w:w="504" w:type="pct"/>
                  <w:vAlign w:val="center"/>
                </w:tcPr>
                <w:p w14:paraId="3D375BB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5.8637</w:t>
                  </w:r>
                </w:p>
              </w:tc>
              <w:tc>
                <w:tcPr>
                  <w:tcW w:w="381" w:type="pct"/>
                  <w:vAlign w:val="center"/>
                </w:tcPr>
                <w:p w14:paraId="42F359C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16</w:t>
                  </w:r>
                  <w:r>
                    <w:rPr>
                      <w:rFonts w:hint="eastAsia" w:cs="Times New Roman"/>
                      <w:lang w:val="en-US" w:eastAsia="zh-CN"/>
                    </w:rPr>
                    <w:t>3</w:t>
                  </w:r>
                </w:p>
              </w:tc>
              <w:tc>
                <w:tcPr>
                  <w:tcW w:w="249" w:type="pct"/>
                  <w:vMerge w:val="continue"/>
                  <w:vAlign w:val="center"/>
                </w:tcPr>
                <w:p w14:paraId="6E95CEE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363" w:type="pct"/>
                  <w:vMerge w:val="continue"/>
                  <w:vAlign w:val="center"/>
                </w:tcPr>
                <w:p w14:paraId="17E5FBB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00" w:type="pct"/>
                  <w:vMerge w:val="continue"/>
                  <w:vAlign w:val="center"/>
                </w:tcPr>
                <w:p w14:paraId="71E6656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29" w:type="pct"/>
                  <w:vAlign w:val="center"/>
                </w:tcPr>
                <w:p w14:paraId="0DAFE04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78.</w:t>
                  </w:r>
                  <w:r>
                    <w:rPr>
                      <w:rFonts w:hint="eastAsia" w:cs="Times New Roman"/>
                      <w:lang w:val="en-US" w:eastAsia="zh-CN"/>
                    </w:rPr>
                    <w:t>5</w:t>
                  </w:r>
                  <w:r>
                    <w:rPr>
                      <w:rFonts w:hint="default" w:ascii="Times New Roman" w:hAnsi="Times New Roman" w:cs="Times New Roman"/>
                      <w:lang w:val="en-US" w:eastAsia="zh-CN"/>
                    </w:rPr>
                    <w:t>%</w:t>
                  </w:r>
                </w:p>
              </w:tc>
              <w:tc>
                <w:tcPr>
                  <w:tcW w:w="249" w:type="pct"/>
                  <w:vMerge w:val="continue"/>
                  <w:vAlign w:val="center"/>
                </w:tcPr>
                <w:p w14:paraId="3D2315D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504" w:type="pct"/>
                  <w:vAlign w:val="center"/>
                </w:tcPr>
                <w:p w14:paraId="5A8E450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1.2624</w:t>
                  </w:r>
                </w:p>
              </w:tc>
              <w:tc>
                <w:tcPr>
                  <w:tcW w:w="381" w:type="pct"/>
                  <w:vAlign w:val="center"/>
                </w:tcPr>
                <w:p w14:paraId="41B4C6B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35</w:t>
                  </w:r>
                </w:p>
              </w:tc>
              <w:tc>
                <w:tcPr>
                  <w:tcW w:w="447" w:type="pct"/>
                  <w:vAlign w:val="center"/>
                </w:tcPr>
                <w:p w14:paraId="54C51EE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0.3607</w:t>
                  </w:r>
                </w:p>
              </w:tc>
              <w:tc>
                <w:tcPr>
                  <w:tcW w:w="382" w:type="pct"/>
                  <w:vAlign w:val="center"/>
                </w:tcPr>
                <w:p w14:paraId="3F80420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10</w:t>
                  </w:r>
                </w:p>
              </w:tc>
            </w:tr>
            <w:tr w14:paraId="0D8F4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49" w:type="pct"/>
                  <w:vMerge w:val="continue"/>
                  <w:vAlign w:val="center"/>
                </w:tcPr>
                <w:p w14:paraId="1C38784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55" w:type="pct"/>
                  <w:vAlign w:val="center"/>
                </w:tcPr>
                <w:p w14:paraId="5DB6087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总磷</w:t>
                  </w:r>
                </w:p>
              </w:tc>
              <w:tc>
                <w:tcPr>
                  <w:tcW w:w="504" w:type="pct"/>
                  <w:vAlign w:val="center"/>
                </w:tcPr>
                <w:p w14:paraId="2B64825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0.2</w:t>
                  </w:r>
                  <w:r>
                    <w:rPr>
                      <w:rFonts w:hint="eastAsia" w:cs="Times New Roman"/>
                      <w:lang w:val="en-US" w:eastAsia="zh-CN"/>
                    </w:rPr>
                    <w:t>070</w:t>
                  </w:r>
                </w:p>
              </w:tc>
              <w:tc>
                <w:tcPr>
                  <w:tcW w:w="381" w:type="pct"/>
                  <w:vAlign w:val="center"/>
                </w:tcPr>
                <w:p w14:paraId="034298C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6</w:t>
                  </w:r>
                </w:p>
              </w:tc>
              <w:tc>
                <w:tcPr>
                  <w:tcW w:w="249" w:type="pct"/>
                  <w:vMerge w:val="continue"/>
                  <w:vAlign w:val="center"/>
                </w:tcPr>
                <w:p w14:paraId="2151A25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363" w:type="pct"/>
                  <w:vMerge w:val="continue"/>
                  <w:vAlign w:val="center"/>
                </w:tcPr>
                <w:p w14:paraId="20ECAF3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00" w:type="pct"/>
                  <w:vMerge w:val="continue"/>
                  <w:vAlign w:val="center"/>
                </w:tcPr>
                <w:p w14:paraId="181F4B7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429" w:type="pct"/>
                  <w:vAlign w:val="center"/>
                </w:tcPr>
                <w:p w14:paraId="7D06860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33.3%</w:t>
                  </w:r>
                </w:p>
              </w:tc>
              <w:tc>
                <w:tcPr>
                  <w:tcW w:w="249" w:type="pct"/>
                  <w:vMerge w:val="continue"/>
                  <w:vAlign w:val="center"/>
                </w:tcPr>
                <w:p w14:paraId="0ABDB08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p>
              </w:tc>
              <w:tc>
                <w:tcPr>
                  <w:tcW w:w="504" w:type="pct"/>
                  <w:vAlign w:val="center"/>
                </w:tcPr>
                <w:p w14:paraId="4300865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0.1082</w:t>
                  </w:r>
                </w:p>
              </w:tc>
              <w:tc>
                <w:tcPr>
                  <w:tcW w:w="381" w:type="pct"/>
                  <w:vAlign w:val="center"/>
                </w:tcPr>
                <w:p w14:paraId="0642954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w:t>
                  </w:r>
                </w:p>
              </w:tc>
              <w:tc>
                <w:tcPr>
                  <w:tcW w:w="447" w:type="pct"/>
                  <w:vAlign w:val="center"/>
                </w:tcPr>
                <w:p w14:paraId="2611345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eastAsia" w:cs="Times New Roman"/>
                      <w:lang w:val="en-US" w:eastAsia="zh-CN"/>
                    </w:rPr>
                    <w:t>0.0108</w:t>
                  </w:r>
                </w:p>
              </w:tc>
              <w:tc>
                <w:tcPr>
                  <w:tcW w:w="382" w:type="pct"/>
                  <w:vAlign w:val="center"/>
                </w:tcPr>
                <w:p w14:paraId="49C3DC5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0.3</w:t>
                  </w:r>
                </w:p>
              </w:tc>
            </w:tr>
          </w:tbl>
          <w:p w14:paraId="590986C7">
            <w:pPr>
              <w:pStyle w:val="6"/>
              <w:keepNext w:val="0"/>
              <w:keepLines w:val="0"/>
              <w:pageBreakBefore w:val="0"/>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污水处理工艺技术的可行性分析</w:t>
            </w:r>
            <w:r>
              <w:rPr>
                <w:rFonts w:hint="eastAsia" w:ascii="宋体" w:hAnsi="宋体" w:eastAsia="宋体" w:cs="宋体"/>
                <w:b w:val="0"/>
                <w:bCs w:val="0"/>
                <w:color w:val="000000"/>
                <w:kern w:val="0"/>
                <w:sz w:val="24"/>
                <w:szCs w:val="24"/>
                <w:lang w:val="en-US" w:eastAsia="zh-CN" w:bidi="ar"/>
              </w:rPr>
              <w:t>:</w:t>
            </w:r>
          </w:p>
          <w:p w14:paraId="28DA468B">
            <w:pPr>
              <w:pStyle w:val="6"/>
              <w:keepNext w:val="0"/>
              <w:keepLines w:val="0"/>
              <w:pageBreakBefore w:val="0"/>
              <w:kinsoku/>
              <w:wordWrap/>
              <w:overflowPunct/>
              <w:topLinePunct w:val="0"/>
              <w:autoSpaceDE/>
              <w:autoSpaceDN/>
              <w:bidi w:val="0"/>
              <w:adjustRightInd/>
              <w:spacing w:beforeAutospacing="0" w:afterAutospacing="0" w:line="360" w:lineRule="auto"/>
              <w:ind w:left="0" w:leftChars="0" w:right="0" w:firstLine="468" w:firstLineChars="200"/>
              <w:textAlignment w:val="auto"/>
              <w:rPr>
                <w:rFonts w:hint="default" w:ascii="Times New Roman" w:hAnsi="Times New Roman" w:cs="Times New Roman"/>
                <w:highlight w:val="none"/>
                <w:u w:val="none"/>
                <w:lang w:val="en-US" w:eastAsia="zh-CN"/>
              </w:rPr>
            </w:pPr>
            <w:r>
              <w:rPr>
                <w:rFonts w:hint="default" w:ascii="Times New Roman" w:hAnsi="Times New Roman" w:cs="Times New Roman"/>
                <w:b w:val="0"/>
                <w:bCs w:val="0"/>
                <w:spacing w:val="-3"/>
                <w:lang w:val="en-US" w:eastAsia="zh-CN"/>
              </w:rPr>
              <w:t>本项目采用化粪池和</w:t>
            </w:r>
            <w:r>
              <w:rPr>
                <w:rFonts w:hint="eastAsia" w:ascii="宋体" w:hAnsi="宋体" w:eastAsia="宋体" w:cs="宋体"/>
                <w:highlight w:val="none"/>
                <w:u w:val="none"/>
                <w:lang w:val="en-US" w:eastAsia="zh-CN"/>
              </w:rPr>
              <w:t>“</w:t>
            </w:r>
            <w:r>
              <w:rPr>
                <w:rFonts w:hint="default" w:ascii="Times New Roman" w:hAnsi="Times New Roman" w:eastAsia="宋体" w:cs="Times New Roman"/>
                <w:highlight w:val="none"/>
                <w:u w:val="none"/>
                <w:lang w:val="en-US" w:eastAsia="zh-CN"/>
              </w:rPr>
              <w:t>格栅-隔油-调节池-气浮-厌氧处理（水解酸化）</w:t>
            </w:r>
            <w:r>
              <w:rPr>
                <w:rFonts w:hint="eastAsia" w:ascii="宋体" w:hAnsi="宋体" w:eastAsia="宋体" w:cs="宋体"/>
                <w:highlight w:val="none"/>
                <w:u w:val="none"/>
                <w:lang w:val="en-US" w:eastAsia="zh-CN"/>
              </w:rPr>
              <w:t>”</w:t>
            </w:r>
            <w:r>
              <w:rPr>
                <w:rFonts w:hint="default" w:ascii="Times New Roman" w:hAnsi="Times New Roman" w:cs="Times New Roman"/>
                <w:highlight w:val="none"/>
                <w:u w:val="none"/>
                <w:lang w:val="en-US" w:eastAsia="zh-CN"/>
              </w:rPr>
              <w:t>工艺处理生活污水和生产废水，对照</w:t>
            </w:r>
            <w:r>
              <w:rPr>
                <w:rFonts w:hint="default" w:ascii="Times New Roman" w:hAnsi="Times New Roman" w:eastAsia="宋体" w:cs="Times New Roman"/>
                <w:highlight w:val="none"/>
                <w:u w:val="none"/>
                <w:lang w:val="en-US" w:eastAsia="zh-CN"/>
              </w:rPr>
              <w:t>《</w:t>
            </w:r>
            <w:r>
              <w:rPr>
                <w:rFonts w:hint="default" w:ascii="Times New Roman" w:hAnsi="Times New Roman" w:cs="Times New Roman"/>
                <w:highlight w:val="none"/>
                <w:u w:val="none"/>
                <w:lang w:val="en-US" w:eastAsia="zh-CN"/>
              </w:rPr>
              <w:t>屠宰及肉类加工业污染防治可行技术指南</w:t>
            </w:r>
            <w:r>
              <w:rPr>
                <w:rFonts w:hint="default" w:ascii="Times New Roman" w:hAnsi="Times New Roman" w:eastAsia="宋体" w:cs="Times New Roman"/>
                <w:highlight w:val="none"/>
                <w:u w:val="none"/>
                <w:lang w:val="en-US" w:eastAsia="zh-CN"/>
              </w:rPr>
              <w:t>》</w:t>
            </w:r>
            <w:r>
              <w:rPr>
                <w:rFonts w:hint="default" w:ascii="Times New Roman" w:hAnsi="Times New Roman" w:cs="Times New Roman"/>
                <w:highlight w:val="none"/>
                <w:u w:val="none"/>
                <w:lang w:val="en-US" w:eastAsia="zh-CN"/>
              </w:rPr>
              <w:t>（HJ 1285-2013）中废水处理工艺模式要求和</w:t>
            </w:r>
            <w:r>
              <w:rPr>
                <w:rFonts w:hint="default" w:ascii="Times New Roman" w:hAnsi="Times New Roman" w:eastAsia="宋体" w:cs="Times New Roman"/>
                <w:highlight w:val="none"/>
                <w:u w:val="none"/>
                <w:lang w:val="en-US" w:eastAsia="zh-CN"/>
              </w:rPr>
              <w:t>《</w:t>
            </w:r>
            <w:r>
              <w:rPr>
                <w:rFonts w:hint="default" w:ascii="Times New Roman" w:hAnsi="Times New Roman" w:cs="Times New Roman"/>
                <w:highlight w:val="none"/>
                <w:u w:val="none"/>
                <w:lang w:val="en-US" w:eastAsia="zh-CN"/>
              </w:rPr>
              <w:t>排污许可证申请与核发技术规范农副食品加工工业—屠宰及肉类加工工业</w:t>
            </w:r>
            <w:r>
              <w:rPr>
                <w:rFonts w:hint="default" w:ascii="Times New Roman" w:hAnsi="Times New Roman" w:eastAsia="宋体" w:cs="Times New Roman"/>
                <w:highlight w:val="none"/>
                <w:u w:val="none"/>
                <w:lang w:val="en-US" w:eastAsia="zh-CN"/>
              </w:rPr>
              <w:t>》</w:t>
            </w:r>
            <w:r>
              <w:rPr>
                <w:rFonts w:hint="default" w:ascii="Times New Roman" w:hAnsi="Times New Roman" w:cs="Times New Roman"/>
                <w:highlight w:val="none"/>
                <w:u w:val="none"/>
                <w:lang w:val="en-US" w:eastAsia="zh-CN"/>
              </w:rPr>
              <w:t>（HJ 860.3—2018）的有关要求；文件中对间接排放的可行性技术有</w:t>
            </w:r>
            <w:r>
              <w:rPr>
                <w:rFonts w:hint="eastAsia" w:ascii="宋体" w:hAnsi="宋体" w:eastAsia="宋体" w:cs="宋体"/>
                <w:highlight w:val="none"/>
                <w:u w:val="none"/>
                <w:lang w:val="en-US" w:eastAsia="zh-CN"/>
              </w:rPr>
              <w:t>“</w:t>
            </w:r>
            <w:r>
              <w:rPr>
                <w:rFonts w:hint="default" w:ascii="Times New Roman" w:hAnsi="Times New Roman" w:cs="Times New Roman"/>
                <w:highlight w:val="none"/>
                <w:u w:val="none"/>
                <w:lang w:val="en-US" w:eastAsia="zh-CN"/>
              </w:rPr>
              <w:t>预处理（格栅、隔油沉砂池、调节池、初沉池、气浮）；生化处理厌氧（UASB、水解酸化）</w:t>
            </w:r>
            <w:r>
              <w:rPr>
                <w:rFonts w:hint="eastAsia" w:ascii="宋体" w:hAnsi="宋体" w:eastAsia="宋体" w:cs="宋体"/>
                <w:highlight w:val="none"/>
                <w:u w:val="none"/>
                <w:lang w:val="en-US" w:eastAsia="zh-CN"/>
              </w:rPr>
              <w:t>”</w:t>
            </w:r>
            <w:r>
              <w:rPr>
                <w:rFonts w:hint="default" w:ascii="Times New Roman" w:hAnsi="Times New Roman" w:cs="Times New Roman"/>
                <w:highlight w:val="none"/>
                <w:u w:val="none"/>
                <w:lang w:val="en-US" w:eastAsia="zh-CN"/>
              </w:rPr>
              <w:t>等。综上所述，本项目采取的废水治理技术可行。</w:t>
            </w:r>
          </w:p>
          <w:p w14:paraId="406A56AC">
            <w:pPr>
              <w:pStyle w:val="6"/>
              <w:keepNext w:val="0"/>
              <w:keepLines w:val="0"/>
              <w:pageBreakBefore w:val="0"/>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cs="Times New Roman"/>
              </w:rPr>
            </w:pPr>
            <w:r>
              <w:rPr>
                <w:rFonts w:hint="default" w:ascii="Times New Roman" w:hAnsi="Times New Roman" w:cs="Times New Roman"/>
                <w:b w:val="0"/>
                <w:bCs w:val="0"/>
                <w:color w:val="000000"/>
                <w:kern w:val="0"/>
                <w:sz w:val="24"/>
                <w:szCs w:val="24"/>
                <w:lang w:val="en-US" w:eastAsia="zh-CN" w:bidi="ar"/>
              </w:rPr>
              <w:t>污水处理工艺处理效率分析：</w:t>
            </w:r>
          </w:p>
          <w:p w14:paraId="08226D1F">
            <w:pPr>
              <w:pStyle w:val="6"/>
              <w:keepNext w:val="0"/>
              <w:keepLines w:val="0"/>
              <w:pageBreakBefore w:val="0"/>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预处理技术中格栅能够去除大部分猪毛之类的悬浮物，气浮池采用加压溶气气浮或浅层气浮，去除废水中的油脂和格栅不能去除的绒毛</w:t>
            </w:r>
            <w:r>
              <w:rPr>
                <w:rFonts w:hint="eastAsia" w:cs="Times New Roman"/>
                <w:lang w:val="en-US" w:eastAsia="zh-CN"/>
              </w:rPr>
              <w:t>，隔油池进一步去除剩余油脂</w:t>
            </w:r>
            <w:r>
              <w:rPr>
                <w:rFonts w:hint="default" w:ascii="Times New Roman" w:hAnsi="Times New Roman" w:cs="Times New Roman"/>
                <w:lang w:val="en-US" w:eastAsia="zh-CN"/>
              </w:rPr>
              <w:t>。本项目为小型屠宰加工项目，水质水量浮动大，因此采用水解酸化处理技术，该技术适用水质范围广，抗冲击力强，运行操作简单，有机污染物去除率相对较低，本技术废水进水水质pH值为5.0~9.0，CODcr浓度小于1500mg/L时，CODcr去除率约为30%~50%，BOD5去除率约为20%~40%。本项目进水水质CODcr、BOD5和悬浮物SS虽然浓度高，经过</w:t>
            </w:r>
            <w:r>
              <w:rPr>
                <w:rFonts w:hint="eastAsia" w:cs="Times New Roman"/>
                <w:lang w:val="en-US" w:eastAsia="zh-CN"/>
              </w:rPr>
              <w:t>预</w:t>
            </w:r>
            <w:r>
              <w:rPr>
                <w:rFonts w:hint="default" w:ascii="Times New Roman" w:hAnsi="Times New Roman" w:cs="Times New Roman"/>
                <w:lang w:val="en-US" w:eastAsia="zh-CN"/>
              </w:rPr>
              <w:t>处理后处理效率仍能达到87.</w:t>
            </w:r>
            <w:r>
              <w:rPr>
                <w:rFonts w:hint="eastAsia" w:cs="Times New Roman"/>
                <w:lang w:val="en-US" w:eastAsia="zh-CN"/>
              </w:rPr>
              <w:t>7</w:t>
            </w:r>
            <w:r>
              <w:rPr>
                <w:rFonts w:hint="default" w:ascii="Times New Roman" w:hAnsi="Times New Roman" w:cs="Times New Roman"/>
                <w:lang w:val="en-US" w:eastAsia="zh-CN"/>
              </w:rPr>
              <w:t>%、86.</w:t>
            </w:r>
            <w:r>
              <w:rPr>
                <w:rFonts w:hint="eastAsia" w:cs="Times New Roman"/>
                <w:lang w:val="en-US" w:eastAsia="zh-CN"/>
              </w:rPr>
              <w:t>4</w:t>
            </w:r>
            <w:r>
              <w:rPr>
                <w:rFonts w:hint="default" w:ascii="Times New Roman" w:hAnsi="Times New Roman" w:cs="Times New Roman"/>
                <w:lang w:val="en-US" w:eastAsia="zh-CN"/>
              </w:rPr>
              <w:t>%和81.</w:t>
            </w:r>
            <w:r>
              <w:rPr>
                <w:rFonts w:hint="eastAsia" w:cs="Times New Roman"/>
                <w:lang w:val="en-US" w:eastAsia="zh-CN"/>
              </w:rPr>
              <w:t>2</w:t>
            </w:r>
            <w:r>
              <w:rPr>
                <w:rFonts w:hint="default" w:ascii="Times New Roman" w:hAnsi="Times New Roman" w:cs="Times New Roman"/>
                <w:lang w:val="en-US" w:eastAsia="zh-CN"/>
              </w:rPr>
              <w:t>%，排放浓度符合标准。</w:t>
            </w:r>
          </w:p>
          <w:p w14:paraId="285AB230">
            <w:pPr>
              <w:pStyle w:val="6"/>
              <w:keepNext w:val="0"/>
              <w:keepLines w:val="0"/>
              <w:pageBreakBefore w:val="0"/>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cs="Times New Roman"/>
                <w:highlight w:val="none"/>
                <w:u w:val="none"/>
                <w:lang w:val="en-US" w:eastAsia="zh-CN"/>
              </w:rPr>
            </w:pPr>
            <w:r>
              <w:rPr>
                <w:rFonts w:hint="default" w:ascii="Times New Roman" w:hAnsi="Times New Roman" w:cs="Times New Roman"/>
                <w:highlight w:val="none"/>
                <w:u w:val="none"/>
                <w:lang w:val="en-US" w:eastAsia="zh-CN"/>
              </w:rPr>
              <w:t>南岳区污水处理厂接纳项目污水的可行性分析：</w:t>
            </w:r>
          </w:p>
          <w:p w14:paraId="7F6C6C08">
            <w:pPr>
              <w:pStyle w:val="6"/>
              <w:keepNext w:val="0"/>
              <w:keepLines w:val="0"/>
              <w:pageBreakBefore w:val="0"/>
              <w:numPr>
                <w:ilvl w:val="0"/>
                <w:numId w:val="0"/>
              </w:numPr>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（1）</w:t>
            </w:r>
            <w:r>
              <w:rPr>
                <w:rFonts w:hint="default" w:ascii="Times New Roman" w:hAnsi="Times New Roman" w:cs="Times New Roman"/>
                <w:b w:val="0"/>
                <w:bCs w:val="0"/>
                <w:color w:val="000000"/>
                <w:kern w:val="0"/>
                <w:sz w:val="24"/>
                <w:szCs w:val="24"/>
                <w:lang w:val="en-US" w:eastAsia="zh-CN" w:bidi="ar"/>
              </w:rPr>
              <w:t>污水处理能力</w:t>
            </w:r>
          </w:p>
          <w:p w14:paraId="4FABDB9B">
            <w:pPr>
              <w:pStyle w:val="6"/>
              <w:keepNext w:val="0"/>
              <w:keepLines w:val="0"/>
              <w:pageBreakBefore w:val="0"/>
              <w:numPr>
                <w:ilvl w:val="0"/>
                <w:numId w:val="0"/>
              </w:numPr>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南岳区污水处理厂位于湖南省衡阳市南岳区南岳镇红星村老屋组（南岳区龙荫港左岸），污水</w:t>
            </w:r>
            <w:r>
              <w:rPr>
                <w:rFonts w:hint="eastAsia" w:cs="Times New Roman"/>
                <w:b w:val="0"/>
                <w:bCs w:val="0"/>
                <w:color w:val="000000"/>
                <w:kern w:val="0"/>
                <w:sz w:val="24"/>
                <w:szCs w:val="24"/>
                <w:lang w:val="en-US" w:eastAsia="zh-CN" w:bidi="ar"/>
              </w:rPr>
              <w:t>处理</w:t>
            </w:r>
            <w:r>
              <w:rPr>
                <w:rFonts w:hint="default" w:ascii="Times New Roman" w:hAnsi="Times New Roman" w:cs="Times New Roman"/>
                <w:b w:val="0"/>
                <w:bCs w:val="0"/>
                <w:color w:val="000000"/>
                <w:kern w:val="0"/>
                <w:sz w:val="24"/>
                <w:szCs w:val="24"/>
                <w:lang w:val="en-US" w:eastAsia="zh-CN" w:bidi="ar"/>
              </w:rPr>
              <w:t>厂中心地理位置坐标东经</w:t>
            </w:r>
            <w:r>
              <w:rPr>
                <w:rFonts w:hint="default" w:ascii="Times New Roman" w:hAnsi="Times New Roman" w:cs="Times New Roman"/>
                <w:b w:val="0"/>
                <w:bCs w:val="0"/>
                <w:color w:val="000000"/>
                <w:sz w:val="24"/>
                <w:szCs w:val="24"/>
                <w:highlight w:val="none"/>
                <w:lang w:val="en-US" w:eastAsia="zh-CN"/>
              </w:rPr>
              <w:t>112.752279359，北纬27.221357492</w:t>
            </w:r>
            <w:r>
              <w:rPr>
                <w:rFonts w:hint="default" w:ascii="Times New Roman" w:hAnsi="Times New Roman" w:cs="Times New Roman"/>
                <w:b w:val="0"/>
                <w:bCs w:val="0"/>
                <w:color w:val="000000"/>
                <w:kern w:val="0"/>
                <w:sz w:val="24"/>
                <w:szCs w:val="24"/>
                <w:lang w:val="en-US" w:eastAsia="zh-CN" w:bidi="ar"/>
              </w:rPr>
              <w:t>。与本项目相距4.2km。</w:t>
            </w:r>
          </w:p>
          <w:p w14:paraId="775A31E3">
            <w:pPr>
              <w:pStyle w:val="6"/>
              <w:keepNext w:val="0"/>
              <w:keepLines w:val="0"/>
              <w:pageBreakBefore w:val="0"/>
              <w:numPr>
                <w:ilvl w:val="0"/>
                <w:numId w:val="0"/>
              </w:numPr>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污水处理厂基本情况：南岳区污水处理厂服务范围为南岳区城区生活污水，目前设计处</w:t>
            </w:r>
            <w:r>
              <w:rPr>
                <w:rFonts w:hint="default" w:ascii="Times New Roman" w:hAnsi="Times New Roman" w:eastAsia="宋体" w:cs="Times New Roman"/>
                <w:b w:val="0"/>
                <w:bCs w:val="0"/>
                <w:color w:val="000000"/>
                <w:kern w:val="0"/>
                <w:sz w:val="24"/>
                <w:szCs w:val="24"/>
                <w:lang w:val="en-US" w:eastAsia="zh-CN" w:bidi="ar"/>
              </w:rPr>
              <w:t>理规模为2万m</w:t>
            </w:r>
            <w:r>
              <w:rPr>
                <w:rFonts w:hint="default" w:ascii="Times New Roman" w:hAnsi="Times New Roman" w:eastAsia="宋体" w:cs="Times New Roman"/>
                <w:b w:val="0"/>
                <w:bCs w:val="0"/>
                <w:color w:val="000000"/>
                <w:kern w:val="0"/>
                <w:sz w:val="24"/>
                <w:szCs w:val="24"/>
                <w:vertAlign w:val="superscript"/>
                <w:lang w:val="en-US" w:eastAsia="zh-CN" w:bidi="ar"/>
              </w:rPr>
              <w:t>3</w:t>
            </w:r>
            <w:r>
              <w:rPr>
                <w:rFonts w:hint="default" w:ascii="Times New Roman" w:hAnsi="Times New Roman" w:eastAsia="宋体" w:cs="Times New Roman"/>
                <w:b w:val="0"/>
                <w:bCs w:val="0"/>
                <w:color w:val="000000"/>
                <w:kern w:val="0"/>
                <w:sz w:val="24"/>
                <w:szCs w:val="24"/>
                <w:lang w:val="en-US" w:eastAsia="zh-CN" w:bidi="ar"/>
              </w:rPr>
              <w:t>/d。</w:t>
            </w:r>
          </w:p>
          <w:p w14:paraId="3965E5F1">
            <w:pPr>
              <w:pStyle w:val="6"/>
              <w:keepNext w:val="0"/>
              <w:keepLines w:val="0"/>
              <w:pageBreakBefore w:val="0"/>
              <w:numPr>
                <w:ilvl w:val="0"/>
                <w:numId w:val="0"/>
              </w:numPr>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根据收集资料可知，目前南岳区污水处理厂处理的废水量约为2万m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/d，本项目废水量约94.3m</w:t>
            </w:r>
            <w:r>
              <w:rPr>
                <w:rFonts w:hint="default" w:ascii="Times New Roman" w:hAnsi="Times New Roman" w:eastAsia="宋体"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/d，根据上述所采取的污水处理工艺可知，厂内的预处理措施处理企业废水后，其污水浓度可以达到污水处理厂的进水水质标准</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（进水水质标准如下表4-12所示），</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且废水量满足污水处理厂的近期纳污能力，故本项目的废水不会对南岳区污水处理厂造成负荷。</w:t>
            </w:r>
          </w:p>
          <w:p w14:paraId="69B6C39E">
            <w:pPr>
              <w:pStyle w:val="6"/>
              <w:keepNext w:val="0"/>
              <w:keepLines w:val="0"/>
              <w:pageBreakBefore w:val="0"/>
              <w:numPr>
                <w:ilvl w:val="0"/>
                <w:numId w:val="0"/>
              </w:numPr>
              <w:kinsoku/>
              <w:wordWrap/>
              <w:overflowPunct/>
              <w:topLinePunct w:val="0"/>
              <w:autoSpaceDE/>
              <w:autoSpaceDN/>
              <w:bidi w:val="0"/>
              <w:adjustRightInd/>
              <w:spacing w:beforeAutospacing="0" w:afterAutospacing="0" w:line="360" w:lineRule="auto"/>
              <w:ind w:left="0" w:leftChars="0" w:right="0"/>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bCs/>
                <w:color w:val="000000" w:themeColor="text1"/>
                <w:kern w:val="2"/>
                <w:sz w:val="21"/>
                <w:szCs w:val="21"/>
                <w:lang w:val="en-US" w:eastAsia="zh-CN" w:bidi="ar-SA"/>
                <w14:textFill>
                  <w14:solidFill>
                    <w14:schemeClr w14:val="tx1"/>
                  </w14:solidFill>
                </w14:textFill>
              </w:rPr>
              <w:t>表4-12 南岳区污水处理厂设计进水水质（单位：mg/L</w:t>
            </w: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9"/>
              <w:gridCol w:w="1317"/>
              <w:gridCol w:w="1038"/>
              <w:gridCol w:w="944"/>
              <w:gridCol w:w="757"/>
              <w:gridCol w:w="1225"/>
              <w:gridCol w:w="757"/>
            </w:tblGrid>
            <w:tr w14:paraId="16C7B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86" w:type="pct"/>
                  <w:vAlign w:val="center"/>
                </w:tcPr>
                <w:p w14:paraId="28E9B4A9">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项目</w:t>
                  </w:r>
                </w:p>
              </w:tc>
              <w:tc>
                <w:tcPr>
                  <w:tcW w:w="831" w:type="pct"/>
                  <w:vAlign w:val="center"/>
                </w:tcPr>
                <w:p w14:paraId="4B2A0987">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CODcr</w:t>
                  </w:r>
                </w:p>
              </w:tc>
              <w:tc>
                <w:tcPr>
                  <w:tcW w:w="655" w:type="pct"/>
                  <w:vAlign w:val="center"/>
                </w:tcPr>
                <w:p w14:paraId="295F342A">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BOD</w:t>
                  </w:r>
                  <w:r>
                    <w:rPr>
                      <w:rFonts w:hint="default" w:ascii="Times New Roman" w:hAnsi="Times New Roman" w:cs="Times New Roman"/>
                      <w:color w:val="000000" w:themeColor="text1"/>
                      <w:kern w:val="2"/>
                      <w:sz w:val="21"/>
                      <w:szCs w:val="21"/>
                      <w:vertAlign w:val="subscript"/>
                      <w:lang w:val="en-US" w:eastAsia="zh-CN" w:bidi="ar-SA"/>
                      <w14:textFill>
                        <w14:solidFill>
                          <w14:schemeClr w14:val="tx1"/>
                        </w14:solidFill>
                      </w14:textFill>
                    </w:rPr>
                    <w:t>5</w:t>
                  </w:r>
                </w:p>
              </w:tc>
              <w:tc>
                <w:tcPr>
                  <w:tcW w:w="596" w:type="pct"/>
                  <w:vAlign w:val="center"/>
                </w:tcPr>
                <w:p w14:paraId="7120FF1C">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SS</w:t>
                  </w:r>
                </w:p>
              </w:tc>
              <w:tc>
                <w:tcPr>
                  <w:tcW w:w="478" w:type="pct"/>
                  <w:vAlign w:val="center"/>
                </w:tcPr>
                <w:p w14:paraId="52E74A24">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TN</w:t>
                  </w:r>
                </w:p>
              </w:tc>
              <w:tc>
                <w:tcPr>
                  <w:tcW w:w="773" w:type="pct"/>
                  <w:vAlign w:val="center"/>
                </w:tcPr>
                <w:p w14:paraId="3DAE60DD">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NH</w:t>
                  </w:r>
                  <w:r>
                    <w:rPr>
                      <w:rFonts w:hint="default" w:ascii="Times New Roman" w:hAnsi="Times New Roman" w:cs="Times New Roman"/>
                      <w:color w:val="000000" w:themeColor="text1"/>
                      <w:kern w:val="2"/>
                      <w:sz w:val="21"/>
                      <w:szCs w:val="21"/>
                      <w:vertAlign w:val="subscript"/>
                      <w:lang w:val="en-US" w:eastAsia="zh-CN" w:bidi="ar-SA"/>
                      <w14:textFill>
                        <w14:solidFill>
                          <w14:schemeClr w14:val="tx1"/>
                        </w14:solidFill>
                      </w14:textFill>
                    </w:rPr>
                    <w:t>3</w:t>
                  </w: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-N</w:t>
                  </w:r>
                </w:p>
              </w:tc>
              <w:tc>
                <w:tcPr>
                  <w:tcW w:w="478" w:type="pct"/>
                  <w:vAlign w:val="center"/>
                </w:tcPr>
                <w:p w14:paraId="06DC212C">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TP</w:t>
                  </w:r>
                </w:p>
              </w:tc>
            </w:tr>
            <w:tr w14:paraId="6D38D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86" w:type="pct"/>
                  <w:vAlign w:val="center"/>
                </w:tcPr>
                <w:p w14:paraId="635A15B5">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进水水质</w:t>
                  </w:r>
                </w:p>
              </w:tc>
              <w:tc>
                <w:tcPr>
                  <w:tcW w:w="831" w:type="pct"/>
                  <w:vAlign w:val="center"/>
                </w:tcPr>
                <w:p w14:paraId="2B4E60FE">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260</w:t>
                  </w:r>
                </w:p>
              </w:tc>
              <w:tc>
                <w:tcPr>
                  <w:tcW w:w="655" w:type="pct"/>
                  <w:vAlign w:val="center"/>
                </w:tcPr>
                <w:p w14:paraId="5109D61F">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130</w:t>
                  </w:r>
                </w:p>
              </w:tc>
              <w:tc>
                <w:tcPr>
                  <w:tcW w:w="596" w:type="pct"/>
                  <w:vAlign w:val="center"/>
                </w:tcPr>
                <w:p w14:paraId="5D7E1AA7">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180</w:t>
                  </w:r>
                </w:p>
              </w:tc>
              <w:tc>
                <w:tcPr>
                  <w:tcW w:w="478" w:type="pct"/>
                  <w:vAlign w:val="center"/>
                </w:tcPr>
                <w:p w14:paraId="2C3EB948">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35</w:t>
                  </w:r>
                </w:p>
              </w:tc>
              <w:tc>
                <w:tcPr>
                  <w:tcW w:w="773" w:type="pct"/>
                  <w:vAlign w:val="center"/>
                </w:tcPr>
                <w:p w14:paraId="0AF41B3D">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25</w:t>
                  </w:r>
                </w:p>
              </w:tc>
              <w:tc>
                <w:tcPr>
                  <w:tcW w:w="478" w:type="pct"/>
                  <w:vAlign w:val="center"/>
                </w:tcPr>
                <w:p w14:paraId="779FDE3D">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vertAlign w:val="baseline"/>
                      <w:lang w:val="en-US" w:eastAsia="zh-CN" w:bidi="ar-SA"/>
                      <w14:textFill>
                        <w14:solidFill>
                          <w14:schemeClr w14:val="tx1"/>
                        </w14:solidFill>
                      </w14:textFill>
                    </w:rPr>
                    <w:t>3</w:t>
                  </w:r>
                </w:p>
              </w:tc>
            </w:tr>
          </w:tbl>
          <w:p w14:paraId="5D96DE76">
            <w:pPr>
              <w:pStyle w:val="6"/>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（2）污水处理工艺</w:t>
            </w:r>
          </w:p>
          <w:p w14:paraId="0BECE331">
            <w:pPr>
              <w:pStyle w:val="6"/>
              <w:keepNext w:val="0"/>
              <w:keepLines w:val="0"/>
              <w:pageBreakBefore w:val="0"/>
              <w:numPr>
                <w:ilvl w:val="0"/>
                <w:numId w:val="0"/>
              </w:numPr>
              <w:kinsoku/>
              <w:wordWrap/>
              <w:overflowPunct/>
              <w:topLinePunct w:val="0"/>
              <w:autoSpaceDE/>
              <w:autoSpaceDN/>
              <w:bidi w:val="0"/>
              <w:adjustRightInd/>
              <w:spacing w:beforeAutospacing="0" w:afterAutospacing="0" w:line="360" w:lineRule="auto"/>
              <w:ind w:left="0" w:leftChars="0" w:right="0" w:firstLine="480" w:firstLineChars="2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kern w:val="0"/>
                <w:sz w:val="24"/>
                <w:szCs w:val="24"/>
                <w:lang w:val="en-US" w:eastAsia="zh-CN" w:bidi="ar"/>
              </w:rPr>
              <w:t>南岳区污水处理厂扩建及提质改造后采用“预处理+活性污泥法（一、二期为改良型氧化沟）+二沉池+高效沉淀池+反硝化深床滤池+紫外线消毒”的处理工艺。其中预处理段主要包括粗格栅、细格栅、沉砂池；生化处理段主要采用活性污泥法，一、二期采用改良型氧化沟+二沉池；深度处理采用“高效沉淀池+反硝化深床滤池”工艺；消毒工艺采用紫外线消毒。</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来自城市管网的污水进入污水处理厂，</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再分别进入</w:t>
            </w:r>
            <w:r>
              <w:rPr>
                <w:rFonts w:hint="default" w:ascii="Times New Roman" w:hAnsi="Times New Roman" w:eastAsia="宋体" w:cs="Times New Roman"/>
                <w:color w:val="000000" w:themeColor="text1"/>
                <w:sz w:val="24"/>
                <w:szCs w:val="24"/>
                <w:highlight w:val="none"/>
                <w:u w:val="none"/>
                <w:lang w:val="en-US" w:eastAsia="zh-CN" w:bidi="ar-SA"/>
                <w14:textFill>
                  <w14:solidFill>
                    <w14:schemeClr w14:val="tx1"/>
                  </w14:solidFill>
                </w14:textFill>
              </w:rPr>
              <w:t>一、二期共用预处理工段；</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首先经粗格栅拦截直径大于15mm的悬浮物，然后由提升泵将污水泵入细格栅间，保证后续处理单元的顺畅和消除可能造成后续处理单元故障的悬浮物。接着进入旋流沉砂池去除砂砾等无机物。</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预处理工段产生的</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格栅</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渣</w:t>
            </w:r>
            <w:r>
              <w:rPr>
                <w:rFonts w:hint="default" w:ascii="Times New Roman" w:hAnsi="Times New Roman" w:eastAsia="宋体" w:cs="Times New Roman"/>
                <w:color w:val="000000" w:themeColor="text1"/>
                <w:sz w:val="24"/>
                <w:szCs w:val="24"/>
                <w:highlight w:val="none"/>
                <w:u w:val="none"/>
                <w:lang w:val="en-US" w:eastAsia="zh-CN" w:bidi="ar-SA"/>
                <w14:textFill>
                  <w14:solidFill>
                    <w14:schemeClr w14:val="tx1"/>
                  </w14:solidFill>
                </w14:textFill>
              </w:rPr>
              <w:t>、砂外运处置。经一、二期共用预处理工段处理后的污水进入改良型氧化沟进行生化处理，再通过周进周出二沉池进行沉淀处置。</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经生化处理后的废水一同进入高效沉淀池和反硝化滤池进行深度处理。最后通过紫外线消毒池进行消毒处理后外排龙荫港。</w:t>
            </w:r>
          </w:p>
          <w:p w14:paraId="094F6D16">
            <w:pPr>
              <w:pStyle w:val="11"/>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（3）管网铺设</w:t>
            </w:r>
          </w:p>
          <w:p w14:paraId="76602DC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项目所在地污水管网还在铺设中，</w:t>
            </w:r>
            <w:r>
              <w:rPr>
                <w:rFonts w:hint="eastAsia" w:cs="Times New Roman"/>
                <w:b w:val="0"/>
                <w:bCs w:val="0"/>
                <w:color w:val="000000"/>
                <w:kern w:val="0"/>
                <w:sz w:val="24"/>
                <w:szCs w:val="24"/>
                <w:lang w:val="en-US" w:eastAsia="zh-CN" w:bidi="ar"/>
              </w:rPr>
              <w:t>管网工程已经启动。</w:t>
            </w:r>
            <w:r>
              <w:rPr>
                <w:rFonts w:hint="default" w:ascii="Times New Roman" w:hAnsi="Times New Roman" w:cs="Times New Roman"/>
                <w:b w:val="0"/>
                <w:bCs w:val="0"/>
                <w:color w:val="000000"/>
                <w:kern w:val="0"/>
                <w:sz w:val="24"/>
                <w:szCs w:val="24"/>
                <w:lang w:val="en-US" w:eastAsia="zh-CN" w:bidi="ar"/>
              </w:rPr>
              <w:t>故前期先采用槽罐车运输的方式运至污水处理厂</w:t>
            </w:r>
            <w:r>
              <w:rPr>
                <w:rFonts w:hint="eastAsia" w:cs="Times New Roman"/>
                <w:b w:val="0"/>
                <w:bCs w:val="0"/>
                <w:color w:val="000000"/>
                <w:kern w:val="0"/>
                <w:sz w:val="24"/>
                <w:szCs w:val="24"/>
                <w:lang w:val="en-US" w:eastAsia="zh-CN" w:bidi="ar"/>
              </w:rPr>
              <w:t>，待管网铺设完毕后再通过市政管网排入污水处理厂</w:t>
            </w:r>
            <w:r>
              <w:rPr>
                <w:rFonts w:hint="default" w:ascii="Times New Roman" w:hAnsi="Times New Roman" w:cs="Times New Roman"/>
                <w:b w:val="0"/>
                <w:bCs w:val="0"/>
                <w:color w:val="000000"/>
                <w:kern w:val="0"/>
                <w:sz w:val="24"/>
                <w:szCs w:val="24"/>
                <w:lang w:val="en-US" w:eastAsia="zh-CN" w:bidi="ar"/>
              </w:rPr>
              <w:t>。</w:t>
            </w:r>
          </w:p>
          <w:p w14:paraId="553AE8F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综上所述，从污水处理厂的污水处理能力与污水处理工艺、污水管网铺设情况三个方面综合分析，项目废水排入南岳区污水处理厂是可行可靠的。</w:t>
            </w:r>
          </w:p>
          <w:p w14:paraId="2AE689F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cs="Times New Roman"/>
                <w:b/>
                <w:bCs/>
                <w:color w:val="000000"/>
                <w:kern w:val="0"/>
                <w:sz w:val="24"/>
                <w:szCs w:val="24"/>
                <w:lang w:val="en-US" w:eastAsia="zh-CN" w:bidi="ar"/>
              </w:rPr>
              <w:t>3、噪声</w:t>
            </w:r>
          </w:p>
          <w:p w14:paraId="5B56DB86">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（1）噪声源强</w:t>
            </w:r>
          </w:p>
          <w:p w14:paraId="57DE8792">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本项目运营期间噪声源主要为生产机械等产生的设备噪声和猪叫声等。源强为</w:t>
            </w:r>
            <w:r>
              <w:rPr>
                <w:rFonts w:hint="eastAsia" w:cs="Times New Roman"/>
                <w:b w:val="0"/>
                <w:bCs w:val="0"/>
                <w:color w:val="000000"/>
                <w:kern w:val="0"/>
                <w:sz w:val="24"/>
                <w:szCs w:val="24"/>
                <w:lang w:val="en-US" w:eastAsia="zh-CN" w:bidi="ar"/>
              </w:rPr>
              <w:t>60</w:t>
            </w:r>
            <w:r>
              <w:rPr>
                <w:rFonts w:hint="default" w:ascii="Times New Roman" w:hAnsi="Times New Roman" w:cs="Times New Roman"/>
                <w:b w:val="0"/>
                <w:bCs w:val="0"/>
                <w:color w:val="000000"/>
                <w:kern w:val="0"/>
                <w:sz w:val="24"/>
                <w:szCs w:val="24"/>
                <w:lang w:val="en-US" w:eastAsia="zh-CN" w:bidi="ar"/>
              </w:rPr>
              <w:t>~</w:t>
            </w:r>
            <w:r>
              <w:rPr>
                <w:rFonts w:hint="eastAsia" w:cs="Times New Roman"/>
                <w:b w:val="0"/>
                <w:bCs w:val="0"/>
                <w:color w:val="000000"/>
                <w:kern w:val="0"/>
                <w:sz w:val="24"/>
                <w:szCs w:val="24"/>
                <w:lang w:val="en-US" w:eastAsia="zh-CN" w:bidi="ar"/>
              </w:rPr>
              <w:t>75</w:t>
            </w:r>
            <w:r>
              <w:rPr>
                <w:rFonts w:hint="default" w:ascii="Times New Roman" w:hAnsi="Times New Roman" w:cs="Times New Roman"/>
                <w:b w:val="0"/>
                <w:bCs w:val="0"/>
                <w:color w:val="000000"/>
                <w:kern w:val="0"/>
                <w:sz w:val="24"/>
                <w:szCs w:val="24"/>
                <w:lang w:val="en-US" w:eastAsia="zh-CN" w:bidi="ar"/>
              </w:rPr>
              <w:t>dB（A）</w:t>
            </w:r>
            <w:r>
              <w:rPr>
                <w:rFonts w:hint="eastAsia" w:cs="Times New Roman"/>
                <w:b w:val="0"/>
                <w:bCs w:val="0"/>
                <w:color w:val="000000"/>
                <w:kern w:val="0"/>
                <w:sz w:val="24"/>
                <w:szCs w:val="24"/>
                <w:lang w:val="en-US" w:eastAsia="zh-CN" w:bidi="ar"/>
              </w:rPr>
              <w:t>，设备全天运行</w:t>
            </w:r>
            <w:r>
              <w:rPr>
                <w:rFonts w:hint="default" w:ascii="Times New Roman" w:hAnsi="Times New Roman" w:cs="Times New Roman"/>
                <w:b w:val="0"/>
                <w:bCs w:val="0"/>
                <w:color w:val="000000"/>
                <w:kern w:val="0"/>
                <w:sz w:val="24"/>
                <w:szCs w:val="24"/>
                <w:lang w:val="en-US" w:eastAsia="zh-CN" w:bidi="ar"/>
              </w:rPr>
              <w:t>。本项目设备选用低噪声设备，设备安装时基座减震。根据同类屠宰场情况调查类比，设备噪声源强及治理措施见表4-13</w:t>
            </w:r>
            <w:r>
              <w:rPr>
                <w:rFonts w:hint="eastAsia" w:cs="Times New Roman"/>
                <w:b w:val="0"/>
                <w:bCs w:val="0"/>
                <w:color w:val="000000"/>
                <w:kern w:val="0"/>
                <w:sz w:val="24"/>
                <w:szCs w:val="24"/>
                <w:lang w:val="en-US" w:eastAsia="zh-CN" w:bidi="ar"/>
              </w:rPr>
              <w:t>，以厂中心作为坐标原点，得出设备的空间相对位置</w:t>
            </w:r>
            <w:r>
              <w:rPr>
                <w:rFonts w:hint="default" w:ascii="Times New Roman" w:hAnsi="Times New Roman" w:cs="Times New Roman"/>
                <w:b w:val="0"/>
                <w:bCs w:val="0"/>
                <w:color w:val="000000"/>
                <w:kern w:val="0"/>
                <w:sz w:val="24"/>
                <w:szCs w:val="24"/>
                <w:lang w:val="en-US" w:eastAsia="zh-CN" w:bidi="ar"/>
              </w:rPr>
              <w:t>：</w:t>
            </w:r>
          </w:p>
          <w:p w14:paraId="4E87C944">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cs="Times New Roman"/>
                <w:b/>
                <w:bCs/>
                <w:color w:val="000000"/>
                <w:kern w:val="0"/>
                <w:sz w:val="21"/>
                <w:szCs w:val="21"/>
                <w:lang w:val="en-US" w:eastAsia="zh-CN" w:bidi="ar"/>
              </w:rPr>
            </w:pPr>
            <w:r>
              <w:rPr>
                <w:rFonts w:hint="default" w:ascii="Times New Roman" w:hAnsi="Times New Roman" w:cs="Times New Roman"/>
                <w:b/>
                <w:bCs/>
                <w:color w:val="000000"/>
                <w:kern w:val="0"/>
                <w:sz w:val="21"/>
                <w:szCs w:val="21"/>
                <w:lang w:val="en-US" w:eastAsia="zh-CN" w:bidi="ar"/>
              </w:rPr>
              <w:t xml:space="preserve">表4-13 </w:t>
            </w:r>
            <w:r>
              <w:rPr>
                <w:rFonts w:hint="eastAsia" w:cs="Times New Roman"/>
                <w:b/>
                <w:bCs/>
                <w:color w:val="000000"/>
                <w:kern w:val="0"/>
                <w:sz w:val="21"/>
                <w:szCs w:val="21"/>
                <w:lang w:val="en-US" w:eastAsia="zh-CN" w:bidi="ar"/>
              </w:rPr>
              <w:t>室内</w:t>
            </w:r>
            <w:r>
              <w:rPr>
                <w:rFonts w:hint="default" w:ascii="Times New Roman" w:hAnsi="Times New Roman" w:cs="Times New Roman"/>
                <w:b/>
                <w:bCs/>
                <w:color w:val="000000"/>
                <w:kern w:val="0"/>
                <w:sz w:val="21"/>
                <w:szCs w:val="21"/>
                <w:lang w:val="en-US" w:eastAsia="zh-CN" w:bidi="ar"/>
              </w:rPr>
              <w:t>设备噪声源强及治理措施</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486"/>
              <w:gridCol w:w="448"/>
              <w:gridCol w:w="521"/>
              <w:gridCol w:w="882"/>
              <w:gridCol w:w="644"/>
              <w:gridCol w:w="644"/>
              <w:gridCol w:w="549"/>
              <w:gridCol w:w="627"/>
              <w:gridCol w:w="719"/>
              <w:gridCol w:w="630"/>
              <w:gridCol w:w="620"/>
              <w:gridCol w:w="596"/>
            </w:tblGrid>
            <w:tr w14:paraId="13D93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restart"/>
                  <w:noWrap w:val="0"/>
                  <w:vAlign w:val="center"/>
                </w:tcPr>
                <w:p w14:paraId="64C14B51">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建筑物名称</w:t>
                  </w:r>
                </w:p>
              </w:tc>
              <w:tc>
                <w:tcPr>
                  <w:tcW w:w="311" w:type="pct"/>
                  <w:vMerge w:val="restart"/>
                  <w:noWrap w:val="0"/>
                  <w:vAlign w:val="center"/>
                </w:tcPr>
                <w:p w14:paraId="0FB0D2CA">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声源</w:t>
                  </w:r>
                </w:p>
                <w:p w14:paraId="247F62F4">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名称</w:t>
                  </w:r>
                </w:p>
              </w:tc>
              <w:tc>
                <w:tcPr>
                  <w:tcW w:w="287" w:type="pct"/>
                  <w:vMerge w:val="restart"/>
                  <w:noWrap w:val="0"/>
                  <w:vAlign w:val="center"/>
                </w:tcPr>
                <w:p w14:paraId="204A0BA6">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型号</w:t>
                  </w:r>
                </w:p>
              </w:tc>
              <w:tc>
                <w:tcPr>
                  <w:tcW w:w="333" w:type="pct"/>
                  <w:vMerge w:val="restart"/>
                  <w:noWrap w:val="0"/>
                  <w:vAlign w:val="center"/>
                </w:tcPr>
                <w:p w14:paraId="6F168131">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声源源强</w:t>
                  </w:r>
                </w:p>
              </w:tc>
              <w:tc>
                <w:tcPr>
                  <w:tcW w:w="561" w:type="pct"/>
                  <w:vMerge w:val="restart"/>
                  <w:noWrap w:val="0"/>
                  <w:vAlign w:val="center"/>
                </w:tcPr>
                <w:p w14:paraId="72E60DEE">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声源控制措施</w:t>
                  </w:r>
                </w:p>
              </w:tc>
              <w:tc>
                <w:tcPr>
                  <w:tcW w:w="1117" w:type="pct"/>
                  <w:gridSpan w:val="3"/>
                  <w:noWrap w:val="0"/>
                  <w:vAlign w:val="center"/>
                </w:tcPr>
                <w:p w14:paraId="1C9E008F">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空间相对位置</w:t>
                  </w:r>
                </w:p>
              </w:tc>
              <w:tc>
                <w:tcPr>
                  <w:tcW w:w="400" w:type="pct"/>
                  <w:vMerge w:val="restart"/>
                  <w:noWrap w:val="0"/>
                  <w:vAlign w:val="center"/>
                </w:tcPr>
                <w:p w14:paraId="5D1C8D7A">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距室内边界距离</w:t>
                  </w:r>
                </w:p>
              </w:tc>
              <w:tc>
                <w:tcPr>
                  <w:tcW w:w="458" w:type="pct"/>
                  <w:vMerge w:val="restart"/>
                  <w:noWrap w:val="0"/>
                  <w:vAlign w:val="center"/>
                </w:tcPr>
                <w:p w14:paraId="4BB9A660">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室内边界声级</w:t>
                  </w:r>
                </w:p>
              </w:tc>
              <w:tc>
                <w:tcPr>
                  <w:tcW w:w="401" w:type="pct"/>
                  <w:vMerge w:val="restart"/>
                  <w:noWrap w:val="0"/>
                  <w:vAlign w:val="center"/>
                </w:tcPr>
                <w:p w14:paraId="5F61BFDB">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建筑物插入损失</w:t>
                  </w:r>
                </w:p>
              </w:tc>
              <w:tc>
                <w:tcPr>
                  <w:tcW w:w="775" w:type="pct"/>
                  <w:gridSpan w:val="2"/>
                  <w:noWrap w:val="0"/>
                  <w:vAlign w:val="center"/>
                </w:tcPr>
                <w:p w14:paraId="06EED25B">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建筑物外噪声</w:t>
                  </w:r>
                </w:p>
              </w:tc>
            </w:tr>
            <w:tr w14:paraId="2204C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continue"/>
                  <w:noWrap w:val="0"/>
                  <w:vAlign w:val="center"/>
                </w:tcPr>
                <w:p w14:paraId="6506B64A">
                  <w:pPr>
                    <w:pStyle w:val="50"/>
                    <w:rPr>
                      <w:rFonts w:hint="default" w:ascii="Times New Roman" w:hAnsi="Times New Roman" w:eastAsia="宋体" w:cs="Times New Roman"/>
                      <w:color w:val="000000"/>
                      <w:sz w:val="21"/>
                      <w:szCs w:val="21"/>
                    </w:rPr>
                  </w:pPr>
                </w:p>
              </w:tc>
              <w:tc>
                <w:tcPr>
                  <w:tcW w:w="311" w:type="pct"/>
                  <w:vMerge w:val="continue"/>
                  <w:noWrap w:val="0"/>
                  <w:vAlign w:val="center"/>
                </w:tcPr>
                <w:p w14:paraId="64E4B9E3">
                  <w:pPr>
                    <w:pStyle w:val="50"/>
                    <w:rPr>
                      <w:rFonts w:hint="default" w:ascii="Times New Roman" w:hAnsi="Times New Roman" w:eastAsia="宋体" w:cs="Times New Roman"/>
                      <w:color w:val="000000"/>
                      <w:sz w:val="21"/>
                      <w:szCs w:val="21"/>
                    </w:rPr>
                  </w:pPr>
                </w:p>
              </w:tc>
              <w:tc>
                <w:tcPr>
                  <w:tcW w:w="287" w:type="pct"/>
                  <w:vMerge w:val="continue"/>
                  <w:noWrap w:val="0"/>
                  <w:vAlign w:val="center"/>
                </w:tcPr>
                <w:p w14:paraId="7894638E">
                  <w:pPr>
                    <w:pStyle w:val="50"/>
                    <w:rPr>
                      <w:rFonts w:hint="default" w:ascii="Times New Roman" w:hAnsi="Times New Roman" w:eastAsia="宋体" w:cs="Times New Roman"/>
                      <w:color w:val="000000"/>
                      <w:sz w:val="21"/>
                      <w:szCs w:val="21"/>
                    </w:rPr>
                  </w:pPr>
                </w:p>
              </w:tc>
              <w:tc>
                <w:tcPr>
                  <w:tcW w:w="333" w:type="pct"/>
                  <w:vMerge w:val="continue"/>
                  <w:noWrap w:val="0"/>
                  <w:vAlign w:val="center"/>
                </w:tcPr>
                <w:p w14:paraId="204D0DCD">
                  <w:pPr>
                    <w:pStyle w:val="50"/>
                    <w:rPr>
                      <w:rFonts w:hint="default" w:ascii="Times New Roman" w:hAnsi="Times New Roman" w:eastAsia="宋体" w:cs="Times New Roman"/>
                      <w:color w:val="000000"/>
                      <w:sz w:val="21"/>
                      <w:szCs w:val="21"/>
                    </w:rPr>
                  </w:pPr>
                </w:p>
              </w:tc>
              <w:tc>
                <w:tcPr>
                  <w:tcW w:w="561" w:type="pct"/>
                  <w:vMerge w:val="continue"/>
                  <w:noWrap w:val="0"/>
                  <w:vAlign w:val="center"/>
                </w:tcPr>
                <w:p w14:paraId="2D81F270">
                  <w:pPr>
                    <w:pStyle w:val="50"/>
                    <w:rPr>
                      <w:rFonts w:hint="default" w:ascii="Times New Roman" w:hAnsi="Times New Roman" w:eastAsia="宋体" w:cs="Times New Roman"/>
                      <w:color w:val="000000"/>
                      <w:sz w:val="21"/>
                      <w:szCs w:val="21"/>
                    </w:rPr>
                  </w:pPr>
                </w:p>
              </w:tc>
              <w:tc>
                <w:tcPr>
                  <w:tcW w:w="406" w:type="pct"/>
                  <w:noWrap w:val="0"/>
                  <w:vAlign w:val="center"/>
                </w:tcPr>
                <w:p w14:paraId="18886474">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X</w:t>
                  </w:r>
                </w:p>
              </w:tc>
              <w:tc>
                <w:tcPr>
                  <w:tcW w:w="406" w:type="pct"/>
                  <w:noWrap w:val="0"/>
                  <w:vAlign w:val="center"/>
                </w:tcPr>
                <w:p w14:paraId="7F5F66D6">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Y</w:t>
                  </w:r>
                </w:p>
              </w:tc>
              <w:tc>
                <w:tcPr>
                  <w:tcW w:w="304" w:type="pct"/>
                  <w:noWrap w:val="0"/>
                  <w:vAlign w:val="center"/>
                </w:tcPr>
                <w:p w14:paraId="123AF444">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Z</w:t>
                  </w:r>
                </w:p>
              </w:tc>
              <w:tc>
                <w:tcPr>
                  <w:tcW w:w="400" w:type="pct"/>
                  <w:vMerge w:val="continue"/>
                  <w:noWrap w:val="0"/>
                  <w:vAlign w:val="center"/>
                </w:tcPr>
                <w:p w14:paraId="7E81C39F">
                  <w:pPr>
                    <w:pStyle w:val="50"/>
                    <w:rPr>
                      <w:rFonts w:hint="default" w:ascii="Times New Roman" w:hAnsi="Times New Roman" w:eastAsia="宋体" w:cs="Times New Roman"/>
                      <w:color w:val="000000"/>
                      <w:sz w:val="21"/>
                      <w:szCs w:val="21"/>
                    </w:rPr>
                  </w:pPr>
                </w:p>
              </w:tc>
              <w:tc>
                <w:tcPr>
                  <w:tcW w:w="458" w:type="pct"/>
                  <w:vMerge w:val="continue"/>
                  <w:noWrap w:val="0"/>
                  <w:vAlign w:val="center"/>
                </w:tcPr>
                <w:p w14:paraId="2C673063">
                  <w:pPr>
                    <w:pStyle w:val="50"/>
                    <w:rPr>
                      <w:rFonts w:hint="default" w:ascii="Times New Roman" w:hAnsi="Times New Roman" w:eastAsia="宋体" w:cs="Times New Roman"/>
                      <w:color w:val="000000"/>
                      <w:sz w:val="21"/>
                      <w:szCs w:val="21"/>
                    </w:rPr>
                  </w:pPr>
                </w:p>
              </w:tc>
              <w:tc>
                <w:tcPr>
                  <w:tcW w:w="401" w:type="pct"/>
                  <w:vMerge w:val="continue"/>
                  <w:noWrap w:val="0"/>
                  <w:vAlign w:val="center"/>
                </w:tcPr>
                <w:p w14:paraId="59777DD9">
                  <w:pPr>
                    <w:pStyle w:val="50"/>
                    <w:rPr>
                      <w:rFonts w:hint="default" w:ascii="Times New Roman" w:hAnsi="Times New Roman" w:eastAsia="宋体" w:cs="Times New Roman"/>
                      <w:color w:val="000000"/>
                      <w:sz w:val="21"/>
                      <w:szCs w:val="21"/>
                    </w:rPr>
                  </w:pPr>
                </w:p>
              </w:tc>
              <w:tc>
                <w:tcPr>
                  <w:tcW w:w="395" w:type="pct"/>
                  <w:noWrap w:val="0"/>
                  <w:vAlign w:val="center"/>
                </w:tcPr>
                <w:p w14:paraId="6E454C94">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声压级</w:t>
                  </w:r>
                </w:p>
              </w:tc>
              <w:tc>
                <w:tcPr>
                  <w:tcW w:w="380" w:type="pct"/>
                  <w:noWrap w:val="0"/>
                  <w:vAlign w:val="center"/>
                </w:tcPr>
                <w:p w14:paraId="7807FADA">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建筑物外距离</w:t>
                  </w:r>
                </w:p>
              </w:tc>
            </w:tr>
            <w:tr w14:paraId="68746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restart"/>
                  <w:noWrap w:val="0"/>
                  <w:vAlign w:val="center"/>
                </w:tcPr>
                <w:p w14:paraId="4795095A">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屠宰车间</w:t>
                  </w:r>
                </w:p>
              </w:tc>
              <w:tc>
                <w:tcPr>
                  <w:tcW w:w="311" w:type="pct"/>
                  <w:noWrap w:val="0"/>
                  <w:vAlign w:val="center"/>
                </w:tcPr>
                <w:p w14:paraId="2F9D5FDE">
                  <w:pPr>
                    <w:pStyle w:val="5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风机</w:t>
                  </w:r>
                </w:p>
              </w:tc>
              <w:tc>
                <w:tcPr>
                  <w:tcW w:w="287" w:type="pct"/>
                  <w:noWrap w:val="0"/>
                  <w:vAlign w:val="center"/>
                </w:tcPr>
                <w:p w14:paraId="3839DF80">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333" w:type="pct"/>
                  <w:noWrap w:val="0"/>
                  <w:vAlign w:val="center"/>
                </w:tcPr>
                <w:p w14:paraId="1895A500">
                  <w:pPr>
                    <w:pStyle w:val="5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7</w:t>
                  </w:r>
                  <w:r>
                    <w:rPr>
                      <w:rFonts w:hint="default" w:ascii="Times New Roman" w:hAnsi="Times New Roman" w:eastAsia="宋体" w:cs="Times New Roman"/>
                      <w:color w:val="000000"/>
                      <w:sz w:val="21"/>
                      <w:szCs w:val="21"/>
                      <w:lang w:val="en-US" w:eastAsia="zh-CN"/>
                    </w:rPr>
                    <w:t>5</w:t>
                  </w:r>
                </w:p>
              </w:tc>
              <w:tc>
                <w:tcPr>
                  <w:tcW w:w="561" w:type="pct"/>
                  <w:vMerge w:val="restart"/>
                  <w:noWrap w:val="0"/>
                  <w:vAlign w:val="center"/>
                </w:tcPr>
                <w:p w14:paraId="5E11BB86">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highlight w:val="none"/>
                    </w:rPr>
                    <w:t>基础减振、厂房隔声</w:t>
                  </w:r>
                </w:p>
              </w:tc>
              <w:tc>
                <w:tcPr>
                  <w:tcW w:w="406" w:type="pct"/>
                  <w:noWrap w:val="0"/>
                  <w:vAlign w:val="center"/>
                </w:tcPr>
                <w:p w14:paraId="12AAD7B0">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w:t>
                  </w:r>
                  <w:r>
                    <w:rPr>
                      <w:rFonts w:hint="eastAsia" w:cs="Times New Roman"/>
                      <w:color w:val="000000"/>
                      <w:sz w:val="21"/>
                      <w:szCs w:val="21"/>
                      <w:lang w:val="en-US" w:eastAsia="zh-CN"/>
                    </w:rPr>
                    <w:t>5</w:t>
                  </w:r>
                </w:p>
              </w:tc>
              <w:tc>
                <w:tcPr>
                  <w:tcW w:w="406" w:type="pct"/>
                  <w:noWrap w:val="0"/>
                  <w:vAlign w:val="center"/>
                </w:tcPr>
                <w:p w14:paraId="1BB80129">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304" w:type="pct"/>
                  <w:noWrap w:val="0"/>
                  <w:vAlign w:val="center"/>
                </w:tcPr>
                <w:p w14:paraId="1A615A94">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2.5</w:t>
                  </w:r>
                </w:p>
              </w:tc>
              <w:tc>
                <w:tcPr>
                  <w:tcW w:w="400" w:type="pct"/>
                  <w:noWrap w:val="0"/>
                  <w:vAlign w:val="center"/>
                </w:tcPr>
                <w:p w14:paraId="7F9046E2">
                  <w:pPr>
                    <w:pStyle w:val="50"/>
                    <w:rPr>
                      <w:rFonts w:hint="eastAsia" w:ascii="Times New Roman" w:hAnsi="Times New Roman" w:eastAsia="宋体" w:cs="Times New Roman"/>
                      <w:color w:val="000000"/>
                      <w:sz w:val="21"/>
                      <w:szCs w:val="21"/>
                      <w:lang w:eastAsia="zh-CN"/>
                    </w:rPr>
                  </w:pPr>
                  <w:r>
                    <w:rPr>
                      <w:rFonts w:hint="eastAsia" w:cs="Times New Roman"/>
                      <w:color w:val="000000"/>
                      <w:sz w:val="21"/>
                      <w:szCs w:val="21"/>
                      <w:lang w:val="en-US" w:eastAsia="zh-CN"/>
                    </w:rPr>
                    <w:t>5</w:t>
                  </w:r>
                </w:p>
              </w:tc>
              <w:tc>
                <w:tcPr>
                  <w:tcW w:w="458" w:type="pct"/>
                  <w:noWrap w:val="0"/>
                  <w:vAlign w:val="center"/>
                </w:tcPr>
                <w:p w14:paraId="32BDFA5B">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59.3</w:t>
                  </w:r>
                </w:p>
              </w:tc>
              <w:tc>
                <w:tcPr>
                  <w:tcW w:w="401" w:type="pct"/>
                  <w:noWrap w:val="0"/>
                  <w:vAlign w:val="center"/>
                </w:tcPr>
                <w:p w14:paraId="2251DB18">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c>
                <w:tcPr>
                  <w:tcW w:w="395" w:type="pct"/>
                  <w:noWrap w:val="0"/>
                  <w:vAlign w:val="center"/>
                </w:tcPr>
                <w:p w14:paraId="533FF78A">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43.3</w:t>
                  </w:r>
                </w:p>
              </w:tc>
              <w:tc>
                <w:tcPr>
                  <w:tcW w:w="380" w:type="pct"/>
                  <w:noWrap w:val="0"/>
                  <w:vAlign w:val="center"/>
                </w:tcPr>
                <w:p w14:paraId="6DE1CE42">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r>
            <w:tr w14:paraId="7351F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continue"/>
                  <w:noWrap w:val="0"/>
                  <w:vAlign w:val="center"/>
                </w:tcPr>
                <w:p w14:paraId="5661370C">
                  <w:pPr>
                    <w:pStyle w:val="50"/>
                    <w:rPr>
                      <w:rFonts w:hint="default" w:ascii="Times New Roman" w:hAnsi="Times New Roman" w:eastAsia="宋体" w:cs="Times New Roman"/>
                      <w:color w:val="000000"/>
                      <w:sz w:val="21"/>
                      <w:szCs w:val="21"/>
                    </w:rPr>
                  </w:pPr>
                </w:p>
              </w:tc>
              <w:tc>
                <w:tcPr>
                  <w:tcW w:w="311" w:type="pct"/>
                  <w:noWrap w:val="0"/>
                  <w:vAlign w:val="center"/>
                </w:tcPr>
                <w:p w14:paraId="5EAD0517">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电麻</w:t>
                  </w:r>
                  <w:r>
                    <w:rPr>
                      <w:rFonts w:hint="default" w:ascii="Times New Roman" w:hAnsi="Times New Roman" w:eastAsia="宋体" w:cs="Times New Roman"/>
                      <w:color w:val="000000"/>
                      <w:sz w:val="21"/>
                      <w:szCs w:val="21"/>
                    </w:rPr>
                    <w:t>机</w:t>
                  </w:r>
                </w:p>
              </w:tc>
              <w:tc>
                <w:tcPr>
                  <w:tcW w:w="287" w:type="pct"/>
                  <w:noWrap w:val="0"/>
                  <w:vAlign w:val="center"/>
                </w:tcPr>
                <w:p w14:paraId="2168EB38">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333" w:type="pct"/>
                  <w:noWrap w:val="0"/>
                  <w:vAlign w:val="center"/>
                </w:tcPr>
                <w:p w14:paraId="2D8BC75F">
                  <w:pPr>
                    <w:pStyle w:val="5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7</w:t>
                  </w:r>
                  <w:r>
                    <w:rPr>
                      <w:rFonts w:hint="default" w:ascii="Times New Roman" w:hAnsi="Times New Roman" w:eastAsia="宋体" w:cs="Times New Roman"/>
                      <w:color w:val="000000"/>
                      <w:sz w:val="21"/>
                      <w:szCs w:val="21"/>
                      <w:lang w:val="en-US" w:eastAsia="zh-CN"/>
                    </w:rPr>
                    <w:t>0</w:t>
                  </w:r>
                </w:p>
              </w:tc>
              <w:tc>
                <w:tcPr>
                  <w:tcW w:w="561" w:type="pct"/>
                  <w:vMerge w:val="continue"/>
                  <w:noWrap w:val="0"/>
                  <w:vAlign w:val="center"/>
                </w:tcPr>
                <w:p w14:paraId="787BA34B">
                  <w:pPr>
                    <w:jc w:val="center"/>
                    <w:rPr>
                      <w:rFonts w:hint="default" w:ascii="Times New Roman" w:hAnsi="Times New Roman" w:eastAsia="宋体" w:cs="Times New Roman"/>
                      <w:color w:val="000000"/>
                      <w:sz w:val="21"/>
                      <w:szCs w:val="21"/>
                    </w:rPr>
                  </w:pPr>
                </w:p>
              </w:tc>
              <w:tc>
                <w:tcPr>
                  <w:tcW w:w="406" w:type="pct"/>
                  <w:noWrap w:val="0"/>
                  <w:vAlign w:val="center"/>
                </w:tcPr>
                <w:p w14:paraId="09D9E70C">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w:t>
                  </w:r>
                  <w:r>
                    <w:rPr>
                      <w:rFonts w:hint="eastAsia" w:cs="Times New Roman"/>
                      <w:color w:val="000000"/>
                      <w:sz w:val="21"/>
                      <w:szCs w:val="21"/>
                      <w:lang w:val="en-US" w:eastAsia="zh-CN"/>
                    </w:rPr>
                    <w:t>.4</w:t>
                  </w:r>
                </w:p>
              </w:tc>
              <w:tc>
                <w:tcPr>
                  <w:tcW w:w="406" w:type="pct"/>
                  <w:noWrap w:val="0"/>
                  <w:vAlign w:val="center"/>
                </w:tcPr>
                <w:p w14:paraId="51A8D9E5">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-12.</w:t>
                  </w:r>
                  <w:r>
                    <w:rPr>
                      <w:rFonts w:hint="eastAsia" w:cs="Times New Roman"/>
                      <w:color w:val="000000"/>
                      <w:sz w:val="21"/>
                      <w:szCs w:val="21"/>
                      <w:lang w:val="en-US" w:eastAsia="zh-CN"/>
                    </w:rPr>
                    <w:t>1</w:t>
                  </w:r>
                </w:p>
              </w:tc>
              <w:tc>
                <w:tcPr>
                  <w:tcW w:w="304" w:type="pct"/>
                  <w:noWrap w:val="0"/>
                  <w:vAlign w:val="center"/>
                </w:tcPr>
                <w:p w14:paraId="1EA4D674">
                  <w:pP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w:t>
                  </w:r>
                  <w:r>
                    <w:rPr>
                      <w:rFonts w:hint="default" w:ascii="Times New Roman" w:hAnsi="Times New Roman" w:eastAsia="宋体" w:cs="Times New Roman"/>
                      <w:color w:val="000000"/>
                      <w:sz w:val="21"/>
                      <w:szCs w:val="21"/>
                      <w:lang w:val="en-US" w:eastAsia="zh-CN"/>
                    </w:rPr>
                    <w:t>.2</w:t>
                  </w:r>
                </w:p>
              </w:tc>
              <w:tc>
                <w:tcPr>
                  <w:tcW w:w="400" w:type="pct"/>
                  <w:noWrap w:val="0"/>
                  <w:vAlign w:val="center"/>
                </w:tcPr>
                <w:p w14:paraId="5CD72796">
                  <w:pPr>
                    <w:pStyle w:val="5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2</w:t>
                  </w:r>
                  <w:r>
                    <w:rPr>
                      <w:rFonts w:hint="default" w:ascii="Times New Roman" w:hAnsi="Times New Roman" w:eastAsia="宋体" w:cs="Times New Roman"/>
                      <w:color w:val="000000"/>
                      <w:sz w:val="21"/>
                      <w:szCs w:val="21"/>
                      <w:lang w:val="en-US" w:eastAsia="zh-CN"/>
                    </w:rPr>
                    <w:t>0</w:t>
                  </w:r>
                </w:p>
              </w:tc>
              <w:tc>
                <w:tcPr>
                  <w:tcW w:w="458" w:type="pct"/>
                  <w:noWrap w:val="0"/>
                  <w:vAlign w:val="center"/>
                </w:tcPr>
                <w:p w14:paraId="70182C53">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r>
                    <w:rPr>
                      <w:rFonts w:hint="eastAsia" w:cs="Times New Roman"/>
                      <w:color w:val="000000"/>
                      <w:sz w:val="21"/>
                      <w:szCs w:val="21"/>
                      <w:lang w:val="en-US" w:eastAsia="zh-CN"/>
                    </w:rPr>
                    <w:t>7.4</w:t>
                  </w:r>
                </w:p>
              </w:tc>
              <w:tc>
                <w:tcPr>
                  <w:tcW w:w="401" w:type="pct"/>
                  <w:noWrap w:val="0"/>
                  <w:vAlign w:val="center"/>
                </w:tcPr>
                <w:p w14:paraId="359212A7">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c>
                <w:tcPr>
                  <w:tcW w:w="395" w:type="pct"/>
                  <w:noWrap w:val="0"/>
                  <w:vAlign w:val="center"/>
                </w:tcPr>
                <w:p w14:paraId="60DC6C9E">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41.3</w:t>
                  </w:r>
                </w:p>
              </w:tc>
              <w:tc>
                <w:tcPr>
                  <w:tcW w:w="380" w:type="pct"/>
                  <w:noWrap w:val="0"/>
                  <w:vAlign w:val="center"/>
                </w:tcPr>
                <w:p w14:paraId="09CBF6AF">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r>
            <w:tr w14:paraId="0C374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continue"/>
                  <w:noWrap w:val="0"/>
                  <w:vAlign w:val="center"/>
                </w:tcPr>
                <w:p w14:paraId="7F40DEBD">
                  <w:pPr>
                    <w:pStyle w:val="50"/>
                    <w:rPr>
                      <w:rFonts w:hint="default" w:ascii="Times New Roman" w:hAnsi="Times New Roman" w:eastAsia="宋体" w:cs="Times New Roman"/>
                      <w:color w:val="000000"/>
                      <w:sz w:val="21"/>
                      <w:szCs w:val="21"/>
                    </w:rPr>
                  </w:pPr>
                </w:p>
              </w:tc>
              <w:tc>
                <w:tcPr>
                  <w:tcW w:w="311" w:type="pct"/>
                  <w:noWrap w:val="0"/>
                  <w:vAlign w:val="center"/>
                </w:tcPr>
                <w:p w14:paraId="58359007">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脱毛</w:t>
                  </w:r>
                  <w:r>
                    <w:rPr>
                      <w:rFonts w:hint="default" w:ascii="Times New Roman" w:hAnsi="Times New Roman" w:eastAsia="宋体" w:cs="Times New Roman"/>
                      <w:color w:val="000000"/>
                      <w:sz w:val="21"/>
                      <w:szCs w:val="21"/>
                    </w:rPr>
                    <w:t>机</w:t>
                  </w:r>
                </w:p>
              </w:tc>
              <w:tc>
                <w:tcPr>
                  <w:tcW w:w="287" w:type="pct"/>
                  <w:noWrap w:val="0"/>
                  <w:vAlign w:val="center"/>
                </w:tcPr>
                <w:p w14:paraId="4C625082">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333" w:type="pct"/>
                  <w:noWrap w:val="0"/>
                  <w:vAlign w:val="center"/>
                </w:tcPr>
                <w:p w14:paraId="36E3D575">
                  <w:pPr>
                    <w:pStyle w:val="5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6</w:t>
                  </w:r>
                  <w:r>
                    <w:rPr>
                      <w:rFonts w:hint="default" w:ascii="Times New Roman" w:hAnsi="Times New Roman" w:eastAsia="宋体" w:cs="Times New Roman"/>
                      <w:color w:val="000000"/>
                      <w:sz w:val="21"/>
                      <w:szCs w:val="21"/>
                    </w:rPr>
                    <w:t>0</w:t>
                  </w:r>
                </w:p>
              </w:tc>
              <w:tc>
                <w:tcPr>
                  <w:tcW w:w="561" w:type="pct"/>
                  <w:vMerge w:val="continue"/>
                  <w:noWrap w:val="0"/>
                  <w:vAlign w:val="center"/>
                </w:tcPr>
                <w:p w14:paraId="156E4ADE">
                  <w:pPr>
                    <w:pStyle w:val="50"/>
                    <w:rPr>
                      <w:rFonts w:hint="default" w:ascii="Times New Roman" w:hAnsi="Times New Roman" w:eastAsia="宋体" w:cs="Times New Roman"/>
                      <w:color w:val="000000"/>
                      <w:sz w:val="21"/>
                      <w:szCs w:val="21"/>
                    </w:rPr>
                  </w:pPr>
                </w:p>
              </w:tc>
              <w:tc>
                <w:tcPr>
                  <w:tcW w:w="406" w:type="pct"/>
                  <w:noWrap w:val="0"/>
                  <w:vAlign w:val="center"/>
                </w:tcPr>
                <w:p w14:paraId="2C284BE8">
                  <w:pPr>
                    <w:pStyle w:val="50"/>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-8</w:t>
                  </w:r>
                </w:p>
              </w:tc>
              <w:tc>
                <w:tcPr>
                  <w:tcW w:w="406" w:type="pct"/>
                  <w:noWrap w:val="0"/>
                  <w:vAlign w:val="center"/>
                </w:tcPr>
                <w:p w14:paraId="31E12116">
                  <w:pPr>
                    <w:pStyle w:val="50"/>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-8.9</w:t>
                  </w:r>
                </w:p>
              </w:tc>
              <w:tc>
                <w:tcPr>
                  <w:tcW w:w="304" w:type="pct"/>
                  <w:noWrap w:val="0"/>
                  <w:vAlign w:val="center"/>
                </w:tcPr>
                <w:p w14:paraId="3A018736">
                  <w:pP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w:t>
                  </w:r>
                  <w:r>
                    <w:rPr>
                      <w:rFonts w:hint="eastAsia" w:ascii="Times New Roman" w:hAnsi="Times New Roman" w:eastAsia="宋体" w:cs="Times New Roman"/>
                      <w:color w:val="000000"/>
                      <w:sz w:val="21"/>
                      <w:szCs w:val="21"/>
                      <w:lang w:val="en-US" w:eastAsia="zh-CN"/>
                    </w:rPr>
                    <w:t>.2</w:t>
                  </w:r>
                </w:p>
              </w:tc>
              <w:tc>
                <w:tcPr>
                  <w:tcW w:w="400" w:type="pct"/>
                  <w:noWrap w:val="0"/>
                  <w:vAlign w:val="center"/>
                </w:tcPr>
                <w:p w14:paraId="33E04950">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w:t>
                  </w:r>
                </w:p>
              </w:tc>
              <w:tc>
                <w:tcPr>
                  <w:tcW w:w="458" w:type="pct"/>
                  <w:noWrap w:val="0"/>
                  <w:vAlign w:val="center"/>
                </w:tcPr>
                <w:p w14:paraId="46AA2726">
                  <w:pPr>
                    <w:pStyle w:val="50"/>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44.4</w:t>
                  </w:r>
                </w:p>
              </w:tc>
              <w:tc>
                <w:tcPr>
                  <w:tcW w:w="401" w:type="pct"/>
                  <w:noWrap w:val="0"/>
                  <w:vAlign w:val="center"/>
                </w:tcPr>
                <w:p w14:paraId="5F484C62">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c>
                <w:tcPr>
                  <w:tcW w:w="395" w:type="pct"/>
                  <w:noWrap w:val="0"/>
                  <w:vAlign w:val="center"/>
                </w:tcPr>
                <w:p w14:paraId="710F7380">
                  <w:pPr>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24.4</w:t>
                  </w:r>
                </w:p>
              </w:tc>
              <w:tc>
                <w:tcPr>
                  <w:tcW w:w="380" w:type="pct"/>
                  <w:noWrap w:val="0"/>
                  <w:vAlign w:val="center"/>
                </w:tcPr>
                <w:p w14:paraId="5C3EF63D">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r>
            <w:tr w14:paraId="55103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continue"/>
                  <w:noWrap w:val="0"/>
                  <w:vAlign w:val="center"/>
                </w:tcPr>
                <w:p w14:paraId="039BB62B">
                  <w:pPr>
                    <w:pStyle w:val="50"/>
                    <w:rPr>
                      <w:rFonts w:hint="default" w:ascii="Times New Roman" w:hAnsi="Times New Roman" w:eastAsia="宋体" w:cs="Times New Roman"/>
                      <w:color w:val="000000"/>
                      <w:sz w:val="21"/>
                      <w:szCs w:val="21"/>
                    </w:rPr>
                  </w:pPr>
                </w:p>
              </w:tc>
              <w:tc>
                <w:tcPr>
                  <w:tcW w:w="311" w:type="pct"/>
                  <w:noWrap w:val="0"/>
                  <w:vAlign w:val="center"/>
                </w:tcPr>
                <w:p w14:paraId="08879439">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分割机</w:t>
                  </w:r>
                </w:p>
              </w:tc>
              <w:tc>
                <w:tcPr>
                  <w:tcW w:w="287" w:type="pct"/>
                  <w:noWrap w:val="0"/>
                  <w:vAlign w:val="center"/>
                </w:tcPr>
                <w:p w14:paraId="3E6DAF85">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33" w:type="pct"/>
                  <w:noWrap w:val="0"/>
                  <w:vAlign w:val="center"/>
                </w:tcPr>
                <w:p w14:paraId="6CB1A485">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75</w:t>
                  </w:r>
                </w:p>
              </w:tc>
              <w:tc>
                <w:tcPr>
                  <w:tcW w:w="561" w:type="pct"/>
                  <w:vMerge w:val="continue"/>
                  <w:noWrap w:val="0"/>
                  <w:vAlign w:val="center"/>
                </w:tcPr>
                <w:p w14:paraId="254517BF">
                  <w:pPr>
                    <w:pStyle w:val="50"/>
                    <w:rPr>
                      <w:rFonts w:hint="default" w:ascii="Times New Roman" w:hAnsi="Times New Roman" w:eastAsia="宋体" w:cs="Times New Roman"/>
                      <w:color w:val="000000"/>
                      <w:sz w:val="21"/>
                      <w:szCs w:val="21"/>
                    </w:rPr>
                  </w:pPr>
                </w:p>
              </w:tc>
              <w:tc>
                <w:tcPr>
                  <w:tcW w:w="406" w:type="pct"/>
                  <w:noWrap w:val="0"/>
                  <w:vAlign w:val="center"/>
                </w:tcPr>
                <w:p w14:paraId="34641720">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3.3</w:t>
                  </w:r>
                </w:p>
              </w:tc>
              <w:tc>
                <w:tcPr>
                  <w:tcW w:w="406" w:type="pct"/>
                  <w:noWrap w:val="0"/>
                  <w:vAlign w:val="center"/>
                </w:tcPr>
                <w:p w14:paraId="12EE6C49">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7.9</w:t>
                  </w:r>
                </w:p>
              </w:tc>
              <w:tc>
                <w:tcPr>
                  <w:tcW w:w="304" w:type="pct"/>
                  <w:noWrap w:val="0"/>
                  <w:vAlign w:val="center"/>
                </w:tcPr>
                <w:p w14:paraId="43AC5D31">
                  <w:pP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1.2</w:t>
                  </w:r>
                </w:p>
              </w:tc>
              <w:tc>
                <w:tcPr>
                  <w:tcW w:w="400" w:type="pct"/>
                  <w:noWrap w:val="0"/>
                  <w:vAlign w:val="center"/>
                </w:tcPr>
                <w:p w14:paraId="46ED5A47">
                  <w:pPr>
                    <w:pStyle w:val="50"/>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458" w:type="pct"/>
                  <w:noWrap w:val="0"/>
                  <w:vAlign w:val="center"/>
                </w:tcPr>
                <w:p w14:paraId="7428624D">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62.5</w:t>
                  </w:r>
                </w:p>
              </w:tc>
              <w:tc>
                <w:tcPr>
                  <w:tcW w:w="401" w:type="pct"/>
                  <w:noWrap w:val="0"/>
                  <w:vAlign w:val="center"/>
                </w:tcPr>
                <w:p w14:paraId="18E14D10">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395" w:type="pct"/>
                  <w:noWrap w:val="0"/>
                  <w:vAlign w:val="center"/>
                </w:tcPr>
                <w:p w14:paraId="0EB7D1BA">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46.5</w:t>
                  </w:r>
                </w:p>
              </w:tc>
              <w:tc>
                <w:tcPr>
                  <w:tcW w:w="380" w:type="pct"/>
                  <w:noWrap w:val="0"/>
                  <w:vAlign w:val="center"/>
                </w:tcPr>
                <w:p w14:paraId="0989F8F9">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r w14:paraId="0D365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continue"/>
                  <w:noWrap w:val="0"/>
                  <w:vAlign w:val="center"/>
                </w:tcPr>
                <w:p w14:paraId="2D89984A">
                  <w:pPr>
                    <w:pStyle w:val="50"/>
                    <w:rPr>
                      <w:rFonts w:hint="default" w:ascii="Times New Roman" w:hAnsi="Times New Roman" w:eastAsia="宋体" w:cs="Times New Roman"/>
                      <w:color w:val="000000"/>
                      <w:sz w:val="21"/>
                      <w:szCs w:val="21"/>
                    </w:rPr>
                  </w:pPr>
                </w:p>
              </w:tc>
              <w:tc>
                <w:tcPr>
                  <w:tcW w:w="311" w:type="pct"/>
                  <w:noWrap w:val="0"/>
                  <w:vAlign w:val="center"/>
                </w:tcPr>
                <w:p w14:paraId="37C6EAE1">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劈半机</w:t>
                  </w:r>
                </w:p>
              </w:tc>
              <w:tc>
                <w:tcPr>
                  <w:tcW w:w="287" w:type="pct"/>
                  <w:noWrap w:val="0"/>
                  <w:vAlign w:val="center"/>
                </w:tcPr>
                <w:p w14:paraId="220F71E0">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33" w:type="pct"/>
                  <w:noWrap w:val="0"/>
                  <w:vAlign w:val="center"/>
                </w:tcPr>
                <w:p w14:paraId="25333D2E">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70</w:t>
                  </w:r>
                </w:p>
              </w:tc>
              <w:tc>
                <w:tcPr>
                  <w:tcW w:w="561" w:type="pct"/>
                  <w:vMerge w:val="continue"/>
                  <w:noWrap w:val="0"/>
                  <w:vAlign w:val="center"/>
                </w:tcPr>
                <w:p w14:paraId="247AAF11">
                  <w:pPr>
                    <w:pStyle w:val="50"/>
                    <w:rPr>
                      <w:rFonts w:hint="default" w:ascii="Times New Roman" w:hAnsi="Times New Roman" w:eastAsia="宋体" w:cs="Times New Roman"/>
                      <w:color w:val="000000"/>
                      <w:sz w:val="21"/>
                      <w:szCs w:val="21"/>
                    </w:rPr>
                  </w:pPr>
                </w:p>
              </w:tc>
              <w:tc>
                <w:tcPr>
                  <w:tcW w:w="406" w:type="pct"/>
                  <w:noWrap w:val="0"/>
                  <w:vAlign w:val="center"/>
                </w:tcPr>
                <w:p w14:paraId="2F5ABC70">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0.3</w:t>
                  </w:r>
                </w:p>
              </w:tc>
              <w:tc>
                <w:tcPr>
                  <w:tcW w:w="406" w:type="pct"/>
                  <w:noWrap w:val="0"/>
                  <w:vAlign w:val="center"/>
                </w:tcPr>
                <w:p w14:paraId="6C8B85F4">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w:t>
                  </w:r>
                </w:p>
              </w:tc>
              <w:tc>
                <w:tcPr>
                  <w:tcW w:w="304" w:type="pct"/>
                  <w:noWrap w:val="0"/>
                  <w:vAlign w:val="center"/>
                </w:tcPr>
                <w:p w14:paraId="0BC92567">
                  <w:pP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1.2</w:t>
                  </w:r>
                </w:p>
              </w:tc>
              <w:tc>
                <w:tcPr>
                  <w:tcW w:w="400" w:type="pct"/>
                  <w:noWrap w:val="0"/>
                  <w:vAlign w:val="center"/>
                </w:tcPr>
                <w:p w14:paraId="3CD1F8B1">
                  <w:pPr>
                    <w:pStyle w:val="50"/>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458" w:type="pct"/>
                  <w:noWrap w:val="0"/>
                  <w:vAlign w:val="center"/>
                </w:tcPr>
                <w:p w14:paraId="39D2E811">
                  <w:pPr>
                    <w:pStyle w:val="50"/>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w:t>
                  </w:r>
                  <w:r>
                    <w:rPr>
                      <w:rFonts w:hint="eastAsia" w:cs="Times New Roman"/>
                      <w:color w:val="000000"/>
                      <w:sz w:val="21"/>
                      <w:szCs w:val="21"/>
                      <w:lang w:val="en-US" w:eastAsia="zh-CN"/>
                    </w:rPr>
                    <w:t>7.3</w:t>
                  </w:r>
                </w:p>
              </w:tc>
              <w:tc>
                <w:tcPr>
                  <w:tcW w:w="401" w:type="pct"/>
                  <w:noWrap w:val="0"/>
                  <w:vAlign w:val="center"/>
                </w:tcPr>
                <w:p w14:paraId="56A8EAF5">
                  <w:pPr>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395" w:type="pct"/>
                  <w:noWrap w:val="0"/>
                  <w:vAlign w:val="center"/>
                </w:tcPr>
                <w:p w14:paraId="62160F87">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41.3</w:t>
                  </w:r>
                </w:p>
              </w:tc>
              <w:tc>
                <w:tcPr>
                  <w:tcW w:w="380" w:type="pct"/>
                  <w:noWrap w:val="0"/>
                  <w:vAlign w:val="center"/>
                </w:tcPr>
                <w:p w14:paraId="584BFB3A">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r>
            <w:tr w14:paraId="5EBC4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continue"/>
                  <w:noWrap w:val="0"/>
                  <w:vAlign w:val="center"/>
                </w:tcPr>
                <w:p w14:paraId="3D4B015E">
                  <w:pPr>
                    <w:pStyle w:val="50"/>
                    <w:rPr>
                      <w:rFonts w:hint="default" w:ascii="Times New Roman" w:hAnsi="Times New Roman" w:eastAsia="宋体" w:cs="Times New Roman"/>
                      <w:color w:val="000000"/>
                      <w:sz w:val="21"/>
                      <w:szCs w:val="21"/>
                    </w:rPr>
                  </w:pPr>
                </w:p>
              </w:tc>
              <w:tc>
                <w:tcPr>
                  <w:tcW w:w="311" w:type="pct"/>
                  <w:noWrap w:val="0"/>
                  <w:vAlign w:val="center"/>
                </w:tcPr>
                <w:p w14:paraId="7A707DAF">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猪叫</w:t>
                  </w:r>
                </w:p>
              </w:tc>
              <w:tc>
                <w:tcPr>
                  <w:tcW w:w="287" w:type="pct"/>
                  <w:noWrap w:val="0"/>
                  <w:vAlign w:val="center"/>
                </w:tcPr>
                <w:p w14:paraId="27F734E8">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33" w:type="pct"/>
                  <w:noWrap w:val="0"/>
                  <w:vAlign w:val="center"/>
                </w:tcPr>
                <w:p w14:paraId="3A3165A2">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80</w:t>
                  </w:r>
                </w:p>
              </w:tc>
              <w:tc>
                <w:tcPr>
                  <w:tcW w:w="561" w:type="pct"/>
                  <w:vMerge w:val="continue"/>
                  <w:noWrap w:val="0"/>
                  <w:vAlign w:val="center"/>
                </w:tcPr>
                <w:p w14:paraId="5F4DA9C7">
                  <w:pPr>
                    <w:pStyle w:val="50"/>
                    <w:rPr>
                      <w:rFonts w:hint="default" w:ascii="Times New Roman" w:hAnsi="Times New Roman" w:eastAsia="宋体" w:cs="Times New Roman"/>
                      <w:color w:val="000000"/>
                      <w:sz w:val="21"/>
                      <w:szCs w:val="21"/>
                    </w:rPr>
                  </w:pPr>
                </w:p>
              </w:tc>
              <w:tc>
                <w:tcPr>
                  <w:tcW w:w="406" w:type="pct"/>
                  <w:noWrap w:val="0"/>
                  <w:vAlign w:val="center"/>
                </w:tcPr>
                <w:p w14:paraId="5BF225B9">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-16.9</w:t>
                  </w:r>
                </w:p>
              </w:tc>
              <w:tc>
                <w:tcPr>
                  <w:tcW w:w="406" w:type="pct"/>
                  <w:noWrap w:val="0"/>
                  <w:vAlign w:val="center"/>
                </w:tcPr>
                <w:p w14:paraId="7427B2D9">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-12.6</w:t>
                  </w:r>
                </w:p>
              </w:tc>
              <w:tc>
                <w:tcPr>
                  <w:tcW w:w="304" w:type="pct"/>
                  <w:noWrap w:val="0"/>
                  <w:vAlign w:val="center"/>
                </w:tcPr>
                <w:p w14:paraId="0B56BAEC">
                  <w:pP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r>
                    <w:rPr>
                      <w:rFonts w:hint="eastAsia" w:cs="Times New Roman"/>
                      <w:color w:val="000000"/>
                      <w:sz w:val="21"/>
                      <w:szCs w:val="21"/>
                      <w:lang w:val="en-US" w:eastAsia="zh-CN"/>
                    </w:rPr>
                    <w:t>.2</w:t>
                  </w:r>
                </w:p>
              </w:tc>
              <w:tc>
                <w:tcPr>
                  <w:tcW w:w="400" w:type="pct"/>
                  <w:noWrap w:val="0"/>
                  <w:vAlign w:val="center"/>
                </w:tcPr>
                <w:p w14:paraId="47F9BB1F">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w:t>
                  </w:r>
                </w:p>
              </w:tc>
              <w:tc>
                <w:tcPr>
                  <w:tcW w:w="458" w:type="pct"/>
                  <w:noWrap w:val="0"/>
                  <w:vAlign w:val="center"/>
                </w:tcPr>
                <w:p w14:paraId="6C533FE1">
                  <w:pPr>
                    <w:pStyle w:val="50"/>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r>
                    <w:rPr>
                      <w:rFonts w:hint="eastAsia" w:cs="Times New Roman"/>
                      <w:color w:val="000000"/>
                      <w:sz w:val="21"/>
                      <w:szCs w:val="21"/>
                      <w:lang w:val="en-US" w:eastAsia="zh-CN"/>
                    </w:rPr>
                    <w:t>4.6</w:t>
                  </w:r>
                </w:p>
              </w:tc>
              <w:tc>
                <w:tcPr>
                  <w:tcW w:w="401" w:type="pct"/>
                  <w:noWrap w:val="0"/>
                  <w:vAlign w:val="center"/>
                </w:tcPr>
                <w:p w14:paraId="5E3E3F58">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w:t>
                  </w:r>
                </w:p>
              </w:tc>
              <w:tc>
                <w:tcPr>
                  <w:tcW w:w="395" w:type="pct"/>
                  <w:noWrap w:val="0"/>
                  <w:vAlign w:val="center"/>
                </w:tcPr>
                <w:p w14:paraId="09F60FFA">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r>
                    <w:rPr>
                      <w:rFonts w:hint="eastAsia" w:cs="Times New Roman"/>
                      <w:color w:val="000000"/>
                      <w:sz w:val="21"/>
                      <w:szCs w:val="21"/>
                      <w:lang w:val="en-US" w:eastAsia="zh-CN"/>
                    </w:rPr>
                    <w:t>8.5</w:t>
                  </w:r>
                </w:p>
              </w:tc>
              <w:tc>
                <w:tcPr>
                  <w:tcW w:w="380" w:type="pct"/>
                  <w:noWrap w:val="0"/>
                  <w:vAlign w:val="center"/>
                </w:tcPr>
                <w:p w14:paraId="081BEA8C">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r>
            <w:tr w14:paraId="1D152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4" w:type="pct"/>
                  <w:vMerge w:val="continue"/>
                  <w:noWrap w:val="0"/>
                  <w:vAlign w:val="center"/>
                </w:tcPr>
                <w:p w14:paraId="010F2FCC">
                  <w:pPr>
                    <w:pStyle w:val="50"/>
                    <w:rPr>
                      <w:rFonts w:hint="default" w:ascii="Times New Roman" w:hAnsi="Times New Roman" w:eastAsia="宋体" w:cs="Times New Roman"/>
                      <w:color w:val="000000"/>
                      <w:sz w:val="21"/>
                      <w:szCs w:val="21"/>
                    </w:rPr>
                  </w:pPr>
                </w:p>
              </w:tc>
              <w:tc>
                <w:tcPr>
                  <w:tcW w:w="311" w:type="pct"/>
                  <w:noWrap w:val="0"/>
                  <w:vAlign w:val="center"/>
                </w:tcPr>
                <w:p w14:paraId="4C60CFA9">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猪叫2</w:t>
                  </w:r>
                </w:p>
              </w:tc>
              <w:tc>
                <w:tcPr>
                  <w:tcW w:w="287" w:type="pct"/>
                  <w:noWrap w:val="0"/>
                  <w:vAlign w:val="center"/>
                </w:tcPr>
                <w:p w14:paraId="155CD864">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w:t>
                  </w:r>
                </w:p>
              </w:tc>
              <w:tc>
                <w:tcPr>
                  <w:tcW w:w="333" w:type="pct"/>
                  <w:noWrap w:val="0"/>
                  <w:vAlign w:val="center"/>
                </w:tcPr>
                <w:p w14:paraId="0F56E92E">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80</w:t>
                  </w:r>
                </w:p>
              </w:tc>
              <w:tc>
                <w:tcPr>
                  <w:tcW w:w="561" w:type="pct"/>
                  <w:vMerge w:val="continue"/>
                  <w:noWrap w:val="0"/>
                  <w:vAlign w:val="center"/>
                </w:tcPr>
                <w:p w14:paraId="57F2BCDC">
                  <w:pPr>
                    <w:pStyle w:val="50"/>
                    <w:rPr>
                      <w:rFonts w:hint="default" w:ascii="Times New Roman" w:hAnsi="Times New Roman" w:eastAsia="宋体" w:cs="Times New Roman"/>
                      <w:color w:val="000000"/>
                      <w:sz w:val="21"/>
                      <w:szCs w:val="21"/>
                    </w:rPr>
                  </w:pPr>
                </w:p>
              </w:tc>
              <w:tc>
                <w:tcPr>
                  <w:tcW w:w="406" w:type="pct"/>
                  <w:noWrap w:val="0"/>
                  <w:vAlign w:val="center"/>
                </w:tcPr>
                <w:p w14:paraId="7115FE41">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-6.9</w:t>
                  </w:r>
                </w:p>
              </w:tc>
              <w:tc>
                <w:tcPr>
                  <w:tcW w:w="406" w:type="pct"/>
                  <w:noWrap w:val="0"/>
                  <w:vAlign w:val="center"/>
                </w:tcPr>
                <w:p w14:paraId="4D5A630E">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-18.2</w:t>
                  </w:r>
                </w:p>
              </w:tc>
              <w:tc>
                <w:tcPr>
                  <w:tcW w:w="304" w:type="pct"/>
                  <w:noWrap w:val="0"/>
                  <w:vAlign w:val="center"/>
                </w:tcPr>
                <w:p w14:paraId="008DF1F2">
                  <w:pP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-1.2</w:t>
                  </w:r>
                </w:p>
              </w:tc>
              <w:tc>
                <w:tcPr>
                  <w:tcW w:w="400" w:type="pct"/>
                  <w:noWrap w:val="0"/>
                  <w:vAlign w:val="center"/>
                </w:tcPr>
                <w:p w14:paraId="7F7AF2FF">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20</w:t>
                  </w:r>
                </w:p>
              </w:tc>
              <w:tc>
                <w:tcPr>
                  <w:tcW w:w="458" w:type="pct"/>
                  <w:noWrap w:val="0"/>
                  <w:vAlign w:val="center"/>
                </w:tcPr>
                <w:p w14:paraId="1F7D5A46">
                  <w:pPr>
                    <w:pStyle w:val="50"/>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64.6</w:t>
                  </w:r>
                </w:p>
              </w:tc>
              <w:tc>
                <w:tcPr>
                  <w:tcW w:w="401" w:type="pct"/>
                  <w:noWrap w:val="0"/>
                  <w:vAlign w:val="center"/>
                </w:tcPr>
                <w:p w14:paraId="19A8DB35">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10</w:t>
                  </w:r>
                </w:p>
              </w:tc>
              <w:tc>
                <w:tcPr>
                  <w:tcW w:w="395" w:type="pct"/>
                  <w:noWrap w:val="0"/>
                  <w:vAlign w:val="center"/>
                </w:tcPr>
                <w:p w14:paraId="6E5AAB20">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48.9</w:t>
                  </w:r>
                </w:p>
              </w:tc>
              <w:tc>
                <w:tcPr>
                  <w:tcW w:w="380" w:type="pct"/>
                  <w:noWrap w:val="0"/>
                  <w:vAlign w:val="center"/>
                </w:tcPr>
                <w:p w14:paraId="59A081EE">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w:t>
                  </w:r>
                </w:p>
              </w:tc>
            </w:tr>
          </w:tbl>
          <w:p w14:paraId="7D7C44ED">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rPr>
                <w:rFonts w:hint="eastAsia" w:ascii="宋体" w:hAnsi="宋体" w:eastAsia="宋体" w:cs="宋体"/>
                <w:b/>
                <w:bCs/>
                <w:color w:val="000000"/>
                <w:kern w:val="0"/>
                <w:sz w:val="21"/>
                <w:szCs w:val="21"/>
                <w:lang w:val="en-US" w:eastAsia="zh-CN" w:bidi="ar"/>
              </w:rPr>
            </w:pPr>
            <w:r>
              <w:rPr>
                <w:rFonts w:hint="eastAsia" w:ascii="宋体" w:hAnsi="宋体" w:eastAsia="宋体" w:cs="宋体"/>
                <w:b/>
                <w:bCs/>
                <w:color w:val="000000"/>
                <w:kern w:val="0"/>
                <w:sz w:val="21"/>
                <w:szCs w:val="21"/>
                <w:lang w:val="en-US" w:eastAsia="zh-CN" w:bidi="ar"/>
              </w:rPr>
              <w:t>表4-14 室外设备噪声源强及治理措施</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8"/>
              <w:gridCol w:w="1199"/>
              <w:gridCol w:w="722"/>
              <w:gridCol w:w="1199"/>
              <w:gridCol w:w="1509"/>
              <w:gridCol w:w="725"/>
              <w:gridCol w:w="557"/>
              <w:gridCol w:w="565"/>
            </w:tblGrid>
            <w:tr w14:paraId="5CAC4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908" w:type="pct"/>
                  <w:vMerge w:val="restart"/>
                  <w:vAlign w:val="center"/>
                </w:tcPr>
                <w:p w14:paraId="47475D41">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建筑物名称</w:t>
                  </w:r>
                </w:p>
              </w:tc>
              <w:tc>
                <w:tcPr>
                  <w:tcW w:w="757" w:type="pct"/>
                  <w:vMerge w:val="restart"/>
                  <w:vAlign w:val="center"/>
                </w:tcPr>
                <w:p w14:paraId="52EED457">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声源名称</w:t>
                  </w:r>
                </w:p>
              </w:tc>
              <w:tc>
                <w:tcPr>
                  <w:tcW w:w="456" w:type="pct"/>
                  <w:vMerge w:val="restart"/>
                  <w:vAlign w:val="center"/>
                </w:tcPr>
                <w:p w14:paraId="01B0B20E">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型号</w:t>
                  </w:r>
                </w:p>
              </w:tc>
              <w:tc>
                <w:tcPr>
                  <w:tcW w:w="757" w:type="pct"/>
                  <w:vMerge w:val="restart"/>
                  <w:vAlign w:val="center"/>
                </w:tcPr>
                <w:p w14:paraId="0CD32A08">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声源源强</w:t>
                  </w:r>
                </w:p>
              </w:tc>
              <w:tc>
                <w:tcPr>
                  <w:tcW w:w="953" w:type="pct"/>
                  <w:vMerge w:val="restart"/>
                  <w:vAlign w:val="center"/>
                </w:tcPr>
                <w:p w14:paraId="5373D6DD">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default" w:ascii="Times New Roman" w:hAnsi="Times New Roman" w:eastAsia="宋体" w:cs="Times New Roman"/>
                      <w:color w:val="000000"/>
                      <w:sz w:val="21"/>
                      <w:szCs w:val="21"/>
                    </w:rPr>
                    <w:t>声源控制措施</w:t>
                  </w:r>
                </w:p>
              </w:tc>
              <w:tc>
                <w:tcPr>
                  <w:tcW w:w="1166" w:type="pct"/>
                  <w:gridSpan w:val="3"/>
                  <w:vAlign w:val="center"/>
                </w:tcPr>
                <w:p w14:paraId="3B82C6F7">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default" w:ascii="Times New Roman" w:hAnsi="Times New Roman" w:eastAsia="宋体" w:cs="Times New Roman"/>
                      <w:color w:val="000000"/>
                      <w:sz w:val="21"/>
                      <w:szCs w:val="21"/>
                    </w:rPr>
                    <w:t>空间相对位置</w:t>
                  </w:r>
                </w:p>
              </w:tc>
            </w:tr>
            <w:tr w14:paraId="554CC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908" w:type="pct"/>
                  <w:vMerge w:val="continue"/>
                  <w:vAlign w:val="center"/>
                </w:tcPr>
                <w:p w14:paraId="76F34783">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sz w:val="21"/>
                      <w:szCs w:val="21"/>
                    </w:rPr>
                  </w:pPr>
                </w:p>
              </w:tc>
              <w:tc>
                <w:tcPr>
                  <w:tcW w:w="757" w:type="pct"/>
                  <w:vMerge w:val="continue"/>
                  <w:vAlign w:val="center"/>
                </w:tcPr>
                <w:p w14:paraId="12E760C1">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sz w:val="21"/>
                      <w:szCs w:val="21"/>
                    </w:rPr>
                  </w:pPr>
                </w:p>
              </w:tc>
              <w:tc>
                <w:tcPr>
                  <w:tcW w:w="456" w:type="pct"/>
                  <w:vMerge w:val="continue"/>
                  <w:vAlign w:val="center"/>
                </w:tcPr>
                <w:p w14:paraId="5764FFA3">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sz w:val="21"/>
                      <w:szCs w:val="21"/>
                    </w:rPr>
                  </w:pPr>
                </w:p>
              </w:tc>
              <w:tc>
                <w:tcPr>
                  <w:tcW w:w="757" w:type="pct"/>
                  <w:vMerge w:val="continue"/>
                  <w:vAlign w:val="center"/>
                </w:tcPr>
                <w:p w14:paraId="006F416A">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sz w:val="21"/>
                      <w:szCs w:val="21"/>
                    </w:rPr>
                  </w:pPr>
                </w:p>
              </w:tc>
              <w:tc>
                <w:tcPr>
                  <w:tcW w:w="953" w:type="pct"/>
                  <w:vMerge w:val="continue"/>
                  <w:vAlign w:val="center"/>
                </w:tcPr>
                <w:p w14:paraId="5B393AEC">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sz w:val="21"/>
                      <w:szCs w:val="21"/>
                    </w:rPr>
                  </w:pPr>
                </w:p>
              </w:tc>
              <w:tc>
                <w:tcPr>
                  <w:tcW w:w="458" w:type="pct"/>
                  <w:vAlign w:val="center"/>
                </w:tcPr>
                <w:p w14:paraId="023BF7DC">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X</w:t>
                  </w:r>
                </w:p>
              </w:tc>
              <w:tc>
                <w:tcPr>
                  <w:tcW w:w="352" w:type="pct"/>
                  <w:vAlign w:val="center"/>
                </w:tcPr>
                <w:p w14:paraId="218B8C51">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Y</w:t>
                  </w:r>
                </w:p>
              </w:tc>
              <w:tc>
                <w:tcPr>
                  <w:tcW w:w="354" w:type="pct"/>
                  <w:vAlign w:val="center"/>
                </w:tcPr>
                <w:p w14:paraId="637FE682">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Z</w:t>
                  </w:r>
                </w:p>
              </w:tc>
            </w:tr>
            <w:tr w14:paraId="47AE3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8" w:type="pct"/>
                  <w:vAlign w:val="center"/>
                </w:tcPr>
                <w:p w14:paraId="4357E40C">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污水处理站</w:t>
                  </w:r>
                </w:p>
              </w:tc>
              <w:tc>
                <w:tcPr>
                  <w:tcW w:w="757" w:type="pct"/>
                  <w:vAlign w:val="center"/>
                </w:tcPr>
                <w:p w14:paraId="57FA2F03">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水泵</w:t>
                  </w:r>
                </w:p>
              </w:tc>
              <w:tc>
                <w:tcPr>
                  <w:tcW w:w="456" w:type="pct"/>
                  <w:vAlign w:val="center"/>
                </w:tcPr>
                <w:p w14:paraId="05F5A73A">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757" w:type="pct"/>
                  <w:vAlign w:val="center"/>
                </w:tcPr>
                <w:p w14:paraId="6326BC33">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70</w:t>
                  </w:r>
                </w:p>
              </w:tc>
              <w:tc>
                <w:tcPr>
                  <w:tcW w:w="953" w:type="pct"/>
                  <w:vAlign w:val="center"/>
                </w:tcPr>
                <w:p w14:paraId="45F5DFD5">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default" w:ascii="Times New Roman" w:hAnsi="Times New Roman" w:eastAsia="宋体" w:cs="Times New Roman"/>
                      <w:color w:val="auto"/>
                      <w:sz w:val="21"/>
                      <w:szCs w:val="21"/>
                      <w:highlight w:val="none"/>
                    </w:rPr>
                    <w:t>基础减振</w:t>
                  </w:r>
                </w:p>
              </w:tc>
              <w:tc>
                <w:tcPr>
                  <w:tcW w:w="458" w:type="pct"/>
                  <w:vAlign w:val="center"/>
                </w:tcPr>
                <w:p w14:paraId="38305E3A">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-30.5</w:t>
                  </w:r>
                </w:p>
              </w:tc>
              <w:tc>
                <w:tcPr>
                  <w:tcW w:w="352" w:type="pct"/>
                  <w:vAlign w:val="center"/>
                </w:tcPr>
                <w:p w14:paraId="61CCD418">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0.9</w:t>
                  </w:r>
                </w:p>
              </w:tc>
              <w:tc>
                <w:tcPr>
                  <w:tcW w:w="354" w:type="pct"/>
                  <w:vAlign w:val="center"/>
                </w:tcPr>
                <w:p w14:paraId="217A7898">
                  <w:pPr>
                    <w:pStyle w:val="1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r>
          </w:tbl>
          <w:p w14:paraId="061B9B0F">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cs="Times New Roman"/>
                <w:b w:val="0"/>
                <w:bCs w:val="0"/>
                <w:color w:val="000000"/>
                <w:kern w:val="0"/>
                <w:sz w:val="24"/>
                <w:szCs w:val="24"/>
                <w:lang w:val="en-US" w:eastAsia="zh-CN" w:bidi="ar"/>
              </w:rPr>
              <w:t>治理措施：</w:t>
            </w:r>
          </w:p>
          <w:p w14:paraId="063AE08C">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①</w:t>
            </w:r>
            <w:r>
              <w:rPr>
                <w:rFonts w:hint="default" w:ascii="Times New Roman" w:hAnsi="Times New Roman" w:cs="Times New Roman"/>
                <w:b w:val="0"/>
                <w:bCs w:val="0"/>
                <w:color w:val="000000"/>
                <w:kern w:val="0"/>
                <w:sz w:val="24"/>
                <w:szCs w:val="24"/>
                <w:lang w:val="en-US" w:eastAsia="zh-CN" w:bidi="ar"/>
              </w:rPr>
              <w:t>在设备选型时选用低噪声设备，从源头降低噪声源强。</w:t>
            </w:r>
          </w:p>
          <w:p w14:paraId="4E38C907">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②</w:t>
            </w:r>
            <w:r>
              <w:rPr>
                <w:rFonts w:hint="default" w:ascii="Times New Roman" w:hAnsi="Times New Roman" w:cs="Times New Roman"/>
                <w:b w:val="0"/>
                <w:bCs w:val="0"/>
                <w:color w:val="000000"/>
                <w:kern w:val="0"/>
                <w:sz w:val="24"/>
                <w:szCs w:val="24"/>
                <w:lang w:val="en-US" w:eastAsia="zh-CN" w:bidi="ar"/>
              </w:rPr>
              <w:t>对于有管路相连的设备，如水泵、风机等，需对管路进行可靠的隔声包扎，以降低噪声源强。</w:t>
            </w:r>
          </w:p>
          <w:p w14:paraId="68552D13">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③</w:t>
            </w:r>
            <w:r>
              <w:rPr>
                <w:rFonts w:hint="default" w:ascii="Times New Roman" w:hAnsi="Times New Roman" w:cs="Times New Roman"/>
                <w:b w:val="0"/>
                <w:bCs w:val="0"/>
                <w:color w:val="000000"/>
                <w:kern w:val="0"/>
                <w:sz w:val="24"/>
                <w:szCs w:val="24"/>
                <w:lang w:val="en-US" w:eastAsia="zh-CN" w:bidi="ar"/>
              </w:rPr>
              <w:t>生产车间采用墙体隔声，一般二四墙体可隔声25dB。</w:t>
            </w:r>
          </w:p>
          <w:p w14:paraId="19FD2E16">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④</w:t>
            </w:r>
            <w:r>
              <w:rPr>
                <w:rFonts w:hint="default" w:ascii="Times New Roman" w:hAnsi="Times New Roman" w:cs="Times New Roman"/>
                <w:b w:val="0"/>
                <w:bCs w:val="0"/>
                <w:color w:val="000000"/>
                <w:kern w:val="0"/>
                <w:sz w:val="24"/>
                <w:szCs w:val="24"/>
                <w:lang w:val="en-US" w:eastAsia="zh-CN" w:bidi="ar"/>
              </w:rPr>
              <w:t>在总图上优化布置，在满足工艺的前提下，尽可能将高噪声设备布置在厂区中部并利用建筑隔声，以减少对外部环境的影响。</w:t>
            </w:r>
          </w:p>
          <w:p w14:paraId="2E2B10B8">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⑤</w:t>
            </w:r>
            <w:r>
              <w:rPr>
                <w:rFonts w:hint="default" w:ascii="Times New Roman" w:hAnsi="Times New Roman" w:cs="Times New Roman"/>
                <w:b w:val="0"/>
                <w:bCs w:val="0"/>
                <w:color w:val="000000"/>
                <w:kern w:val="0"/>
                <w:sz w:val="24"/>
                <w:szCs w:val="24"/>
                <w:lang w:val="en-US" w:eastAsia="zh-CN" w:bidi="ar"/>
              </w:rPr>
              <w:t>优化产噪设备所在厂房的门窗数量、方位。</w:t>
            </w:r>
          </w:p>
          <w:p w14:paraId="6388F0C8">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⑥</w:t>
            </w:r>
            <w:r>
              <w:rPr>
                <w:rFonts w:hint="default" w:ascii="Times New Roman" w:hAnsi="Times New Roman" w:cs="Times New Roman"/>
                <w:b w:val="0"/>
                <w:bCs w:val="0"/>
                <w:color w:val="000000"/>
                <w:kern w:val="0"/>
                <w:sz w:val="24"/>
                <w:szCs w:val="24"/>
                <w:lang w:val="en-US" w:eastAsia="zh-CN" w:bidi="ar"/>
              </w:rPr>
              <w:t>加强项目内设备的保养和维护，确保项目内设备处</w:t>
            </w:r>
            <w:r>
              <w:rPr>
                <w:rFonts w:hint="eastAsia" w:cs="Times New Roman"/>
                <w:b w:val="0"/>
                <w:bCs w:val="0"/>
                <w:color w:val="000000"/>
                <w:kern w:val="0"/>
                <w:sz w:val="24"/>
                <w:szCs w:val="24"/>
                <w:lang w:val="en-US" w:eastAsia="zh-CN" w:bidi="ar"/>
              </w:rPr>
              <w:t>于</w:t>
            </w:r>
            <w:r>
              <w:rPr>
                <w:rFonts w:hint="default" w:ascii="Times New Roman" w:hAnsi="Times New Roman" w:cs="Times New Roman"/>
                <w:b w:val="0"/>
                <w:bCs w:val="0"/>
                <w:color w:val="000000"/>
                <w:kern w:val="0"/>
                <w:sz w:val="24"/>
                <w:szCs w:val="24"/>
                <w:lang w:val="en-US" w:eastAsia="zh-CN" w:bidi="ar"/>
              </w:rPr>
              <w:t>良好的工况进行生产。</w:t>
            </w:r>
          </w:p>
          <w:p w14:paraId="06C3DE26">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⑦</w:t>
            </w:r>
            <w:r>
              <w:rPr>
                <w:rFonts w:hint="default" w:ascii="Times New Roman" w:hAnsi="Times New Roman" w:cs="Times New Roman"/>
                <w:b w:val="0"/>
                <w:bCs w:val="0"/>
                <w:color w:val="000000"/>
                <w:kern w:val="0"/>
                <w:sz w:val="24"/>
                <w:szCs w:val="24"/>
                <w:lang w:val="en-US" w:eastAsia="zh-CN" w:bidi="ar"/>
              </w:rPr>
              <w:t>加强管理，特别要减少外界噪声（尤其是项目周边及项目内交通噪声）等对屠宰场的干扰，保持安定平和的环境，缓解动物的紧张情绪，减少鸣叫。</w:t>
            </w:r>
          </w:p>
          <w:p w14:paraId="0B955430">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⑧加强对进出车辆的管理。场内禁鸣喇叭，尽量减少机动车频繁启动和怠速，规范进入项目内车辆的停车秩序等措施</w:t>
            </w:r>
            <w:r>
              <w:rPr>
                <w:rFonts w:hint="eastAsia" w:ascii="宋体" w:hAnsi="宋体" w:eastAsia="宋体" w:cs="宋体"/>
                <w:b w:val="0"/>
                <w:bCs w:val="0"/>
                <w:color w:val="000000"/>
                <w:kern w:val="0"/>
                <w:sz w:val="24"/>
                <w:szCs w:val="24"/>
                <w:lang w:val="en-US" w:eastAsia="zh-CN" w:bidi="ar"/>
              </w:rPr>
              <w:t>,</w:t>
            </w:r>
            <w:r>
              <w:rPr>
                <w:rFonts w:hint="default" w:ascii="Times New Roman" w:hAnsi="Times New Roman" w:eastAsia="宋体" w:cs="Times New Roman"/>
                <w:b w:val="0"/>
                <w:bCs w:val="0"/>
                <w:color w:val="000000"/>
                <w:kern w:val="0"/>
                <w:sz w:val="24"/>
                <w:szCs w:val="24"/>
                <w:lang w:val="en-US" w:eastAsia="zh-CN" w:bidi="ar"/>
              </w:rPr>
              <w:t>可以有效降低车辆噪声。</w:t>
            </w:r>
          </w:p>
          <w:p w14:paraId="6BA37E7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（2）声环境影响分析</w:t>
            </w:r>
          </w:p>
          <w:p w14:paraId="7DFFABB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参照《环境影响评价技术导则声环境》</w:t>
            </w:r>
            <w:r>
              <w:rPr>
                <w:rFonts w:hint="eastAsia" w:cs="Times New Roman"/>
                <w:lang w:val="en-US" w:eastAsia="zh-CN"/>
              </w:rPr>
              <w:t>（</w:t>
            </w:r>
            <w:r>
              <w:rPr>
                <w:rFonts w:hint="default" w:ascii="Times New Roman" w:hAnsi="Times New Roman" w:cs="Times New Roman"/>
                <w:lang w:val="en-US" w:eastAsia="zh-CN"/>
              </w:rPr>
              <w:t>HJ2.4-2021</w:t>
            </w:r>
            <w:r>
              <w:rPr>
                <w:rFonts w:hint="eastAsia" w:cs="Times New Roman"/>
                <w:lang w:val="en-US" w:eastAsia="zh-CN"/>
              </w:rPr>
              <w:t>）</w:t>
            </w:r>
            <w:r>
              <w:rPr>
                <w:rFonts w:hint="default" w:ascii="Times New Roman" w:hAnsi="Times New Roman" w:cs="Times New Roman"/>
                <w:lang w:val="en-US" w:eastAsia="zh-CN"/>
              </w:rPr>
              <w:t>推荐的公式。选择点源预测模式预测项目声源产生的噪声随距离衰减变化规律。</w:t>
            </w:r>
          </w:p>
          <w:p w14:paraId="63FC807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根据《环境影响评价技术导则声环境》（HJ2.4-2021）推荐的方法，在用倍频带声压级计算噪声传播衰减有困难时，可用A声级计算噪声影响分析如下：</w:t>
            </w:r>
          </w:p>
          <w:p w14:paraId="0E8296E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lang w:val="en-US" w:eastAsia="zh-CN"/>
              </w:rPr>
              <w:t>①</w:t>
            </w:r>
            <w:r>
              <w:rPr>
                <w:rFonts w:hint="default" w:ascii="Times New Roman" w:hAnsi="Times New Roman" w:cs="Times New Roman"/>
                <w:lang w:val="en-US" w:eastAsia="zh-CN"/>
              </w:rPr>
              <w:t>设备全部开动时的噪声源强计算公式如下：</w:t>
            </w:r>
          </w:p>
          <w:p w14:paraId="1E3F6AD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anchor distT="0" distB="0" distL="114300" distR="114300" simplePos="0" relativeHeight="251660288" behindDoc="0" locked="0" layoutInCell="1" allowOverlap="1">
                  <wp:simplePos x="0" y="0"/>
                  <wp:positionH relativeFrom="column">
                    <wp:posOffset>1517015</wp:posOffset>
                  </wp:positionH>
                  <wp:positionV relativeFrom="paragraph">
                    <wp:posOffset>174625</wp:posOffset>
                  </wp:positionV>
                  <wp:extent cx="1914525" cy="542925"/>
                  <wp:effectExtent l="0" t="0" r="9525" b="9525"/>
                  <wp:wrapTopAndBottom/>
                  <wp:docPr id="4" name="图片 2" descr="170558600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1705586006645"/>
                          <pic:cNvPicPr>
                            <a:picLocks noChangeAspect="1"/>
                          </pic:cNvPicPr>
                        </pic:nvPicPr>
                        <pic:blipFill>
                          <a:blip r:embed="rId19"/>
                          <a:stretch>
                            <a:fillRect/>
                          </a:stretch>
                        </pic:blipFill>
                        <pic:spPr>
                          <a:xfrm>
                            <a:off x="0" y="0"/>
                            <a:ext cx="1914525" cy="542925"/>
                          </a:xfrm>
                          <a:prstGeom prst="rect">
                            <a:avLst/>
                          </a:prstGeom>
                          <a:noFill/>
                          <a:ln>
                            <a:noFill/>
                          </a:ln>
                        </pic:spPr>
                      </pic:pic>
                    </a:graphicData>
                  </a:graphic>
                </wp:anchor>
              </w:drawing>
            </w:r>
            <w:r>
              <w:rPr>
                <w:rFonts w:hint="default" w:ascii="Times New Roman" w:hAnsi="Times New Roman" w:cs="Times New Roman"/>
                <w:lang w:val="en-US" w:eastAsia="zh-CN"/>
              </w:rPr>
              <w:t>式中：L—总声压级，dB(A)；</w:t>
            </w:r>
          </w:p>
          <w:p w14:paraId="5A3FAC4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Li—第i个噪声源的声压级，dB(A)；</w:t>
            </w:r>
          </w:p>
          <w:p w14:paraId="61DAC6D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n—噪声源数。</w:t>
            </w:r>
          </w:p>
          <w:p w14:paraId="511422B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根据主要噪声源治理后的噪声级，按上式计算屠宰场噪声总声级为：65.83dB（A）。</w:t>
            </w:r>
          </w:p>
          <w:p w14:paraId="0000C670">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kern w:val="0"/>
                <w:sz w:val="24"/>
                <w:szCs w:val="24"/>
                <w:lang w:val="en-US" w:eastAsia="zh-CN" w:bidi="ar-SA"/>
              </w:rPr>
              <w:t>②</w:t>
            </w:r>
            <w:r>
              <w:rPr>
                <w:rFonts w:hint="default" w:ascii="Times New Roman" w:hAnsi="Times New Roman" w:cs="Times New Roman"/>
                <w:sz w:val="24"/>
                <w:szCs w:val="24"/>
                <w:lang w:val="en-US" w:eastAsia="zh-CN"/>
              </w:rPr>
              <w:t>将建设项目主要噪声源进行能量迭加后的合成总声级值视为一个混合点噪声源，并以半球形向外辐射传播，在只考虑声源的距离衰减时，采用以下公式预测工程噪声对厂界的噪声影响。</w:t>
            </w:r>
          </w:p>
          <w:p w14:paraId="775D651B">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kern w:val="0"/>
                <w:sz w:val="24"/>
                <w:szCs w:val="24"/>
                <w:lang w:val="en-US" w:eastAsia="zh-CN" w:bidi="ar-SA"/>
              </w:rPr>
              <w:t>③</w:t>
            </w:r>
            <w:r>
              <w:rPr>
                <w:rFonts w:hint="default" w:ascii="Times New Roman" w:hAnsi="Times New Roman" w:cs="Times New Roman"/>
                <w:sz w:val="24"/>
                <w:szCs w:val="24"/>
                <w:lang w:val="en-US" w:eastAsia="zh-CN"/>
              </w:rPr>
              <w:t>噪声衰减公式：</w:t>
            </w:r>
          </w:p>
          <w:p w14:paraId="0048D5E5">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position w:val="-28"/>
                <w:sz w:val="24"/>
                <w:szCs w:val="24"/>
                <w:lang w:val="en-US" w:eastAsia="zh-CN"/>
              </w:rPr>
              <w:object>
                <v:shape id="_x0000_i1025" o:spt="75" type="#_x0000_t75" style="height:34pt;width:128pt;" o:ole="t" filled="f" o:preferrelative="t" stroked="f" coordsize="21600,21600">
                  <v:path/>
                  <v:fill on="f" focussize="0,0"/>
                  <v:stroke on="f"/>
                  <v:imagedata r:id="rId21" o:title=""/>
                  <o:lock v:ext="edit" aspectratio="t"/>
                  <w10:wrap type="none"/>
                  <w10:anchorlock/>
                </v:shape>
                <o:OLEObject Type="Embed" ProgID="Equation.KSEE3" ShapeID="_x0000_i1025" DrawAspect="Content" ObjectID="_1468075725" r:id="rId20">
                  <o:LockedField>false</o:LockedField>
                </o:OLEObject>
              </w:object>
            </w:r>
          </w:p>
          <w:p w14:paraId="6AEB91A4">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式中：L</w:t>
            </w:r>
            <w:r>
              <w:rPr>
                <w:rFonts w:hint="default" w:ascii="Times New Roman" w:hAnsi="Times New Roman" w:cs="Times New Roman"/>
                <w:sz w:val="24"/>
                <w:szCs w:val="24"/>
                <w:vertAlign w:val="subscript"/>
                <w:lang w:val="en-US" w:eastAsia="zh-CN"/>
              </w:rPr>
              <w:t>oct</w:t>
            </w:r>
            <w:r>
              <w:rPr>
                <w:rFonts w:hint="default" w:ascii="Times New Roman" w:hAnsi="Times New Roman" w:cs="Times New Roman"/>
                <w:sz w:val="24"/>
                <w:szCs w:val="24"/>
                <w:lang w:val="en-US" w:eastAsia="zh-CN"/>
              </w:rPr>
              <w:t>（r）——点（线）声源在预测点产生的声压级，dB（A）；</w:t>
            </w:r>
          </w:p>
          <w:p w14:paraId="31019280">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      L</w:t>
            </w:r>
            <w:r>
              <w:rPr>
                <w:rFonts w:hint="default" w:ascii="Times New Roman" w:hAnsi="Times New Roman" w:cs="Times New Roman"/>
                <w:sz w:val="24"/>
                <w:szCs w:val="24"/>
                <w:vertAlign w:val="subscript"/>
                <w:lang w:val="en-US" w:eastAsia="zh-CN"/>
              </w:rPr>
              <w:t>oct</w:t>
            </w:r>
            <w:r>
              <w:rPr>
                <w:rFonts w:hint="default" w:ascii="Times New Roman" w:hAnsi="Times New Roman" w:cs="Times New Roman"/>
                <w:sz w:val="24"/>
                <w:szCs w:val="24"/>
                <w:lang w:val="en-US" w:eastAsia="zh-CN"/>
              </w:rPr>
              <w:t>（r0）——参考位置r</w:t>
            </w:r>
            <w:r>
              <w:rPr>
                <w:rFonts w:hint="default" w:ascii="Times New Roman" w:hAnsi="Times New Roman" w:cs="Times New Roman"/>
                <w:sz w:val="24"/>
                <w:szCs w:val="24"/>
                <w:vertAlign w:val="subscript"/>
                <w:lang w:val="en-US" w:eastAsia="zh-CN"/>
              </w:rPr>
              <w:t>0</w:t>
            </w:r>
            <w:r>
              <w:rPr>
                <w:rFonts w:hint="default" w:ascii="Times New Roman" w:hAnsi="Times New Roman" w:cs="Times New Roman"/>
                <w:sz w:val="24"/>
                <w:szCs w:val="24"/>
                <w:lang w:val="en-US" w:eastAsia="zh-CN"/>
              </w:rPr>
              <w:t>处的声压级，</w:t>
            </w:r>
          </w:p>
          <w:p w14:paraId="4D754BCA">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36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cs="Times New Roman"/>
                <w:lang w:val="en-US" w:eastAsia="zh-CN"/>
              </w:rPr>
              <w:t xml:space="preserve">        </w:t>
            </w:r>
            <w:r>
              <w:rPr>
                <w:rFonts w:hint="default" w:ascii="Times New Roman" w:hAnsi="Times New Roman" w:eastAsia="宋体" w:cs="Times New Roman"/>
                <w:lang w:val="en-US" w:eastAsia="zh-CN"/>
              </w:rPr>
              <w:t xml:space="preserve"> </w:t>
            </w:r>
            <w:r>
              <w:rPr>
                <w:rFonts w:hint="default" w:ascii="Times New Roman" w:hAnsi="Times New Roman" w:eastAsia="宋体" w:cs="Times New Roman"/>
                <w:sz w:val="24"/>
                <w:szCs w:val="24"/>
                <w:lang w:val="en-US" w:eastAsia="zh-CN"/>
              </w:rPr>
              <w:t>r——预测点距声源距离，m</w:t>
            </w:r>
          </w:p>
          <w:p w14:paraId="77AAF513">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36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cs="Times New Roman"/>
                <w:lang w:val="en-US" w:eastAsia="zh-CN"/>
              </w:rPr>
              <w:t xml:space="preserve">         </w:t>
            </w:r>
            <w:r>
              <w:rPr>
                <w:rFonts w:hint="default" w:ascii="Times New Roman" w:hAnsi="Times New Roman" w:cs="Times New Roman"/>
                <w:sz w:val="24"/>
                <w:szCs w:val="24"/>
                <w:lang w:val="en-US" w:eastAsia="zh-CN"/>
              </w:rPr>
              <w:t>r</w:t>
            </w:r>
            <w:r>
              <w:rPr>
                <w:rFonts w:hint="default" w:ascii="Times New Roman" w:hAnsi="Times New Roman" w:cs="Times New Roman"/>
                <w:sz w:val="24"/>
                <w:szCs w:val="24"/>
                <w:vertAlign w:val="subscript"/>
                <w:lang w:val="en-US" w:eastAsia="zh-CN"/>
              </w:rPr>
              <w:t>0</w:t>
            </w:r>
            <w:r>
              <w:rPr>
                <w:rFonts w:hint="default" w:ascii="Times New Roman" w:hAnsi="Times New Roman" w:eastAsia="宋体" w:cs="Times New Roman"/>
                <w:sz w:val="24"/>
                <w:szCs w:val="24"/>
                <w:lang w:val="en-US" w:eastAsia="zh-CN"/>
              </w:rPr>
              <w:t>——参考位置距声源的距离，m</w:t>
            </w:r>
          </w:p>
          <w:p w14:paraId="71AF563D">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right="0" w:righ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根据拟建项目厂区布局图和主要噪声来源距离估算，并采用上述点源距离衰减模式，求出该工程主要噪声源对厂界的噪声贡献值，根据</w:t>
            </w:r>
            <w:r>
              <w:rPr>
                <w:rFonts w:hint="default" w:ascii="Times New Roman" w:hAnsi="Times New Roman" w:eastAsia="宋体" w:cs="Times New Roman"/>
                <w:sz w:val="24"/>
                <w:szCs w:val="24"/>
                <w:lang w:val="en-US" w:eastAsia="zh-CN"/>
              </w:rPr>
              <w:t>《环境影响评价技术导则 声环境》的要求，新建项目边界噪声评价量以工程噪声贡献值作为评价量。</w:t>
            </w:r>
            <w:r>
              <w:rPr>
                <w:rFonts w:hint="default" w:ascii="Times New Roman" w:hAnsi="Times New Roman" w:cs="Times New Roman"/>
                <w:sz w:val="24"/>
                <w:szCs w:val="24"/>
                <w:lang w:val="en-US" w:eastAsia="zh-CN"/>
              </w:rPr>
              <w:t>各厂界噪声贡献值预测结果见下表4-1</w:t>
            </w:r>
            <w:r>
              <w:rPr>
                <w:rFonts w:hint="eastAsia" w:cs="Times New Roman"/>
                <w:sz w:val="24"/>
                <w:szCs w:val="24"/>
                <w:lang w:val="en-US" w:eastAsia="zh-CN"/>
              </w:rPr>
              <w:t>5</w:t>
            </w:r>
            <w:r>
              <w:rPr>
                <w:rFonts w:hint="default" w:ascii="Times New Roman" w:hAnsi="Times New Roman" w:cs="Times New Roman"/>
                <w:sz w:val="24"/>
                <w:szCs w:val="24"/>
                <w:lang w:val="en-US" w:eastAsia="zh-CN"/>
              </w:rPr>
              <w:t>。</w:t>
            </w:r>
          </w:p>
          <w:p w14:paraId="210FA1F7">
            <w:pPr>
              <w:pStyle w:val="7"/>
              <w:pageBreakBefore w:val="0"/>
              <w:wordWrap/>
              <w:overflowPunct/>
              <w:bidi w:val="0"/>
              <w:spacing w:beforeLines="0" w:beforeAutospacing="0" w:afterLines="0" w:afterAutospacing="0" w:line="360" w:lineRule="auto"/>
              <w:ind w:left="0" w:leftChars="0" w:right="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表4-</w:t>
            </w:r>
            <w:r>
              <w:rPr>
                <w:rFonts w:hint="default" w:ascii="Times New Roman" w:hAnsi="Times New Roman" w:eastAsia="宋体" w:cs="Times New Roman"/>
                <w:sz w:val="21"/>
                <w:szCs w:val="21"/>
                <w:lang w:val="en-US" w:eastAsia="zh-CN"/>
              </w:rPr>
              <w:t>1</w:t>
            </w:r>
            <w:r>
              <w:rPr>
                <w:rFonts w:hint="eastAsia" w:cs="Times New Roman"/>
                <w:sz w:val="21"/>
                <w:szCs w:val="21"/>
                <w:lang w:val="en-US" w:eastAsia="zh-CN"/>
              </w:rPr>
              <w:t xml:space="preserve">5 </w:t>
            </w:r>
            <w:r>
              <w:rPr>
                <w:rFonts w:hint="default" w:ascii="Times New Roman" w:hAnsi="Times New Roman" w:eastAsia="宋体" w:cs="Times New Roman"/>
                <w:sz w:val="21"/>
                <w:szCs w:val="21"/>
              </w:rPr>
              <w:t>厂界噪声预测结果与达标分析表</w:t>
            </w:r>
            <w:r>
              <w:rPr>
                <w:rFonts w:hint="default" w:ascii="Times New Roman" w:hAnsi="Times New Roman" w:eastAsia="宋体" w:cs="Times New Roman"/>
                <w:sz w:val="21"/>
                <w:szCs w:val="21"/>
                <w:lang w:val="en-US" w:eastAsia="zh-CN"/>
              </w:rPr>
              <w:t xml:space="preserve">   单位：dB(A) </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929"/>
              <w:gridCol w:w="930"/>
              <w:gridCol w:w="679"/>
              <w:gridCol w:w="714"/>
              <w:gridCol w:w="1319"/>
              <w:gridCol w:w="1608"/>
              <w:gridCol w:w="752"/>
            </w:tblGrid>
            <w:tr w14:paraId="62D5C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exact"/>
                <w:jc w:val="center"/>
              </w:trPr>
              <w:tc>
                <w:tcPr>
                  <w:tcW w:w="0" w:type="auto"/>
                  <w:vMerge w:val="restart"/>
                  <w:vAlign w:val="center"/>
                </w:tcPr>
                <w:p w14:paraId="00AA56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ascii="Times New Roman" w:hAnsi="Times New Roman" w:cs="Times New Roman" w:eastAsiaTheme="minorEastAsia"/>
                      <w:b w:val="0"/>
                      <w:bCs/>
                      <w:sz w:val="21"/>
                      <w:szCs w:val="21"/>
                    </w:rPr>
                    <w:t>预测方位</w:t>
                  </w:r>
                </w:p>
              </w:tc>
              <w:tc>
                <w:tcPr>
                  <w:tcW w:w="0" w:type="auto"/>
                  <w:gridSpan w:val="3"/>
                  <w:vAlign w:val="center"/>
                </w:tcPr>
                <w:p w14:paraId="53C753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hint="eastAsia" w:ascii="Times New Roman" w:hAnsi="Times New Roman" w:cs="Times New Roman" w:eastAsiaTheme="minorEastAsia"/>
                      <w:b w:val="0"/>
                      <w:bCs/>
                      <w:sz w:val="21"/>
                      <w:szCs w:val="21"/>
                      <w:lang w:val="en-US" w:eastAsia="zh-CN"/>
                    </w:rPr>
                    <w:t>最大值点</w:t>
                  </w:r>
                  <w:r>
                    <w:rPr>
                      <w:rFonts w:ascii="Times New Roman" w:hAnsi="Times New Roman" w:cs="Times New Roman" w:eastAsiaTheme="minorEastAsia"/>
                      <w:b w:val="0"/>
                      <w:bCs/>
                      <w:sz w:val="21"/>
                      <w:szCs w:val="21"/>
                    </w:rPr>
                    <w:t>空间相对位置/m</w:t>
                  </w:r>
                </w:p>
              </w:tc>
              <w:tc>
                <w:tcPr>
                  <w:tcW w:w="714" w:type="dxa"/>
                  <w:vMerge w:val="restart"/>
                  <w:vAlign w:val="center"/>
                </w:tcPr>
                <w:p w14:paraId="7AC391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ascii="Times New Roman" w:hAnsi="Times New Roman" w:cs="Times New Roman" w:eastAsiaTheme="minorEastAsia"/>
                      <w:b w:val="0"/>
                      <w:bCs/>
                      <w:sz w:val="21"/>
                      <w:szCs w:val="21"/>
                    </w:rPr>
                    <w:t>时段</w:t>
                  </w:r>
                </w:p>
              </w:tc>
              <w:tc>
                <w:tcPr>
                  <w:tcW w:w="1319" w:type="dxa"/>
                  <w:vMerge w:val="restart"/>
                  <w:vAlign w:val="center"/>
                </w:tcPr>
                <w:p w14:paraId="60B890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hint="eastAsia" w:ascii="Times New Roman" w:hAnsi="Times New Roman" w:cs="Times New Roman" w:eastAsiaTheme="minorEastAsia"/>
                      <w:b w:val="0"/>
                      <w:bCs/>
                      <w:sz w:val="21"/>
                      <w:szCs w:val="21"/>
                    </w:rPr>
                    <w:t>贡献值</w:t>
                  </w:r>
                  <w:r>
                    <w:rPr>
                      <w:rFonts w:ascii="Times New Roman" w:hAnsi="Times New Roman" w:cs="Times New Roman" w:eastAsiaTheme="minorEastAsia"/>
                      <w:b w:val="0"/>
                      <w:bCs/>
                      <w:sz w:val="21"/>
                      <w:szCs w:val="21"/>
                    </w:rPr>
                    <w:t>（dB(A)）</w:t>
                  </w:r>
                </w:p>
              </w:tc>
              <w:tc>
                <w:tcPr>
                  <w:tcW w:w="0" w:type="auto"/>
                  <w:vMerge w:val="restart"/>
                  <w:vAlign w:val="center"/>
                </w:tcPr>
                <w:p w14:paraId="5FE770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ascii="Times New Roman" w:hAnsi="Times New Roman" w:cs="Times New Roman" w:eastAsiaTheme="minorEastAsia"/>
                      <w:b w:val="0"/>
                      <w:bCs/>
                      <w:sz w:val="21"/>
                      <w:szCs w:val="21"/>
                    </w:rPr>
                    <w:t>标准限值（dB(A)）</w:t>
                  </w:r>
                </w:p>
              </w:tc>
              <w:tc>
                <w:tcPr>
                  <w:tcW w:w="0" w:type="auto"/>
                  <w:vMerge w:val="restart"/>
                  <w:vAlign w:val="center"/>
                </w:tcPr>
                <w:p w14:paraId="3B3673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ascii="Times New Roman" w:hAnsi="Times New Roman" w:cs="Times New Roman" w:eastAsiaTheme="minorEastAsia"/>
                      <w:b w:val="0"/>
                      <w:bCs/>
                      <w:sz w:val="21"/>
                      <w:szCs w:val="21"/>
                    </w:rPr>
                    <w:t>达标情况</w:t>
                  </w:r>
                </w:p>
              </w:tc>
            </w:tr>
            <w:tr w14:paraId="372FA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0" w:type="auto"/>
                  <w:vMerge w:val="continue"/>
                  <w:shd w:val="clear" w:color="auto" w:fill="FFFFFF"/>
                  <w:vAlign w:val="center"/>
                </w:tcPr>
                <w:p w14:paraId="6D0520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p>
              </w:tc>
              <w:tc>
                <w:tcPr>
                  <w:tcW w:w="0" w:type="auto"/>
                  <w:shd w:val="clear" w:color="auto" w:fill="FFFFFF"/>
                  <w:vAlign w:val="center"/>
                </w:tcPr>
                <w:p w14:paraId="43FCAE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ascii="Times New Roman" w:hAnsi="Times New Roman" w:cs="Times New Roman" w:eastAsiaTheme="minorEastAsia"/>
                      <w:b w:val="0"/>
                      <w:bCs/>
                      <w:sz w:val="21"/>
                      <w:szCs w:val="21"/>
                    </w:rPr>
                    <w:t>X</w:t>
                  </w:r>
                </w:p>
              </w:tc>
              <w:tc>
                <w:tcPr>
                  <w:tcW w:w="0" w:type="auto"/>
                  <w:shd w:val="clear" w:color="auto" w:fill="FFFFFF"/>
                  <w:vAlign w:val="center"/>
                </w:tcPr>
                <w:p w14:paraId="2F0C89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ascii="Times New Roman" w:hAnsi="Times New Roman" w:cs="Times New Roman" w:eastAsiaTheme="minorEastAsia"/>
                      <w:b w:val="0"/>
                      <w:bCs/>
                      <w:sz w:val="21"/>
                      <w:szCs w:val="21"/>
                    </w:rPr>
                    <w:t>Y</w:t>
                  </w:r>
                </w:p>
              </w:tc>
              <w:tc>
                <w:tcPr>
                  <w:tcW w:w="0" w:type="auto"/>
                  <w:shd w:val="clear" w:color="auto" w:fill="FFFFFF"/>
                  <w:vAlign w:val="center"/>
                </w:tcPr>
                <w:p w14:paraId="01C951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r>
                    <w:rPr>
                      <w:rFonts w:ascii="Times New Roman" w:hAnsi="Times New Roman" w:cs="Times New Roman" w:eastAsiaTheme="minorEastAsia"/>
                      <w:b w:val="0"/>
                      <w:bCs/>
                      <w:sz w:val="21"/>
                      <w:szCs w:val="21"/>
                    </w:rPr>
                    <w:t>Z</w:t>
                  </w:r>
                </w:p>
              </w:tc>
              <w:tc>
                <w:tcPr>
                  <w:tcW w:w="714" w:type="dxa"/>
                  <w:vMerge w:val="continue"/>
                  <w:shd w:val="clear" w:color="auto" w:fill="FFFFFF"/>
                  <w:vAlign w:val="center"/>
                </w:tcPr>
                <w:p w14:paraId="7F849B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p>
              </w:tc>
              <w:tc>
                <w:tcPr>
                  <w:tcW w:w="1319" w:type="dxa"/>
                  <w:vMerge w:val="continue"/>
                  <w:shd w:val="clear" w:color="auto" w:fill="FFFFFF"/>
                  <w:vAlign w:val="center"/>
                </w:tcPr>
                <w:p w14:paraId="64328A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p>
              </w:tc>
              <w:tc>
                <w:tcPr>
                  <w:tcW w:w="0" w:type="auto"/>
                  <w:vMerge w:val="continue"/>
                  <w:shd w:val="clear" w:color="auto" w:fill="FFFFFF"/>
                  <w:vAlign w:val="center"/>
                </w:tcPr>
                <w:p w14:paraId="19B055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p>
              </w:tc>
              <w:tc>
                <w:tcPr>
                  <w:tcW w:w="0" w:type="auto"/>
                  <w:vMerge w:val="continue"/>
                  <w:shd w:val="clear" w:color="auto" w:fill="FFFFFF"/>
                  <w:vAlign w:val="center"/>
                </w:tcPr>
                <w:p w14:paraId="071787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eastAsiaTheme="minorEastAsia"/>
                      <w:b w:val="0"/>
                      <w:bCs/>
                      <w:sz w:val="21"/>
                      <w:szCs w:val="21"/>
                    </w:rPr>
                  </w:pPr>
                </w:p>
              </w:tc>
            </w:tr>
            <w:tr w14:paraId="4F9E6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PrEx>
              <w:trPr>
                <w:trHeight w:val="408" w:hRule="exact"/>
                <w:jc w:val="center"/>
              </w:trPr>
              <w:tc>
                <w:tcPr>
                  <w:tcW w:w="0" w:type="auto"/>
                  <w:vMerge w:val="restart"/>
                  <w:shd w:val="clear" w:color="auto" w:fill="FFFFFF"/>
                  <w:vAlign w:val="center"/>
                </w:tcPr>
                <w:p w14:paraId="041BA7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东侧</w:t>
                  </w:r>
                </w:p>
              </w:tc>
              <w:tc>
                <w:tcPr>
                  <w:tcW w:w="0" w:type="auto"/>
                  <w:shd w:val="clear" w:color="auto" w:fill="FFFFFF"/>
                  <w:vAlign w:val="center"/>
                </w:tcPr>
                <w:p w14:paraId="5C66C3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28</w:t>
                  </w:r>
                </w:p>
              </w:tc>
              <w:tc>
                <w:tcPr>
                  <w:tcW w:w="0" w:type="auto"/>
                  <w:shd w:val="clear" w:color="auto" w:fill="FFFFFF"/>
                  <w:vAlign w:val="center"/>
                </w:tcPr>
                <w:p w14:paraId="08C260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10.9</w:t>
                  </w:r>
                </w:p>
              </w:tc>
              <w:tc>
                <w:tcPr>
                  <w:tcW w:w="0" w:type="auto"/>
                  <w:shd w:val="clear" w:color="auto" w:fill="FFFFFF"/>
                  <w:vAlign w:val="center"/>
                </w:tcPr>
                <w:p w14:paraId="36F61F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2CA2F4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昼间</w:t>
                  </w:r>
                </w:p>
              </w:tc>
              <w:tc>
                <w:tcPr>
                  <w:tcW w:w="1319" w:type="dxa"/>
                  <w:shd w:val="clear" w:color="auto" w:fill="FFFFFF"/>
                  <w:vAlign w:val="center"/>
                </w:tcPr>
                <w:p w14:paraId="53BC19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21.5</w:t>
                  </w:r>
                </w:p>
              </w:tc>
              <w:tc>
                <w:tcPr>
                  <w:tcW w:w="0" w:type="auto"/>
                  <w:shd w:val="clear" w:color="auto" w:fill="FFFFFF"/>
                  <w:vAlign w:val="center"/>
                </w:tcPr>
                <w:p w14:paraId="4B0C6F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60</w:t>
                  </w:r>
                </w:p>
              </w:tc>
              <w:tc>
                <w:tcPr>
                  <w:tcW w:w="0" w:type="auto"/>
                  <w:shd w:val="clear" w:color="auto" w:fill="FFFFFF"/>
                  <w:vAlign w:val="center"/>
                </w:tcPr>
                <w:p w14:paraId="702B46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28AB7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0" w:type="auto"/>
                  <w:vMerge w:val="continue"/>
                  <w:shd w:val="clear" w:color="auto" w:fill="FFFFFF"/>
                  <w:vAlign w:val="center"/>
                </w:tcPr>
                <w:p w14:paraId="17B921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p>
              </w:tc>
              <w:tc>
                <w:tcPr>
                  <w:tcW w:w="0" w:type="auto"/>
                  <w:shd w:val="clear" w:color="auto" w:fill="FFFFFF"/>
                  <w:vAlign w:val="center"/>
                </w:tcPr>
                <w:p w14:paraId="1AC22E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28</w:t>
                  </w:r>
                </w:p>
              </w:tc>
              <w:tc>
                <w:tcPr>
                  <w:tcW w:w="0" w:type="auto"/>
                  <w:shd w:val="clear" w:color="auto" w:fill="FFFFFF"/>
                  <w:vAlign w:val="center"/>
                </w:tcPr>
                <w:p w14:paraId="0E2788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10.9</w:t>
                  </w:r>
                </w:p>
              </w:tc>
              <w:tc>
                <w:tcPr>
                  <w:tcW w:w="0" w:type="auto"/>
                  <w:shd w:val="clear" w:color="auto" w:fill="FFFFFF"/>
                  <w:vAlign w:val="center"/>
                </w:tcPr>
                <w:p w14:paraId="7D94E5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301CF6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夜间</w:t>
                  </w:r>
                </w:p>
              </w:tc>
              <w:tc>
                <w:tcPr>
                  <w:tcW w:w="1319" w:type="dxa"/>
                  <w:shd w:val="clear" w:color="auto" w:fill="FFFFFF"/>
                  <w:vAlign w:val="center"/>
                </w:tcPr>
                <w:p w14:paraId="039CC8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21.5</w:t>
                  </w:r>
                </w:p>
              </w:tc>
              <w:tc>
                <w:tcPr>
                  <w:tcW w:w="0" w:type="auto"/>
                  <w:shd w:val="clear" w:color="auto" w:fill="FFFFFF"/>
                  <w:vAlign w:val="center"/>
                </w:tcPr>
                <w:p w14:paraId="54EFDD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50</w:t>
                  </w:r>
                </w:p>
              </w:tc>
              <w:tc>
                <w:tcPr>
                  <w:tcW w:w="0" w:type="auto"/>
                  <w:shd w:val="clear" w:color="auto" w:fill="FFFFFF"/>
                  <w:vAlign w:val="center"/>
                </w:tcPr>
                <w:p w14:paraId="395C7D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68E31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0" w:type="auto"/>
                  <w:vMerge w:val="restart"/>
                  <w:shd w:val="clear" w:color="auto" w:fill="FFFFFF"/>
                  <w:vAlign w:val="center"/>
                </w:tcPr>
                <w:p w14:paraId="5407A5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南侧</w:t>
                  </w:r>
                </w:p>
              </w:tc>
              <w:tc>
                <w:tcPr>
                  <w:tcW w:w="0" w:type="auto"/>
                  <w:shd w:val="clear" w:color="auto" w:fill="FFFFFF"/>
                  <w:vAlign w:val="center"/>
                </w:tcPr>
                <w:p w14:paraId="171CBC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-20.1</w:t>
                  </w:r>
                </w:p>
              </w:tc>
              <w:tc>
                <w:tcPr>
                  <w:tcW w:w="0" w:type="auto"/>
                  <w:shd w:val="clear" w:color="auto" w:fill="FFFFFF"/>
                  <w:vAlign w:val="center"/>
                </w:tcPr>
                <w:p w14:paraId="407337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-22.9</w:t>
                  </w:r>
                </w:p>
              </w:tc>
              <w:tc>
                <w:tcPr>
                  <w:tcW w:w="0" w:type="auto"/>
                  <w:shd w:val="clear" w:color="auto" w:fill="FFFFFF"/>
                  <w:vAlign w:val="center"/>
                </w:tcPr>
                <w:p w14:paraId="58C131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4A6D29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昼间</w:t>
                  </w:r>
                </w:p>
              </w:tc>
              <w:tc>
                <w:tcPr>
                  <w:tcW w:w="1319" w:type="dxa"/>
                  <w:shd w:val="clear" w:color="auto" w:fill="FFFFFF"/>
                  <w:vAlign w:val="center"/>
                </w:tcPr>
                <w:p w14:paraId="7BD2FF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34.2</w:t>
                  </w:r>
                </w:p>
              </w:tc>
              <w:tc>
                <w:tcPr>
                  <w:tcW w:w="0" w:type="auto"/>
                  <w:shd w:val="clear" w:color="auto" w:fill="FFFFFF"/>
                  <w:vAlign w:val="center"/>
                </w:tcPr>
                <w:p w14:paraId="3D622C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60</w:t>
                  </w:r>
                </w:p>
              </w:tc>
              <w:tc>
                <w:tcPr>
                  <w:tcW w:w="0" w:type="auto"/>
                  <w:shd w:val="clear" w:color="auto" w:fill="FFFFFF"/>
                  <w:vAlign w:val="center"/>
                </w:tcPr>
                <w:p w14:paraId="39B0A2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214A5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0" w:type="auto"/>
                  <w:vMerge w:val="continue"/>
                  <w:shd w:val="clear" w:color="auto" w:fill="FFFFFF"/>
                  <w:vAlign w:val="center"/>
                </w:tcPr>
                <w:p w14:paraId="64BECD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p>
              </w:tc>
              <w:tc>
                <w:tcPr>
                  <w:tcW w:w="0" w:type="auto"/>
                  <w:shd w:val="clear" w:color="auto" w:fill="FFFFFF"/>
                  <w:vAlign w:val="center"/>
                </w:tcPr>
                <w:p w14:paraId="43E077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-20.1</w:t>
                  </w:r>
                </w:p>
              </w:tc>
              <w:tc>
                <w:tcPr>
                  <w:tcW w:w="0" w:type="auto"/>
                  <w:shd w:val="clear" w:color="auto" w:fill="FFFFFF"/>
                  <w:vAlign w:val="center"/>
                </w:tcPr>
                <w:p w14:paraId="67353E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-22.9</w:t>
                  </w:r>
                </w:p>
              </w:tc>
              <w:tc>
                <w:tcPr>
                  <w:tcW w:w="0" w:type="auto"/>
                  <w:shd w:val="clear" w:color="auto" w:fill="FFFFFF"/>
                  <w:vAlign w:val="center"/>
                </w:tcPr>
                <w:p w14:paraId="74733E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265731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夜间</w:t>
                  </w:r>
                </w:p>
              </w:tc>
              <w:tc>
                <w:tcPr>
                  <w:tcW w:w="1319" w:type="dxa"/>
                  <w:shd w:val="clear" w:color="auto" w:fill="FFFFFF"/>
                  <w:vAlign w:val="center"/>
                </w:tcPr>
                <w:p w14:paraId="737A88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34.2</w:t>
                  </w:r>
                </w:p>
              </w:tc>
              <w:tc>
                <w:tcPr>
                  <w:tcW w:w="0" w:type="auto"/>
                  <w:shd w:val="clear" w:color="auto" w:fill="FFFFFF"/>
                  <w:vAlign w:val="center"/>
                </w:tcPr>
                <w:p w14:paraId="3B9DCB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50</w:t>
                  </w:r>
                </w:p>
              </w:tc>
              <w:tc>
                <w:tcPr>
                  <w:tcW w:w="0" w:type="auto"/>
                  <w:shd w:val="clear" w:color="auto" w:fill="FFFFFF"/>
                  <w:vAlign w:val="center"/>
                </w:tcPr>
                <w:p w14:paraId="7CEC91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5A171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0" w:type="auto"/>
                  <w:vMerge w:val="restart"/>
                  <w:shd w:val="clear" w:color="auto" w:fill="FFFFFF"/>
                  <w:vAlign w:val="center"/>
                </w:tcPr>
                <w:p w14:paraId="1FF104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西侧</w:t>
                  </w:r>
                </w:p>
              </w:tc>
              <w:tc>
                <w:tcPr>
                  <w:tcW w:w="0" w:type="auto"/>
                  <w:shd w:val="clear" w:color="auto" w:fill="FFFFFF"/>
                  <w:vAlign w:val="center"/>
                </w:tcPr>
                <w:p w14:paraId="6F4F39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-44.4</w:t>
                  </w:r>
                </w:p>
              </w:tc>
              <w:tc>
                <w:tcPr>
                  <w:tcW w:w="0" w:type="auto"/>
                  <w:shd w:val="clear" w:color="auto" w:fill="FFFFFF"/>
                  <w:vAlign w:val="center"/>
                </w:tcPr>
                <w:p w14:paraId="60BCE2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-5.1</w:t>
                  </w:r>
                </w:p>
              </w:tc>
              <w:tc>
                <w:tcPr>
                  <w:tcW w:w="0" w:type="auto"/>
                  <w:shd w:val="clear" w:color="auto" w:fill="FFFFFF"/>
                  <w:vAlign w:val="center"/>
                </w:tcPr>
                <w:p w14:paraId="495229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5B94E7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昼间</w:t>
                  </w:r>
                </w:p>
              </w:tc>
              <w:tc>
                <w:tcPr>
                  <w:tcW w:w="1319" w:type="dxa"/>
                  <w:shd w:val="clear" w:color="auto" w:fill="FFFFFF"/>
                  <w:vAlign w:val="center"/>
                </w:tcPr>
                <w:p w14:paraId="1168F1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32</w:t>
                  </w:r>
                </w:p>
              </w:tc>
              <w:tc>
                <w:tcPr>
                  <w:tcW w:w="0" w:type="auto"/>
                  <w:shd w:val="clear" w:color="auto" w:fill="FFFFFF"/>
                  <w:vAlign w:val="center"/>
                </w:tcPr>
                <w:p w14:paraId="2CB0CB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60</w:t>
                  </w:r>
                </w:p>
              </w:tc>
              <w:tc>
                <w:tcPr>
                  <w:tcW w:w="0" w:type="auto"/>
                  <w:shd w:val="clear" w:color="auto" w:fill="FFFFFF"/>
                  <w:vAlign w:val="center"/>
                </w:tcPr>
                <w:p w14:paraId="0CBDA0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4E7F7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0" w:type="auto"/>
                  <w:vMerge w:val="continue"/>
                  <w:shd w:val="clear" w:color="auto" w:fill="FFFFFF"/>
                  <w:vAlign w:val="center"/>
                </w:tcPr>
                <w:p w14:paraId="0796A1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p>
              </w:tc>
              <w:tc>
                <w:tcPr>
                  <w:tcW w:w="0" w:type="auto"/>
                  <w:shd w:val="clear" w:color="auto" w:fill="FFFFFF"/>
                  <w:vAlign w:val="center"/>
                </w:tcPr>
                <w:p w14:paraId="1AC0D4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-44.4</w:t>
                  </w:r>
                </w:p>
              </w:tc>
              <w:tc>
                <w:tcPr>
                  <w:tcW w:w="0" w:type="auto"/>
                  <w:shd w:val="clear" w:color="auto" w:fill="FFFFFF"/>
                  <w:vAlign w:val="center"/>
                </w:tcPr>
                <w:p w14:paraId="26EC8E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-5.1</w:t>
                  </w:r>
                </w:p>
              </w:tc>
              <w:tc>
                <w:tcPr>
                  <w:tcW w:w="0" w:type="auto"/>
                  <w:shd w:val="clear" w:color="auto" w:fill="FFFFFF"/>
                  <w:vAlign w:val="center"/>
                </w:tcPr>
                <w:p w14:paraId="52EC9F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592EA0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夜间</w:t>
                  </w:r>
                </w:p>
              </w:tc>
              <w:tc>
                <w:tcPr>
                  <w:tcW w:w="1319" w:type="dxa"/>
                  <w:shd w:val="clear" w:color="auto" w:fill="FFFFFF"/>
                  <w:vAlign w:val="center"/>
                </w:tcPr>
                <w:p w14:paraId="0B964A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32</w:t>
                  </w:r>
                </w:p>
              </w:tc>
              <w:tc>
                <w:tcPr>
                  <w:tcW w:w="0" w:type="auto"/>
                  <w:shd w:val="clear" w:color="auto" w:fill="FFFFFF"/>
                  <w:vAlign w:val="center"/>
                </w:tcPr>
                <w:p w14:paraId="333E7A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50</w:t>
                  </w:r>
                </w:p>
              </w:tc>
              <w:tc>
                <w:tcPr>
                  <w:tcW w:w="0" w:type="auto"/>
                  <w:shd w:val="clear" w:color="auto" w:fill="FFFFFF"/>
                  <w:vAlign w:val="center"/>
                </w:tcPr>
                <w:p w14:paraId="4D22DD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58195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0" w:type="auto"/>
                  <w:vMerge w:val="restart"/>
                  <w:shd w:val="clear" w:color="auto" w:fill="FFFFFF"/>
                  <w:vAlign w:val="center"/>
                </w:tcPr>
                <w:p w14:paraId="01F4F8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北侧</w:t>
                  </w:r>
                </w:p>
              </w:tc>
              <w:tc>
                <w:tcPr>
                  <w:tcW w:w="0" w:type="auto"/>
                  <w:shd w:val="clear" w:color="auto" w:fill="FFFFFF"/>
                  <w:vAlign w:val="center"/>
                </w:tcPr>
                <w:p w14:paraId="443619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-34.4</w:t>
                  </w:r>
                </w:p>
              </w:tc>
              <w:tc>
                <w:tcPr>
                  <w:tcW w:w="0" w:type="auto"/>
                  <w:shd w:val="clear" w:color="auto" w:fill="FFFFFF"/>
                  <w:vAlign w:val="center"/>
                </w:tcPr>
                <w:p w14:paraId="64293A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16.5</w:t>
                  </w:r>
                </w:p>
              </w:tc>
              <w:tc>
                <w:tcPr>
                  <w:tcW w:w="0" w:type="auto"/>
                  <w:shd w:val="clear" w:color="auto" w:fill="FFFFFF"/>
                  <w:vAlign w:val="center"/>
                </w:tcPr>
                <w:p w14:paraId="75CBCD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176093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昼间</w:t>
                  </w:r>
                </w:p>
              </w:tc>
              <w:tc>
                <w:tcPr>
                  <w:tcW w:w="1319" w:type="dxa"/>
                  <w:shd w:val="clear" w:color="auto" w:fill="FFFFFF"/>
                  <w:vAlign w:val="center"/>
                </w:tcPr>
                <w:p w14:paraId="490CFE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25.2</w:t>
                  </w:r>
                </w:p>
              </w:tc>
              <w:tc>
                <w:tcPr>
                  <w:tcW w:w="0" w:type="auto"/>
                  <w:shd w:val="clear" w:color="auto" w:fill="FFFFFF"/>
                  <w:vAlign w:val="center"/>
                </w:tcPr>
                <w:p w14:paraId="7AC53B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60</w:t>
                  </w:r>
                </w:p>
              </w:tc>
              <w:tc>
                <w:tcPr>
                  <w:tcW w:w="0" w:type="auto"/>
                  <w:shd w:val="clear" w:color="auto" w:fill="FFFFFF"/>
                  <w:vAlign w:val="center"/>
                </w:tcPr>
                <w:p w14:paraId="195F4C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3D815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0" w:type="auto"/>
                  <w:vMerge w:val="continue"/>
                  <w:shd w:val="clear" w:color="auto" w:fill="FFFFFF"/>
                  <w:vAlign w:val="center"/>
                </w:tcPr>
                <w:p w14:paraId="4E0D63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p>
              </w:tc>
              <w:tc>
                <w:tcPr>
                  <w:tcW w:w="0" w:type="auto"/>
                  <w:shd w:val="clear" w:color="auto" w:fill="FFFFFF"/>
                  <w:vAlign w:val="center"/>
                </w:tcPr>
                <w:p w14:paraId="314BEB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-34.4</w:t>
                  </w:r>
                </w:p>
              </w:tc>
              <w:tc>
                <w:tcPr>
                  <w:tcW w:w="0" w:type="auto"/>
                  <w:shd w:val="clear" w:color="auto" w:fill="FFFFFF"/>
                  <w:vAlign w:val="center"/>
                </w:tcPr>
                <w:p w14:paraId="06733B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16.5</w:t>
                  </w:r>
                </w:p>
              </w:tc>
              <w:tc>
                <w:tcPr>
                  <w:tcW w:w="0" w:type="auto"/>
                  <w:shd w:val="clear" w:color="auto" w:fill="FFFFFF"/>
                  <w:vAlign w:val="center"/>
                </w:tcPr>
                <w:p w14:paraId="362366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w:t>
                  </w:r>
                </w:p>
              </w:tc>
              <w:tc>
                <w:tcPr>
                  <w:tcW w:w="714" w:type="dxa"/>
                  <w:shd w:val="clear" w:color="auto" w:fill="FFFFFF"/>
                  <w:vAlign w:val="center"/>
                </w:tcPr>
                <w:p w14:paraId="7DEBFA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夜间</w:t>
                  </w:r>
                </w:p>
              </w:tc>
              <w:tc>
                <w:tcPr>
                  <w:tcW w:w="1319" w:type="dxa"/>
                  <w:shd w:val="clear" w:color="auto" w:fill="FFFFFF"/>
                  <w:vAlign w:val="center"/>
                </w:tcPr>
                <w:p w14:paraId="5242E3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25.2</w:t>
                  </w:r>
                </w:p>
              </w:tc>
              <w:tc>
                <w:tcPr>
                  <w:tcW w:w="0" w:type="auto"/>
                  <w:shd w:val="clear" w:color="auto" w:fill="FFFFFF"/>
                  <w:vAlign w:val="center"/>
                </w:tcPr>
                <w:p w14:paraId="0ADDE7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50</w:t>
                  </w:r>
                </w:p>
              </w:tc>
              <w:tc>
                <w:tcPr>
                  <w:tcW w:w="0" w:type="auto"/>
                  <w:shd w:val="clear" w:color="auto" w:fill="FFFFFF"/>
                  <w:vAlign w:val="center"/>
                </w:tcPr>
                <w:p w14:paraId="725F79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sz w:val="21"/>
                      <w:szCs w:val="21"/>
                    </w:rPr>
                  </w:pPr>
                  <w:r>
                    <w:rPr>
                      <w:rFonts w:ascii="Arial" w:hAnsi="Arial" w:eastAsia="Arial" w:cs="Arial"/>
                      <w:b w:val="0"/>
                      <w:bCs/>
                      <w:sz w:val="21"/>
                      <w:szCs w:val="21"/>
                    </w:rPr>
                    <w:t>达标</w:t>
                  </w:r>
                </w:p>
              </w:tc>
            </w:tr>
            <w:tr w14:paraId="48AE5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26" w:hRule="atLeast"/>
                <w:jc w:val="center"/>
              </w:trPr>
              <w:tc>
                <w:tcPr>
                  <w:tcW w:w="0" w:type="auto"/>
                  <w:vMerge w:val="restart"/>
                  <w:shd w:val="clear" w:color="auto" w:fill="FFFFFF"/>
                  <w:vAlign w:val="center"/>
                </w:tcPr>
                <w:p w14:paraId="773F94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val="0"/>
                      <w:bCs/>
                      <w:sz w:val="21"/>
                      <w:szCs w:val="21"/>
                      <w:lang w:val="en-US" w:eastAsia="zh-CN"/>
                    </w:rPr>
                  </w:pPr>
                  <w:r>
                    <w:rPr>
                      <w:rFonts w:hint="eastAsia"/>
                      <w:b w:val="0"/>
                      <w:bCs/>
                      <w:sz w:val="21"/>
                      <w:szCs w:val="21"/>
                      <w:lang w:val="en-US" w:eastAsia="zh-CN"/>
                    </w:rPr>
                    <w:t>西北侧37m居民点</w:t>
                  </w:r>
                </w:p>
              </w:tc>
              <w:tc>
                <w:tcPr>
                  <w:tcW w:w="816" w:type="dxa"/>
                  <w:shd w:val="clear" w:color="auto" w:fill="FFFFFF"/>
                  <w:vAlign w:val="center"/>
                </w:tcPr>
                <w:p w14:paraId="76E273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-51.8</w:t>
                  </w:r>
                </w:p>
              </w:tc>
              <w:tc>
                <w:tcPr>
                  <w:tcW w:w="817" w:type="dxa"/>
                  <w:shd w:val="clear" w:color="auto" w:fill="FFFFFF"/>
                  <w:vAlign w:val="center"/>
                </w:tcPr>
                <w:p w14:paraId="5CE686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60.1</w:t>
                  </w:r>
                </w:p>
              </w:tc>
              <w:tc>
                <w:tcPr>
                  <w:tcW w:w="597" w:type="dxa"/>
                  <w:shd w:val="clear" w:color="auto" w:fill="FFFFFF"/>
                  <w:vAlign w:val="center"/>
                </w:tcPr>
                <w:p w14:paraId="577F04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1.2</w:t>
                  </w:r>
                </w:p>
              </w:tc>
              <w:tc>
                <w:tcPr>
                  <w:tcW w:w="714" w:type="dxa"/>
                  <w:shd w:val="clear" w:color="auto" w:fill="FFFFFF"/>
                  <w:vAlign w:val="center"/>
                </w:tcPr>
                <w:p w14:paraId="1F5C44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昼间</w:t>
                  </w:r>
                </w:p>
              </w:tc>
              <w:tc>
                <w:tcPr>
                  <w:tcW w:w="1319" w:type="dxa"/>
                  <w:shd w:val="clear" w:color="auto" w:fill="FFFFFF"/>
                  <w:vAlign w:val="center"/>
                </w:tcPr>
                <w:p w14:paraId="628C6C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51.0</w:t>
                  </w:r>
                </w:p>
              </w:tc>
              <w:tc>
                <w:tcPr>
                  <w:tcW w:w="1608" w:type="dxa"/>
                  <w:shd w:val="clear" w:color="auto" w:fill="FFFFFF"/>
                  <w:vAlign w:val="center"/>
                </w:tcPr>
                <w:p w14:paraId="5D5D61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60</w:t>
                  </w:r>
                </w:p>
              </w:tc>
              <w:tc>
                <w:tcPr>
                  <w:tcW w:w="752" w:type="dxa"/>
                  <w:shd w:val="clear" w:color="auto" w:fill="FFFFFF"/>
                  <w:vAlign w:val="center"/>
                </w:tcPr>
                <w:p w14:paraId="0E690B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达标</w:t>
                  </w:r>
                </w:p>
              </w:tc>
            </w:tr>
            <w:tr w14:paraId="7BC04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26" w:hRule="atLeast"/>
                <w:jc w:val="center"/>
              </w:trPr>
              <w:tc>
                <w:tcPr>
                  <w:tcW w:w="0" w:type="auto"/>
                  <w:vMerge w:val="continue"/>
                  <w:shd w:val="clear" w:color="auto" w:fill="FFFFFF"/>
                  <w:vAlign w:val="center"/>
                </w:tcPr>
                <w:p w14:paraId="4DEFB5DF">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tc>
              <w:tc>
                <w:tcPr>
                  <w:tcW w:w="0" w:type="auto"/>
                  <w:shd w:val="clear" w:color="auto" w:fill="FFFFFF"/>
                  <w:vAlign w:val="center"/>
                </w:tcPr>
                <w:p w14:paraId="6A6054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-51.8</w:t>
                  </w:r>
                </w:p>
              </w:tc>
              <w:tc>
                <w:tcPr>
                  <w:tcW w:w="0" w:type="auto"/>
                  <w:shd w:val="clear" w:color="auto" w:fill="FFFFFF"/>
                  <w:vAlign w:val="center"/>
                </w:tcPr>
                <w:p w14:paraId="640B1F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60.1</w:t>
                  </w:r>
                </w:p>
              </w:tc>
              <w:tc>
                <w:tcPr>
                  <w:tcW w:w="0" w:type="auto"/>
                  <w:shd w:val="clear" w:color="auto" w:fill="FFFFFF"/>
                  <w:vAlign w:val="center"/>
                </w:tcPr>
                <w:p w14:paraId="7205A5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1.2</w:t>
                  </w:r>
                </w:p>
              </w:tc>
              <w:tc>
                <w:tcPr>
                  <w:tcW w:w="714" w:type="dxa"/>
                  <w:shd w:val="clear" w:color="auto" w:fill="FFFFFF"/>
                  <w:vAlign w:val="center"/>
                </w:tcPr>
                <w:p w14:paraId="58CB22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夜间</w:t>
                  </w:r>
                </w:p>
              </w:tc>
              <w:tc>
                <w:tcPr>
                  <w:tcW w:w="1319" w:type="dxa"/>
                  <w:shd w:val="clear" w:color="auto" w:fill="FFFFFF"/>
                  <w:vAlign w:val="center"/>
                </w:tcPr>
                <w:p w14:paraId="7351D3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49.8</w:t>
                  </w:r>
                </w:p>
              </w:tc>
              <w:tc>
                <w:tcPr>
                  <w:tcW w:w="0" w:type="auto"/>
                  <w:shd w:val="clear" w:color="auto" w:fill="FFFFFF"/>
                  <w:vAlign w:val="center"/>
                </w:tcPr>
                <w:p w14:paraId="46E2A3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50</w:t>
                  </w:r>
                </w:p>
              </w:tc>
              <w:tc>
                <w:tcPr>
                  <w:tcW w:w="0" w:type="auto"/>
                  <w:shd w:val="clear" w:color="auto" w:fill="FFFFFF"/>
                  <w:vAlign w:val="center"/>
                </w:tcPr>
                <w:p w14:paraId="76EC92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Arial" w:hAnsi="Arial" w:eastAsia="宋体" w:cs="Arial"/>
                      <w:b w:val="0"/>
                      <w:bCs/>
                      <w:sz w:val="21"/>
                      <w:szCs w:val="21"/>
                      <w:lang w:val="en-US" w:eastAsia="zh-CN"/>
                    </w:rPr>
                  </w:pPr>
                  <w:r>
                    <w:rPr>
                      <w:rFonts w:hint="eastAsia" w:ascii="Arial" w:hAnsi="Arial" w:eastAsia="宋体" w:cs="Arial"/>
                      <w:b w:val="0"/>
                      <w:bCs/>
                      <w:sz w:val="21"/>
                      <w:szCs w:val="21"/>
                      <w:lang w:val="en-US" w:eastAsia="zh-CN"/>
                    </w:rPr>
                    <w:t>达标</w:t>
                  </w:r>
                </w:p>
              </w:tc>
            </w:tr>
          </w:tbl>
          <w:p w14:paraId="292579B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根据预测结果，采取措施后，项目厂界噪声可以达到《工业企业厂界环境噪声排放标准》（GB12348-2008）2类标准的要求，本项目对周边声环境不会产生明显不良影响。</w:t>
            </w:r>
          </w:p>
          <w:p w14:paraId="430134F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eastAsia="宋体" w:cs="Times New Roman"/>
                <w:kern w:val="2"/>
                <w:sz w:val="24"/>
                <w:szCs w:val="24"/>
                <w:lang w:val="en-US" w:eastAsia="zh-CN" w:bidi="ar-SA"/>
              </w:rPr>
              <w:t>(3)</w:t>
            </w:r>
            <w:r>
              <w:rPr>
                <w:rFonts w:hint="default" w:ascii="Times New Roman" w:hAnsi="Times New Roman" w:cs="Times New Roman"/>
                <w:lang w:val="en-US" w:eastAsia="zh-CN"/>
              </w:rPr>
              <w:t>监测要求</w:t>
            </w:r>
          </w:p>
          <w:p w14:paraId="25A8C1F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根据《排污单位自行监测技术指南--总则》</w:t>
            </w:r>
            <w:r>
              <w:rPr>
                <w:rFonts w:hint="eastAsia" w:cs="Times New Roman"/>
                <w:lang w:val="en-US" w:eastAsia="zh-CN"/>
              </w:rPr>
              <w:t>（</w:t>
            </w:r>
            <w:r>
              <w:rPr>
                <w:rFonts w:hint="default" w:ascii="Times New Roman" w:hAnsi="Times New Roman" w:cs="Times New Roman"/>
                <w:lang w:val="en-US" w:eastAsia="zh-CN"/>
              </w:rPr>
              <w:t>HJ819-2017</w:t>
            </w:r>
            <w:r>
              <w:rPr>
                <w:rFonts w:hint="eastAsia" w:cs="Times New Roman"/>
                <w:lang w:val="en-US" w:eastAsia="zh-CN"/>
              </w:rPr>
              <w:t>）</w:t>
            </w:r>
            <w:r>
              <w:rPr>
                <w:rFonts w:hint="default" w:ascii="Times New Roman" w:hAnsi="Times New Roman" w:cs="Times New Roman"/>
                <w:lang w:val="en-US" w:eastAsia="zh-CN"/>
              </w:rPr>
              <w:t>及《排污许可证申请与核发技术规范 工业噪声》</w:t>
            </w:r>
            <w:r>
              <w:rPr>
                <w:rFonts w:hint="eastAsia" w:cs="Times New Roman"/>
                <w:lang w:val="en-US" w:eastAsia="zh-CN"/>
              </w:rPr>
              <w:t>（</w:t>
            </w:r>
            <w:r>
              <w:rPr>
                <w:rFonts w:hint="default" w:ascii="Times New Roman" w:hAnsi="Times New Roman" w:cs="Times New Roman"/>
                <w:lang w:val="en-US" w:eastAsia="zh-CN"/>
              </w:rPr>
              <w:t>HJ1301-2023</w:t>
            </w:r>
            <w:r>
              <w:rPr>
                <w:rFonts w:hint="eastAsia" w:cs="Times New Roman"/>
                <w:lang w:val="en-US" w:eastAsia="zh-CN"/>
              </w:rPr>
              <w:t>）</w:t>
            </w:r>
            <w:r>
              <w:rPr>
                <w:rFonts w:hint="default" w:ascii="Times New Roman" w:hAnsi="Times New Roman" w:cs="Times New Roman"/>
                <w:lang w:val="en-US" w:eastAsia="zh-CN"/>
              </w:rPr>
              <w:t>，项目噪声监测详情见下表4-1</w:t>
            </w:r>
            <w:r>
              <w:rPr>
                <w:rFonts w:hint="eastAsia" w:cs="Times New Roman"/>
                <w:lang w:val="en-US" w:eastAsia="zh-CN"/>
              </w:rPr>
              <w:t>6</w:t>
            </w:r>
            <w:r>
              <w:rPr>
                <w:rFonts w:hint="default" w:ascii="Times New Roman" w:hAnsi="Times New Roman" w:cs="Times New Roman"/>
                <w:lang w:val="en-US" w:eastAsia="zh-CN"/>
              </w:rPr>
              <w:t>所示。</w:t>
            </w:r>
          </w:p>
          <w:p w14:paraId="025B76FF">
            <w:pPr>
              <w:pageBreakBefore w:val="0"/>
              <w:wordWrap/>
              <w:overflowPunct/>
              <w:spacing w:beforeAutospacing="0" w:afterAutospacing="0" w:line="360" w:lineRule="auto"/>
              <w:ind w:left="0" w:leftChars="0" w:right="0" w:firstLine="0" w:firstLineChars="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表4-1</w:t>
            </w:r>
            <w:r>
              <w:rPr>
                <w:rFonts w:hint="eastAsia" w:cs="Times New Roman"/>
                <w:b/>
                <w:bCs/>
                <w:sz w:val="21"/>
                <w:szCs w:val="21"/>
                <w:lang w:val="en-US" w:eastAsia="zh-CN"/>
              </w:rPr>
              <w:t>6</w:t>
            </w:r>
            <w:r>
              <w:rPr>
                <w:rFonts w:hint="default" w:ascii="Times New Roman" w:hAnsi="Times New Roman" w:cs="Times New Roman"/>
                <w:b/>
                <w:bCs/>
                <w:sz w:val="21"/>
                <w:szCs w:val="21"/>
                <w:lang w:val="en-US" w:eastAsia="zh-CN"/>
              </w:rPr>
              <w:t xml:space="preserve"> 噪声监测要求</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8"/>
              <w:gridCol w:w="1979"/>
              <w:gridCol w:w="1978"/>
              <w:gridCol w:w="1985"/>
            </w:tblGrid>
            <w:tr w14:paraId="2646F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dxa"/>
                  <w:vAlign w:val="center"/>
                </w:tcPr>
                <w:p w14:paraId="7062FC7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监测点位</w:t>
                  </w:r>
                </w:p>
              </w:tc>
              <w:tc>
                <w:tcPr>
                  <w:tcW w:w="1984" w:type="dxa"/>
                  <w:vAlign w:val="center"/>
                </w:tcPr>
                <w:p w14:paraId="640C01D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监测指标</w:t>
                  </w:r>
                </w:p>
              </w:tc>
              <w:tc>
                <w:tcPr>
                  <w:tcW w:w="1984" w:type="dxa"/>
                  <w:vAlign w:val="center"/>
                </w:tcPr>
                <w:p w14:paraId="7378CF6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监测频次</w:t>
                  </w:r>
                </w:p>
              </w:tc>
              <w:tc>
                <w:tcPr>
                  <w:tcW w:w="1985" w:type="dxa"/>
                  <w:vAlign w:val="center"/>
                </w:tcPr>
                <w:p w14:paraId="77DE561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执行标准</w:t>
                  </w:r>
                </w:p>
              </w:tc>
            </w:tr>
            <w:tr w14:paraId="18123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dxa"/>
                  <w:vAlign w:val="center"/>
                </w:tcPr>
                <w:p w14:paraId="49D8BBE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东、南、西、</w:t>
                  </w:r>
                </w:p>
                <w:p w14:paraId="4726DCB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北厂界外1m</w:t>
                  </w:r>
                </w:p>
              </w:tc>
              <w:tc>
                <w:tcPr>
                  <w:tcW w:w="1984" w:type="dxa"/>
                  <w:vAlign w:val="center"/>
                </w:tcPr>
                <w:p w14:paraId="2D6BAA1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昼间、夜间等效 A 声级</w:t>
                  </w:r>
                </w:p>
              </w:tc>
              <w:tc>
                <w:tcPr>
                  <w:tcW w:w="1984" w:type="dxa"/>
                  <w:vAlign w:val="center"/>
                </w:tcPr>
                <w:p w14:paraId="72A4665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每</w:t>
                  </w:r>
                  <w:r>
                    <w:rPr>
                      <w:rFonts w:hint="default" w:ascii="Times New Roman" w:hAnsi="Times New Roman" w:eastAsia="宋体" w:cs="Times New Roman"/>
                      <w:sz w:val="21"/>
                      <w:szCs w:val="21"/>
                      <w:vertAlign w:val="baseline"/>
                      <w:lang w:val="en-US" w:eastAsia="zh-CN"/>
                    </w:rPr>
                    <w:t>季度</w:t>
                  </w:r>
                  <w:r>
                    <w:rPr>
                      <w:rFonts w:hint="eastAsia" w:cs="Times New Roman"/>
                      <w:sz w:val="21"/>
                      <w:szCs w:val="21"/>
                      <w:vertAlign w:val="baseline"/>
                      <w:lang w:val="en-US" w:eastAsia="zh-CN"/>
                    </w:rPr>
                    <w:t>1</w:t>
                  </w:r>
                  <w:r>
                    <w:rPr>
                      <w:rFonts w:hint="default" w:ascii="Times New Roman" w:hAnsi="Times New Roman" w:eastAsia="宋体" w:cs="Times New Roman"/>
                      <w:sz w:val="21"/>
                      <w:szCs w:val="21"/>
                      <w:vertAlign w:val="baseline"/>
                      <w:lang w:val="en-US" w:eastAsia="zh-CN"/>
                    </w:rPr>
                    <w:t>次</w:t>
                  </w:r>
                </w:p>
              </w:tc>
              <w:tc>
                <w:tcPr>
                  <w:tcW w:w="1985" w:type="dxa"/>
                  <w:vAlign w:val="center"/>
                </w:tcPr>
                <w:p w14:paraId="2F504B6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 xml:space="preserve">《工业企业厂界环境噪声排放标准》（GB12348-2008）中 </w:t>
                  </w:r>
                  <w:r>
                    <w:rPr>
                      <w:rFonts w:hint="default" w:ascii="Times New Roman" w:hAnsi="Times New Roman" w:cs="Times New Roman"/>
                      <w:sz w:val="21"/>
                      <w:szCs w:val="21"/>
                      <w:vertAlign w:val="baseline"/>
                      <w:lang w:val="en-US" w:eastAsia="zh-CN"/>
                    </w:rPr>
                    <w:t>2</w:t>
                  </w:r>
                  <w:r>
                    <w:rPr>
                      <w:rFonts w:hint="default" w:ascii="Times New Roman" w:hAnsi="Times New Roman" w:eastAsia="宋体" w:cs="Times New Roman"/>
                      <w:sz w:val="21"/>
                      <w:szCs w:val="21"/>
                      <w:vertAlign w:val="baseline"/>
                      <w:lang w:val="en-US" w:eastAsia="zh-CN"/>
                    </w:rPr>
                    <w:t xml:space="preserve"> 类标准</w:t>
                  </w:r>
                </w:p>
              </w:tc>
            </w:tr>
          </w:tbl>
          <w:p w14:paraId="561C260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highlight w:val="none"/>
                <w:lang w:val="en-US" w:eastAsia="zh-CN"/>
              </w:rPr>
            </w:pPr>
            <w:r>
              <w:rPr>
                <w:rFonts w:hint="default" w:ascii="Times New Roman" w:hAnsi="Times New Roman" w:eastAsia="宋体" w:cs="Times New Roman"/>
                <w:b/>
                <w:bCs/>
                <w:kern w:val="2"/>
                <w:sz w:val="24"/>
                <w:szCs w:val="24"/>
                <w:lang w:val="en-US" w:eastAsia="zh-CN" w:bidi="ar-SA"/>
              </w:rPr>
              <w:t>四、固体废物</w:t>
            </w:r>
          </w:p>
          <w:p w14:paraId="12D2531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zh-TW" w:eastAsia="zh-TW"/>
              </w:rPr>
              <w:t>本项目运营期产生的固废</w:t>
            </w:r>
            <w:r>
              <w:rPr>
                <w:rFonts w:hint="default" w:ascii="Times New Roman" w:hAnsi="Times New Roman" w:cs="Times New Roman"/>
                <w:color w:val="auto"/>
                <w:sz w:val="24"/>
                <w:lang w:val="en-US" w:eastAsia="zh-CN"/>
              </w:rPr>
              <w:t>主要有：待宰间生猪产生的粪便、检疫不合格猪、屠宰过程中产生的肠胃内容物及废弃物；废水处理过程中产生的污泥；职工工作期间产生的生活垃圾等。</w:t>
            </w:r>
          </w:p>
          <w:p w14:paraId="495845A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1</w:t>
            </w:r>
            <w:r>
              <w:rPr>
                <w:rFonts w:hint="default" w:ascii="Times New Roman" w:hAnsi="Times New Roman" w:eastAsia="宋体" w:cs="Times New Roman"/>
                <w:b/>
                <w:bCs/>
                <w:color w:val="auto"/>
                <w:sz w:val="24"/>
                <w:lang w:val="en-US" w:eastAsia="zh-CN"/>
              </w:rPr>
              <w:t>、</w:t>
            </w:r>
            <w:r>
              <w:rPr>
                <w:rFonts w:hint="default" w:ascii="Times New Roman" w:hAnsi="Times New Roman" w:cs="Times New Roman"/>
                <w:b/>
                <w:bCs/>
                <w:color w:val="auto"/>
                <w:sz w:val="24"/>
                <w:lang w:val="en-US" w:eastAsia="zh-CN"/>
              </w:rPr>
              <w:t>屠宰</w:t>
            </w:r>
            <w:r>
              <w:rPr>
                <w:rFonts w:hint="eastAsia" w:cs="Times New Roman"/>
                <w:b/>
                <w:bCs/>
                <w:color w:val="auto"/>
                <w:sz w:val="24"/>
                <w:lang w:val="en-US" w:eastAsia="zh-CN"/>
              </w:rPr>
              <w:t>固体废物</w:t>
            </w:r>
          </w:p>
          <w:p w14:paraId="766375D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屠宰</w:t>
            </w:r>
            <w:r>
              <w:rPr>
                <w:rFonts w:hint="eastAsia" w:cs="Times New Roman"/>
                <w:b w:val="0"/>
                <w:bCs w:val="0"/>
                <w:color w:val="auto"/>
                <w:sz w:val="24"/>
                <w:lang w:val="en-US" w:eastAsia="zh-CN"/>
              </w:rPr>
              <w:t>固体废物</w:t>
            </w:r>
            <w:r>
              <w:rPr>
                <w:rFonts w:hint="default" w:ascii="Times New Roman" w:hAnsi="Times New Roman" w:cs="Times New Roman"/>
                <w:b w:val="0"/>
                <w:bCs w:val="0"/>
                <w:color w:val="auto"/>
                <w:sz w:val="24"/>
                <w:lang w:val="en-US" w:eastAsia="zh-CN"/>
              </w:rPr>
              <w:t>包括内脏加工产生的肠胃残留物、淋巴、不可食用碎肉、猪粪及检疫后病害肉，屠宰检疫发现的病害猪。</w:t>
            </w:r>
          </w:p>
          <w:p w14:paraId="115EACB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本屠宰场运营期间肠胃内容物、淋巴、不可食用碎肉、猪粪及检疫后病害肉、病死猪等废弃物的产生率为20%，算得</w:t>
            </w:r>
            <w:r>
              <w:rPr>
                <w:rFonts w:hint="eastAsia" w:cs="Times New Roman"/>
                <w:b w:val="0"/>
                <w:bCs w:val="0"/>
                <w:color w:val="auto"/>
                <w:sz w:val="24"/>
                <w:lang w:val="en-US" w:eastAsia="zh-CN"/>
              </w:rPr>
              <w:t>屠宰固体废物</w:t>
            </w:r>
            <w:r>
              <w:rPr>
                <w:rFonts w:hint="default" w:ascii="Times New Roman" w:hAnsi="Times New Roman" w:cs="Times New Roman"/>
                <w:b w:val="0"/>
                <w:bCs w:val="0"/>
                <w:color w:val="auto"/>
                <w:sz w:val="24"/>
                <w:lang w:val="en-US" w:eastAsia="zh-CN"/>
              </w:rPr>
              <w:t>总共约为1095t/a。</w:t>
            </w:r>
          </w:p>
          <w:p w14:paraId="764E18F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一头猪大概产出10kg的肠胃内容物，算得约为547.5t/a。</w:t>
            </w:r>
          </w:p>
          <w:p w14:paraId="4EA0821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项目每天最大屠宰量为150头，在圈内停食停水静养24h，根据经验估算按照一头猪每日产粪2kg计，粪便产生量为300kg/d，109.5t/a。</w:t>
            </w:r>
          </w:p>
          <w:p w14:paraId="32F22B9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项目屠宰规模为5.475万头，单头体重100kg，宰前检疫过程可能会产生一定的病死猪，产生量约占0.1%，则病死猪产生量约5.475t/a。淋巴、不可食用碎肉及检疫后病害肉产生量约为432.525t/a。为预防产生病死猪造成环境影响，要求项目采用高温化制用于病死猪处理。根据</w:t>
            </w:r>
            <w:r>
              <w:rPr>
                <w:rFonts w:hint="default" w:ascii="Times New Roman" w:hAnsi="Times New Roman" w:eastAsia="宋体" w:cs="Times New Roman"/>
                <w:b w:val="0"/>
                <w:bCs w:val="0"/>
                <w:color w:val="auto"/>
                <w:sz w:val="24"/>
                <w:lang w:val="en-US" w:eastAsia="zh-CN"/>
              </w:rPr>
              <w:t>《病害动物和病害动物产品生物安全处理规程》</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GB16548-2006），</w:t>
            </w:r>
            <w:r>
              <w:rPr>
                <w:rFonts w:hint="default" w:ascii="Times New Roman" w:hAnsi="Times New Roman" w:cs="Times New Roman"/>
                <w:b w:val="0"/>
                <w:bCs w:val="0"/>
                <w:color w:val="auto"/>
                <w:sz w:val="24"/>
                <w:lang w:val="en-US" w:eastAsia="zh-CN"/>
              </w:rPr>
              <w:t>本项目病死猪等废弃物送往无害化处理企业进行处理</w:t>
            </w:r>
            <w:r>
              <w:rPr>
                <w:rFonts w:hint="default" w:ascii="Times New Roman" w:hAnsi="Times New Roman" w:eastAsia="宋体" w:cs="Times New Roman"/>
                <w:b w:val="0"/>
                <w:bCs w:val="0"/>
                <w:color w:val="auto"/>
                <w:sz w:val="24"/>
                <w:lang w:val="en-US" w:eastAsia="zh-CN"/>
              </w:rPr>
              <w:t>。</w:t>
            </w:r>
          </w:p>
          <w:p w14:paraId="22B68CA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为了减少待宰圈内牲畜发生突发性、传染性疫病的可能，以及待宰圈内出现牲畜大批发病、死亡等事故时，要求该项目采取如下措施：</w:t>
            </w:r>
          </w:p>
          <w:p w14:paraId="35FB2D26">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（1）</w:t>
            </w:r>
            <w:r>
              <w:rPr>
                <w:rFonts w:hint="default" w:ascii="Times New Roman" w:hAnsi="Times New Roman" w:eastAsia="宋体" w:cs="Times New Roman"/>
                <w:b w:val="0"/>
                <w:bCs w:val="0"/>
                <w:color w:val="auto"/>
                <w:sz w:val="24"/>
                <w:lang w:val="en-US" w:eastAsia="zh-CN"/>
              </w:rPr>
              <w:t>从外地购买牲畜前，应详细了解产地疫情。若当地正在流行疫病，则应禁止在此地购买或暂缓购买；</w:t>
            </w:r>
          </w:p>
          <w:p w14:paraId="028AB19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（2）</w:t>
            </w:r>
            <w:r>
              <w:rPr>
                <w:rFonts w:hint="default" w:ascii="Times New Roman" w:hAnsi="Times New Roman" w:eastAsia="宋体" w:cs="Times New Roman"/>
                <w:b w:val="0"/>
                <w:bCs w:val="0"/>
                <w:color w:val="auto"/>
                <w:sz w:val="24"/>
                <w:lang w:val="en-US" w:eastAsia="zh-CN"/>
              </w:rPr>
              <w:t>根据《中华人民共和国固体废物污染环境防治法》中关于危险废物污染 环境防治的特别规定，该项目在检出患有《中华人民共和国进境动物一、二类传 染病、寄生虫病名录》中规定疫病的牲畜后，应在24h内向农业部门、检疫、环保、卫生防疫等有关部门上报；不能以直接填埋的方式处置</w:t>
            </w:r>
            <w:r>
              <w:rPr>
                <w:rFonts w:hint="eastAsia" w:cs="Times New Roman"/>
                <w:b w:val="0"/>
                <w:bCs w:val="0"/>
                <w:color w:val="auto"/>
                <w:sz w:val="24"/>
                <w:lang w:val="en-US" w:eastAsia="zh-CN"/>
              </w:rPr>
              <w:t>病死猪及不合格病肉等产品</w:t>
            </w:r>
            <w:r>
              <w:rPr>
                <w:rFonts w:hint="default" w:ascii="Times New Roman" w:hAnsi="Times New Roman" w:eastAsia="宋体" w:cs="Times New Roman"/>
                <w:b w:val="0"/>
                <w:bCs w:val="0"/>
                <w:color w:val="auto"/>
                <w:sz w:val="24"/>
                <w:lang w:val="en-US" w:eastAsia="zh-CN"/>
              </w:rPr>
              <w:t>；必须无害化处理，并对场地进行严格消毒。</w:t>
            </w:r>
          </w:p>
          <w:p w14:paraId="33BE57E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2、生活垃圾</w:t>
            </w:r>
          </w:p>
          <w:p w14:paraId="37DB648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color w:val="auto"/>
                <w:sz w:val="24"/>
                <w:lang w:val="zh-TW" w:eastAsia="zh-TW"/>
              </w:rPr>
            </w:pPr>
            <w:r>
              <w:rPr>
                <w:rFonts w:hint="default" w:ascii="Times New Roman" w:hAnsi="Times New Roman" w:eastAsia="宋体" w:cs="Times New Roman"/>
                <w:color w:val="auto"/>
                <w:sz w:val="24"/>
                <w:lang w:val="zh-TW" w:eastAsia="zh-TW"/>
              </w:rPr>
              <w:t>本项目运营期劳动定员</w:t>
            </w:r>
            <w:r>
              <w:rPr>
                <w:rFonts w:hint="default" w:ascii="Times New Roman" w:hAnsi="Times New Roman" w:eastAsia="宋体" w:cs="Times New Roman"/>
                <w:color w:val="auto"/>
                <w:sz w:val="24"/>
                <w:lang w:val="en-US" w:eastAsia="zh-CN"/>
              </w:rPr>
              <w:t>1</w:t>
            </w:r>
            <w:r>
              <w:rPr>
                <w:rFonts w:hint="default" w:ascii="Times New Roman" w:hAnsi="Times New Roman" w:cs="Times New Roman"/>
                <w:color w:val="auto"/>
                <w:sz w:val="24"/>
                <w:lang w:val="en-US" w:eastAsia="zh-CN"/>
              </w:rPr>
              <w:t>5</w:t>
            </w:r>
            <w:r>
              <w:rPr>
                <w:rFonts w:hint="default" w:ascii="Times New Roman" w:hAnsi="Times New Roman" w:eastAsia="宋体" w:cs="Times New Roman"/>
                <w:color w:val="auto"/>
                <w:sz w:val="24"/>
                <w:lang w:val="zh-TW" w:eastAsia="zh-TW"/>
              </w:rPr>
              <w:t>人，按每人每天产生生活垃圾0.5kg计，则项目工作人员产生的生活垃圾</w:t>
            </w:r>
            <w:r>
              <w:rPr>
                <w:rFonts w:hint="default" w:ascii="Times New Roman" w:hAnsi="Times New Roman" w:cs="Times New Roman"/>
                <w:color w:val="auto"/>
                <w:sz w:val="24"/>
                <w:lang w:val="en-US" w:eastAsia="zh-CN"/>
              </w:rPr>
              <w:t>7.5</w:t>
            </w:r>
            <w:r>
              <w:rPr>
                <w:rFonts w:hint="default" w:ascii="Times New Roman" w:hAnsi="Times New Roman" w:eastAsia="宋体" w:cs="Times New Roman"/>
                <w:color w:val="auto"/>
                <w:sz w:val="24"/>
                <w:lang w:val="zh-TW" w:eastAsia="zh-TW"/>
              </w:rPr>
              <w:t>kg/d，一年工作 300天，合计产生生活垃圾</w:t>
            </w:r>
            <w:r>
              <w:rPr>
                <w:rFonts w:hint="default" w:ascii="Times New Roman" w:hAnsi="Times New Roman" w:cs="Times New Roman"/>
                <w:color w:val="auto"/>
                <w:sz w:val="24"/>
                <w:lang w:val="en-US" w:eastAsia="zh-CN"/>
              </w:rPr>
              <w:t>2.25</w:t>
            </w:r>
            <w:r>
              <w:rPr>
                <w:rFonts w:hint="default" w:ascii="Times New Roman" w:hAnsi="Times New Roman" w:eastAsia="宋体" w:cs="Times New Roman"/>
                <w:color w:val="auto"/>
                <w:sz w:val="24"/>
                <w:lang w:val="zh-TW" w:eastAsia="zh-TW"/>
              </w:rPr>
              <w:t>t</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zh-TW" w:eastAsia="zh-TW"/>
              </w:rPr>
              <w:t>a。生活垃圾收集后，交环卫部门统一清运处理。</w:t>
            </w:r>
          </w:p>
          <w:p w14:paraId="0B0CF3E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固体废物转运操作要求：本项目屠宰废弃物、生活垃圾等固体废物在转运过程中，会对运输沿线周边产生影响，为了减轻运输过程对周边环境的影响，运输过程应采用密闭运输车，以免固体废物在运输过程中散落，同时有效防止恶臭气味对运输沿线居民的影响；运输过程应尽量避开城镇等人口集中居住地，且应尽量选在夜间运输，以防止臭气扰民；生活垃圾袋装后交至当地垃圾收集点。建设单位采取上述措施后，本项目原料、成品及固体废物运输过程对区域环境影响较小。</w:t>
            </w:r>
          </w:p>
          <w:p w14:paraId="08145D60">
            <w:pPr>
              <w:keepNext w:val="0"/>
              <w:keepLines w:val="0"/>
              <w:pageBreakBefore w:val="0"/>
              <w:widowControl w:val="0"/>
              <w:numPr>
                <w:ilvl w:val="0"/>
                <w:numId w:val="4"/>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污水处理设施产出废弃物</w:t>
            </w:r>
          </w:p>
          <w:p w14:paraId="6141D86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Chars="200" w:right="0" w:rightChars="0"/>
              <w:textAlignment w:val="auto"/>
              <w:rPr>
                <w:rFonts w:hint="default" w:ascii="Times New Roman" w:hAnsi="Times New Roman" w:cs="Times New Roman"/>
                <w:lang w:val="en-US" w:eastAsia="zh-CN"/>
              </w:rPr>
            </w:pPr>
            <w:r>
              <w:rPr>
                <w:rFonts w:hint="default" w:ascii="Times New Roman" w:hAnsi="Times New Roman" w:cs="Times New Roman"/>
                <w:color w:val="auto"/>
                <w:sz w:val="24"/>
                <w:lang w:val="en-US" w:eastAsia="zh-CN"/>
              </w:rPr>
              <w:t>污水处理设施产生的固废主要有栅渣、泥饼：</w:t>
            </w:r>
          </w:p>
          <w:p w14:paraId="2950A67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①栅渣：栅渣主要成分为混合在污泥中的猪毛、肉屑、内脏、油脂等，类比《隆回县鸿泰源屠宰场定点屠宰项目》污水处理站栅渣产生情况，本项目栅渣产生量按0.1t/1000m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·d计</w:t>
            </w:r>
            <w:r>
              <w:rPr>
                <w:rFonts w:hint="default" w:ascii="Times New Roman" w:hAnsi="Times New Roman" w:cs="Times New Roman"/>
                <w:sz w:val="24"/>
                <w:szCs w:val="24"/>
                <w:lang w:val="en-US" w:eastAsia="zh-CN"/>
              </w:rPr>
              <w:t>。因进入污水处理厂处理的水量约为</w:t>
            </w:r>
            <w:r>
              <w:rPr>
                <w:rFonts w:hint="eastAsia" w:cs="Times New Roman"/>
                <w:sz w:val="24"/>
                <w:szCs w:val="24"/>
                <w:lang w:val="en-US" w:eastAsia="zh-CN"/>
              </w:rPr>
              <w:t>36069</w:t>
            </w:r>
            <w:r>
              <w:rPr>
                <w:rFonts w:hint="default" w:ascii="Times New Roman" w:hAnsi="Times New Roman" w:cs="Times New Roman"/>
                <w:sz w:val="24"/>
                <w:szCs w:val="24"/>
                <w:lang w:val="en-US" w:eastAsia="zh-CN"/>
              </w:rPr>
              <w:t>t/a，经计算栅渣产生量约为</w:t>
            </w:r>
            <w:r>
              <w:rPr>
                <w:rFonts w:hint="eastAsia" w:cs="Times New Roman"/>
                <w:sz w:val="24"/>
                <w:szCs w:val="24"/>
                <w:lang w:val="en-US" w:eastAsia="zh-CN"/>
              </w:rPr>
              <w:t>3.6</w:t>
            </w:r>
            <w:r>
              <w:rPr>
                <w:rFonts w:hint="default" w:ascii="Times New Roman" w:hAnsi="Times New Roman" w:cs="Times New Roman"/>
                <w:sz w:val="24"/>
                <w:szCs w:val="24"/>
                <w:lang w:val="en-US" w:eastAsia="zh-CN"/>
              </w:rPr>
              <w:t>t/a（含水量约80%）。</w:t>
            </w:r>
          </w:p>
          <w:p w14:paraId="13E1C6C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②</w:t>
            </w:r>
            <w:r>
              <w:rPr>
                <w:rFonts w:hint="default" w:ascii="Times New Roman" w:hAnsi="Times New Roman" w:cs="Times New Roman"/>
                <w:sz w:val="24"/>
                <w:szCs w:val="24"/>
                <w:lang w:val="en-US" w:eastAsia="zh-CN"/>
              </w:rPr>
              <w:t>泥饼</w:t>
            </w:r>
          </w:p>
          <w:p w14:paraId="43B0BD2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sz w:val="24"/>
                <w:szCs w:val="24"/>
                <w:lang w:val="en-US" w:eastAsia="zh-CN"/>
              </w:rPr>
              <w:t>污水处理厂混凝沉淀池等会产生污泥。参照</w:t>
            </w:r>
            <w:r>
              <w:rPr>
                <w:rFonts w:hint="default" w:ascii="Times New Roman" w:hAnsi="Times New Roman" w:eastAsia="宋体" w:cs="Times New Roman"/>
                <w:sz w:val="24"/>
                <w:szCs w:val="24"/>
                <w:lang w:val="en-US" w:eastAsia="zh-CN"/>
              </w:rPr>
              <w:t>《城镇污水处理厂污泥处理技术规范》，混凝沉淀池污泥产出情况按以下公式计算：</w:t>
            </w:r>
          </w:p>
          <w:p w14:paraId="557134F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X=ɑ·Q（SS</w:t>
            </w:r>
            <w:r>
              <w:rPr>
                <w:rFonts w:hint="default" w:ascii="Times New Roman" w:hAnsi="Times New Roman" w:eastAsia="宋体" w:cs="Times New Roman"/>
                <w:sz w:val="24"/>
                <w:szCs w:val="24"/>
                <w:vertAlign w:val="subscript"/>
                <w:lang w:val="en-US" w:eastAsia="zh-CN"/>
              </w:rPr>
              <w:t>i</w:t>
            </w:r>
            <w:r>
              <w:rPr>
                <w:rFonts w:hint="default" w:ascii="Times New Roman" w:hAnsi="Times New Roman" w:eastAsia="宋体" w:cs="Times New Roman"/>
                <w:sz w:val="24"/>
                <w:szCs w:val="24"/>
                <w:lang w:val="en-US" w:eastAsia="zh-CN"/>
              </w:rPr>
              <w:t>-SS</w:t>
            </w:r>
            <w:r>
              <w:rPr>
                <w:rFonts w:hint="default" w:ascii="Times New Roman" w:hAnsi="Times New Roman" w:eastAsia="宋体" w:cs="Times New Roman"/>
                <w:sz w:val="24"/>
                <w:szCs w:val="24"/>
                <w:vertAlign w:val="subscript"/>
                <w:lang w:val="en-US" w:eastAsia="zh-CN"/>
              </w:rPr>
              <w:t>0</w:t>
            </w:r>
            <w:r>
              <w:rPr>
                <w:rFonts w:hint="default" w:ascii="Times New Roman" w:hAnsi="Times New Roman" w:eastAsia="宋体" w:cs="Times New Roman"/>
                <w:sz w:val="24"/>
                <w:szCs w:val="24"/>
                <w:lang w:val="en-US" w:eastAsia="zh-CN"/>
              </w:rPr>
              <w:t>）</w:t>
            </w:r>
          </w:p>
          <w:p w14:paraId="75A93AA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式中</w:t>
            </w:r>
            <w:r>
              <w:rPr>
                <w:rFonts w:hint="eastAsia" w:ascii="宋体" w:hAnsi="宋体" w:eastAsia="宋体" w:cs="宋体"/>
                <w:sz w:val="24"/>
                <w:szCs w:val="24"/>
                <w:lang w:val="en-US" w:eastAsia="zh-CN"/>
              </w:rPr>
              <w:t>:</w:t>
            </w:r>
            <w:r>
              <w:rPr>
                <w:rFonts w:hint="default" w:ascii="Times New Roman" w:hAnsi="Times New Roman" w:eastAsia="宋体" w:cs="Times New Roman"/>
                <w:sz w:val="24"/>
                <w:szCs w:val="24"/>
                <w:lang w:val="en-US" w:eastAsia="zh-CN"/>
              </w:rPr>
              <w:t>X—污泥产生量，kg/d；</w:t>
            </w:r>
          </w:p>
          <w:p w14:paraId="30DEE4E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ɑ—系数，化学强化一级处理工艺取值1.5~2.0</w:t>
            </w:r>
            <w:r>
              <w:rPr>
                <w:rFonts w:hint="eastAsia" w:ascii="宋体" w:hAnsi="宋体" w:eastAsia="宋体" w:cs="宋体"/>
                <w:sz w:val="24"/>
                <w:szCs w:val="24"/>
                <w:lang w:val="en-US" w:eastAsia="zh-CN"/>
              </w:rPr>
              <w:t>,</w:t>
            </w:r>
            <w:r>
              <w:rPr>
                <w:rFonts w:hint="default" w:ascii="Times New Roman" w:hAnsi="Times New Roman" w:eastAsia="宋体" w:cs="Times New Roman"/>
                <w:sz w:val="24"/>
                <w:szCs w:val="24"/>
                <w:lang w:val="en-US" w:eastAsia="zh-CN"/>
              </w:rPr>
              <w:t>此处取1.5；</w:t>
            </w:r>
          </w:p>
          <w:p w14:paraId="2300952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Q—污水流量，m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w:t>
            </w:r>
          </w:p>
          <w:p w14:paraId="5ACADCD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SS</w:t>
            </w:r>
            <w:r>
              <w:rPr>
                <w:rFonts w:hint="default" w:ascii="Times New Roman" w:hAnsi="Times New Roman" w:eastAsia="宋体" w:cs="Times New Roman"/>
                <w:sz w:val="24"/>
                <w:szCs w:val="24"/>
                <w:vertAlign w:val="subscript"/>
                <w:lang w:val="en-US" w:eastAsia="zh-CN"/>
              </w:rPr>
              <w:t>i</w:t>
            </w:r>
            <w:r>
              <w:rPr>
                <w:rFonts w:hint="default" w:ascii="Times New Roman" w:hAnsi="Times New Roman" w:eastAsia="宋体" w:cs="Times New Roman"/>
                <w:sz w:val="24"/>
                <w:szCs w:val="24"/>
                <w:lang w:val="en-US" w:eastAsia="zh-CN"/>
              </w:rPr>
              <w:t>，SS</w:t>
            </w:r>
            <w:r>
              <w:rPr>
                <w:rFonts w:hint="default" w:ascii="Times New Roman" w:hAnsi="Times New Roman" w:eastAsia="宋体" w:cs="Times New Roman"/>
                <w:sz w:val="24"/>
                <w:szCs w:val="24"/>
                <w:vertAlign w:val="subscript"/>
                <w:lang w:val="en-US" w:eastAsia="zh-CN"/>
              </w:rPr>
              <w:t>0</w:t>
            </w:r>
            <w:r>
              <w:rPr>
                <w:rFonts w:hint="default" w:ascii="Times New Roman" w:hAnsi="Times New Roman" w:eastAsia="宋体" w:cs="Times New Roman"/>
                <w:sz w:val="24"/>
                <w:szCs w:val="24"/>
                <w:lang w:val="en-US" w:eastAsia="zh-CN"/>
              </w:rPr>
              <w:t>分别为进出悬浮物浓度，kg/m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w:t>
            </w:r>
          </w:p>
          <w:p w14:paraId="604CDB5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根据前文数据计算得到，混凝沉淀池污泥产生量约为</w:t>
            </w:r>
            <w:r>
              <w:rPr>
                <w:rFonts w:hint="eastAsia" w:cs="Times New Roman"/>
                <w:sz w:val="24"/>
                <w:szCs w:val="24"/>
                <w:lang w:val="en-US" w:eastAsia="zh-CN"/>
              </w:rPr>
              <w:t>41.98</w:t>
            </w:r>
            <w:r>
              <w:rPr>
                <w:rFonts w:hint="default" w:ascii="Times New Roman" w:hAnsi="Times New Roman" w:eastAsia="宋体" w:cs="Times New Roman"/>
                <w:sz w:val="24"/>
                <w:szCs w:val="24"/>
                <w:lang w:val="en-US" w:eastAsia="zh-CN"/>
              </w:rPr>
              <w:t>t/a</w:t>
            </w:r>
            <w:r>
              <w:rPr>
                <w:rFonts w:hint="eastAsia" w:cs="Times New Roman"/>
                <w:sz w:val="24"/>
                <w:szCs w:val="24"/>
                <w:lang w:val="en-US" w:eastAsia="zh-CN"/>
              </w:rPr>
              <w:t>。</w:t>
            </w:r>
          </w:p>
          <w:p w14:paraId="66CA379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根据《屠宰与肉类加工废水治理工程技术规范》（HJ2004-2010</w:t>
            </w:r>
            <w:r>
              <w:rPr>
                <w:rFonts w:hint="eastAsia" w:cs="Times New Roman"/>
                <w:sz w:val="24"/>
                <w:szCs w:val="24"/>
                <w:lang w:val="en-US" w:eastAsia="zh-CN"/>
              </w:rPr>
              <w:t>）</w:t>
            </w:r>
            <w:r>
              <w:rPr>
                <w:rFonts w:hint="eastAsia" w:ascii="宋体" w:hAnsi="宋体" w:eastAsia="宋体" w:cs="宋体"/>
                <w:sz w:val="24"/>
                <w:szCs w:val="24"/>
                <w:lang w:val="en-US" w:eastAsia="zh-CN"/>
              </w:rPr>
              <w:t>,</w:t>
            </w:r>
            <w:r>
              <w:rPr>
                <w:rFonts w:hint="default" w:ascii="Times New Roman" w:hAnsi="Times New Roman" w:eastAsia="宋体" w:cs="Times New Roman"/>
                <w:sz w:val="24"/>
                <w:szCs w:val="24"/>
                <w:lang w:val="en-US" w:eastAsia="zh-CN"/>
              </w:rPr>
              <w:t>生化剩余污泥量根据有机物浓度、污泥产率系数进行计算；物化污泥量根据悬浮物浓度、加药量等进行计算。不同处理工艺产生的剩余污泥量（DS/BOD</w:t>
            </w:r>
            <w:r>
              <w:rPr>
                <w:rFonts w:hint="default" w:ascii="Times New Roman" w:hAnsi="Times New Roman" w:eastAsia="宋体" w:cs="Times New Roman"/>
                <w:sz w:val="24"/>
                <w:szCs w:val="24"/>
                <w:vertAlign w:val="subscript"/>
                <w:lang w:val="en-US" w:eastAsia="zh-CN"/>
              </w:rPr>
              <w:t>5</w:t>
            </w:r>
            <w:r>
              <w:rPr>
                <w:rFonts w:hint="default" w:ascii="Times New Roman" w:hAnsi="Times New Roman" w:eastAsia="宋体" w:cs="Times New Roman"/>
                <w:sz w:val="24"/>
                <w:szCs w:val="24"/>
                <w:lang w:val="en-US" w:eastAsia="zh-CN"/>
              </w:rPr>
              <w:t>）不同，一般可按 0.3～0.5 kg/kg 设计，污泥含水率 99.3%～99.4%。本项目取0.4kg/kg。由前文得本项目污水处理设施对BOD</w:t>
            </w:r>
            <w:r>
              <w:rPr>
                <w:rFonts w:hint="default" w:ascii="Times New Roman" w:hAnsi="Times New Roman" w:eastAsia="宋体" w:cs="Times New Roman"/>
                <w:sz w:val="24"/>
                <w:szCs w:val="24"/>
                <w:vertAlign w:val="subscript"/>
                <w:lang w:val="en-US" w:eastAsia="zh-CN"/>
              </w:rPr>
              <w:t>5</w:t>
            </w:r>
            <w:r>
              <w:rPr>
                <w:rFonts w:hint="default" w:ascii="Times New Roman" w:hAnsi="Times New Roman" w:eastAsia="宋体" w:cs="Times New Roman"/>
                <w:sz w:val="24"/>
                <w:szCs w:val="24"/>
                <w:lang w:val="en-US" w:eastAsia="zh-CN"/>
              </w:rPr>
              <w:t>去除量为</w:t>
            </w:r>
            <w:r>
              <w:rPr>
                <w:rFonts w:hint="eastAsia" w:cs="Times New Roman"/>
                <w:sz w:val="24"/>
                <w:szCs w:val="24"/>
                <w:lang w:val="en-US" w:eastAsia="zh-CN"/>
              </w:rPr>
              <w:t>29.856</w:t>
            </w:r>
            <w:r>
              <w:rPr>
                <w:rFonts w:hint="default" w:ascii="Times New Roman" w:hAnsi="Times New Roman" w:eastAsia="宋体" w:cs="Times New Roman"/>
                <w:sz w:val="24"/>
                <w:szCs w:val="24"/>
                <w:lang w:val="en-US" w:eastAsia="zh-CN"/>
              </w:rPr>
              <w:t>t/a，</w:t>
            </w:r>
            <w:r>
              <w:rPr>
                <w:rFonts w:hint="default" w:ascii="Times New Roman" w:hAnsi="Times New Roman" w:cs="Times New Roman"/>
                <w:sz w:val="24"/>
                <w:szCs w:val="24"/>
                <w:lang w:val="en-US" w:eastAsia="zh-CN"/>
              </w:rPr>
              <w:t>经计算，生化剩余污泥量为</w:t>
            </w:r>
            <w:r>
              <w:rPr>
                <w:rFonts w:hint="eastAsia" w:cs="Times New Roman"/>
                <w:sz w:val="24"/>
                <w:szCs w:val="24"/>
                <w:lang w:val="en-US" w:eastAsia="zh-CN"/>
              </w:rPr>
              <w:t>11.9424</w:t>
            </w:r>
            <w:r>
              <w:rPr>
                <w:rFonts w:hint="default" w:ascii="Times New Roman" w:hAnsi="Times New Roman" w:cs="Times New Roman"/>
                <w:sz w:val="24"/>
                <w:szCs w:val="24"/>
                <w:lang w:val="en-US" w:eastAsia="zh-CN"/>
              </w:rPr>
              <w:t>t/a</w:t>
            </w:r>
            <w:r>
              <w:rPr>
                <w:rFonts w:hint="default" w:ascii="Times New Roman" w:hAnsi="Times New Roman" w:eastAsia="宋体" w:cs="Times New Roman"/>
                <w:sz w:val="24"/>
                <w:szCs w:val="24"/>
                <w:lang w:val="en-US" w:eastAsia="zh-CN"/>
              </w:rPr>
              <w:t>（含水量99.3%）</w:t>
            </w:r>
            <w:r>
              <w:rPr>
                <w:rFonts w:hint="default" w:ascii="Times New Roman" w:hAnsi="Times New Roman" w:cs="Times New Roman"/>
                <w:sz w:val="24"/>
                <w:szCs w:val="24"/>
                <w:lang w:val="en-US" w:eastAsia="zh-CN"/>
              </w:rPr>
              <w:t>。综上，污水处理站产生的污泥总量为</w:t>
            </w:r>
            <w:r>
              <w:rPr>
                <w:rFonts w:hint="eastAsia" w:cs="Times New Roman"/>
                <w:sz w:val="24"/>
                <w:szCs w:val="24"/>
                <w:lang w:val="en-US" w:eastAsia="zh-CN"/>
              </w:rPr>
              <w:t>53.9224</w:t>
            </w:r>
            <w:r>
              <w:rPr>
                <w:rFonts w:hint="default" w:ascii="Times New Roman" w:hAnsi="Times New Roman" w:cs="Times New Roman"/>
                <w:sz w:val="24"/>
                <w:szCs w:val="24"/>
                <w:lang w:val="en-US" w:eastAsia="zh-CN"/>
              </w:rPr>
              <w:t>t/a</w:t>
            </w:r>
            <w:r>
              <w:rPr>
                <w:rFonts w:hint="default" w:ascii="Times New Roman" w:hAnsi="Times New Roman" w:eastAsia="宋体" w:cs="Times New Roman"/>
                <w:sz w:val="24"/>
                <w:szCs w:val="24"/>
                <w:lang w:val="en-US" w:eastAsia="zh-CN"/>
              </w:rPr>
              <w:t>（含水量99.3%）</w:t>
            </w:r>
            <w:r>
              <w:rPr>
                <w:rFonts w:hint="default" w:ascii="Times New Roman" w:hAnsi="Times New Roman" w:cs="Times New Roman"/>
                <w:sz w:val="24"/>
                <w:szCs w:val="24"/>
                <w:lang w:val="en-US" w:eastAsia="zh-CN"/>
              </w:rPr>
              <w:t>，污泥全部</w:t>
            </w:r>
            <w:r>
              <w:rPr>
                <w:rFonts w:hint="default" w:ascii="Times New Roman" w:hAnsi="Times New Roman" w:eastAsia="宋体" w:cs="Times New Roman"/>
                <w:sz w:val="24"/>
                <w:szCs w:val="24"/>
                <w:lang w:val="en-US" w:eastAsia="zh-CN"/>
              </w:rPr>
              <w:t>排入污泥池内进行浓缩处理后，经压滤机脱水处理形成得泥饼量约为</w:t>
            </w:r>
            <w:r>
              <w:rPr>
                <w:rFonts w:hint="eastAsia" w:cs="Times New Roman"/>
                <w:sz w:val="24"/>
                <w:szCs w:val="24"/>
                <w:lang w:val="en-US" w:eastAsia="zh-CN"/>
              </w:rPr>
              <w:t>1.5098</w:t>
            </w:r>
            <w:r>
              <w:rPr>
                <w:rFonts w:hint="default" w:ascii="Times New Roman" w:hAnsi="Times New Roman" w:eastAsia="宋体" w:cs="Times New Roman"/>
                <w:sz w:val="24"/>
                <w:szCs w:val="24"/>
                <w:lang w:val="en-US" w:eastAsia="zh-CN"/>
              </w:rPr>
              <w:t>t/a（含水量75%）。</w:t>
            </w:r>
            <w:r>
              <w:rPr>
                <w:rFonts w:hint="default" w:ascii="Times New Roman" w:hAnsi="Times New Roman" w:cs="Times New Roman"/>
                <w:sz w:val="24"/>
                <w:szCs w:val="24"/>
                <w:lang w:val="en-US" w:eastAsia="zh-CN"/>
              </w:rPr>
              <w:t>栅渣</w:t>
            </w:r>
            <w:r>
              <w:rPr>
                <w:rFonts w:hint="eastAsia" w:cs="Times New Roman"/>
                <w:sz w:val="24"/>
                <w:szCs w:val="24"/>
                <w:lang w:val="en-US" w:eastAsia="zh-CN"/>
              </w:rPr>
              <w:t>和</w:t>
            </w:r>
            <w:r>
              <w:rPr>
                <w:rFonts w:hint="default" w:ascii="Times New Roman" w:hAnsi="Times New Roman" w:eastAsia="宋体" w:cs="Times New Roman"/>
                <w:sz w:val="24"/>
                <w:szCs w:val="24"/>
                <w:lang w:val="en-US" w:eastAsia="zh-CN"/>
              </w:rPr>
              <w:t>泥饼</w:t>
            </w:r>
            <w:r>
              <w:rPr>
                <w:rFonts w:hint="default" w:ascii="Times New Roman" w:hAnsi="Times New Roman" w:cs="Times New Roman"/>
                <w:sz w:val="24"/>
                <w:szCs w:val="24"/>
                <w:lang w:val="en-US" w:eastAsia="zh-CN"/>
              </w:rPr>
              <w:t>外售给</w:t>
            </w:r>
            <w:r>
              <w:rPr>
                <w:rFonts w:hint="eastAsia" w:cs="Times New Roman"/>
                <w:sz w:val="24"/>
                <w:szCs w:val="24"/>
                <w:lang w:val="en-US" w:eastAsia="zh-CN"/>
              </w:rPr>
              <w:t>附近菜农作农肥</w:t>
            </w:r>
            <w:r>
              <w:rPr>
                <w:rFonts w:hint="default" w:ascii="Times New Roman" w:hAnsi="Times New Roman" w:eastAsia="宋体" w:cs="Times New Roman"/>
                <w:sz w:val="24"/>
                <w:szCs w:val="24"/>
                <w:lang w:val="en-US" w:eastAsia="zh-CN"/>
              </w:rPr>
              <w:t>。项目废弃物汇总见表</w:t>
            </w:r>
            <w:r>
              <w:rPr>
                <w:rFonts w:hint="default" w:ascii="Times New Roman" w:hAnsi="Times New Roman" w:cs="Times New Roman"/>
                <w:sz w:val="24"/>
                <w:szCs w:val="24"/>
                <w:lang w:val="en-US" w:eastAsia="zh-CN"/>
              </w:rPr>
              <w:t>4-1</w:t>
            </w:r>
            <w:r>
              <w:rPr>
                <w:rFonts w:hint="eastAsia" w:cs="Times New Roman"/>
                <w:sz w:val="24"/>
                <w:szCs w:val="24"/>
                <w:lang w:val="en-US" w:eastAsia="zh-CN"/>
              </w:rPr>
              <w:t>7</w:t>
            </w:r>
            <w:r>
              <w:rPr>
                <w:rFonts w:hint="default" w:ascii="Times New Roman" w:hAnsi="Times New Roman" w:eastAsia="宋体" w:cs="Times New Roman"/>
                <w:sz w:val="24"/>
                <w:szCs w:val="24"/>
                <w:lang w:val="en-US" w:eastAsia="zh-CN"/>
              </w:rPr>
              <w:t>：</w:t>
            </w:r>
          </w:p>
          <w:p w14:paraId="519C729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jc w:val="center"/>
              <w:textAlignment w:val="auto"/>
              <w:rPr>
                <w:rStyle w:val="42"/>
                <w:rFonts w:hint="default" w:ascii="Times New Roman" w:hAnsi="Times New Roman" w:cs="Times New Roman"/>
                <w:b/>
                <w:bCs/>
                <w:sz w:val="21"/>
                <w:szCs w:val="21"/>
                <w:lang w:val="en-US" w:eastAsia="zh-CN"/>
              </w:rPr>
            </w:pPr>
            <w:r>
              <w:rPr>
                <w:rStyle w:val="41"/>
                <w:rFonts w:hint="default" w:ascii="Times New Roman" w:hAnsi="Times New Roman" w:cs="Times New Roman"/>
                <w:b/>
                <w:bCs/>
                <w:sz w:val="21"/>
                <w:szCs w:val="21"/>
                <w:lang w:val="en-US" w:eastAsia="zh-CN"/>
              </w:rPr>
              <w:t>表4-1</w:t>
            </w:r>
            <w:r>
              <w:rPr>
                <w:rStyle w:val="41"/>
                <w:rFonts w:hint="eastAsia" w:cs="Times New Roman"/>
                <w:b/>
                <w:bCs/>
                <w:sz w:val="21"/>
                <w:szCs w:val="21"/>
                <w:lang w:val="en-US" w:eastAsia="zh-CN"/>
              </w:rPr>
              <w:t>7</w:t>
            </w:r>
            <w:r>
              <w:rPr>
                <w:rStyle w:val="41"/>
                <w:rFonts w:hint="default" w:ascii="Times New Roman" w:hAnsi="Times New Roman" w:cs="Times New Roman"/>
                <w:b/>
                <w:bCs/>
                <w:sz w:val="21"/>
                <w:szCs w:val="21"/>
                <w:lang w:val="en-US" w:eastAsia="zh-CN"/>
              </w:rPr>
              <w:t xml:space="preserve"> 固体废物分析结果汇总表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
              <w:gridCol w:w="1238"/>
              <w:gridCol w:w="678"/>
              <w:gridCol w:w="904"/>
              <w:gridCol w:w="606"/>
              <w:gridCol w:w="1313"/>
              <w:gridCol w:w="606"/>
              <w:gridCol w:w="2104"/>
            </w:tblGrid>
            <w:tr w14:paraId="4EF0B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Align w:val="center"/>
                </w:tcPr>
                <w:p w14:paraId="0E6E9D6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序号</w:t>
                  </w:r>
                </w:p>
              </w:tc>
              <w:tc>
                <w:tcPr>
                  <w:tcW w:w="1322" w:type="pct"/>
                  <w:gridSpan w:val="2"/>
                  <w:vAlign w:val="center"/>
                </w:tcPr>
                <w:p w14:paraId="1E6979E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固废名称</w:t>
                  </w:r>
                </w:p>
              </w:tc>
              <w:tc>
                <w:tcPr>
                  <w:tcW w:w="627" w:type="pct"/>
                  <w:vAlign w:val="center"/>
                </w:tcPr>
                <w:p w14:paraId="024951A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产生量t/a</w:t>
                  </w:r>
                </w:p>
              </w:tc>
              <w:tc>
                <w:tcPr>
                  <w:tcW w:w="438" w:type="pct"/>
                  <w:vAlign w:val="center"/>
                </w:tcPr>
                <w:p w14:paraId="58896EB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固废属性</w:t>
                  </w:r>
                </w:p>
              </w:tc>
              <w:tc>
                <w:tcPr>
                  <w:tcW w:w="438" w:type="pct"/>
                  <w:vAlign w:val="center"/>
                </w:tcPr>
                <w:p w14:paraId="1E6B6AA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固废代码</w:t>
                  </w:r>
                </w:p>
              </w:tc>
              <w:tc>
                <w:tcPr>
                  <w:tcW w:w="438" w:type="pct"/>
                  <w:vAlign w:val="center"/>
                </w:tcPr>
                <w:p w14:paraId="45AC65E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物理性状</w:t>
                  </w:r>
                </w:p>
              </w:tc>
              <w:tc>
                <w:tcPr>
                  <w:tcW w:w="1384" w:type="pct"/>
                  <w:vAlign w:val="center"/>
                </w:tcPr>
                <w:p w14:paraId="6B8996E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治理措施及去向</w:t>
                  </w:r>
                </w:p>
              </w:tc>
            </w:tr>
            <w:tr w14:paraId="454CB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Align w:val="center"/>
                </w:tcPr>
                <w:p w14:paraId="455710A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322" w:type="pct"/>
                  <w:gridSpan w:val="2"/>
                  <w:vAlign w:val="center"/>
                </w:tcPr>
                <w:p w14:paraId="540035E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生活垃圾</w:t>
                  </w:r>
                </w:p>
              </w:tc>
              <w:tc>
                <w:tcPr>
                  <w:tcW w:w="627" w:type="pct"/>
                  <w:vAlign w:val="center"/>
                </w:tcPr>
                <w:p w14:paraId="35E541D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2.25</w:t>
                  </w:r>
                </w:p>
              </w:tc>
              <w:tc>
                <w:tcPr>
                  <w:tcW w:w="438" w:type="pct"/>
                  <w:vAlign w:val="center"/>
                </w:tcPr>
                <w:p w14:paraId="6389726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438" w:type="pct"/>
                  <w:vAlign w:val="center"/>
                </w:tcPr>
                <w:p w14:paraId="7A62B46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c>
                <w:tcPr>
                  <w:tcW w:w="438" w:type="pct"/>
                  <w:vAlign w:val="center"/>
                </w:tcPr>
                <w:p w14:paraId="4EA02B1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固态</w:t>
                  </w:r>
                </w:p>
              </w:tc>
              <w:tc>
                <w:tcPr>
                  <w:tcW w:w="1384" w:type="pct"/>
                  <w:vAlign w:val="center"/>
                </w:tcPr>
                <w:p w14:paraId="55B232B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厂区垃圾收纳于垃圾房，定期清运至垃圾站。</w:t>
                  </w:r>
                </w:p>
              </w:tc>
            </w:tr>
            <w:tr w14:paraId="77441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Merge w:val="restart"/>
                  <w:vAlign w:val="center"/>
                </w:tcPr>
                <w:p w14:paraId="03B9AC7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38" w:type="pct"/>
                  <w:vMerge w:val="restart"/>
                  <w:vAlign w:val="center"/>
                </w:tcPr>
                <w:p w14:paraId="2A6AB96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屠宰固体废物</w:t>
                  </w:r>
                  <w:r>
                    <w:rPr>
                      <w:rFonts w:hint="default" w:ascii="Times New Roman" w:hAnsi="Times New Roman" w:cs="Times New Roman"/>
                      <w:color w:val="auto"/>
                      <w:sz w:val="21"/>
                      <w:szCs w:val="21"/>
                      <w:vertAlign w:val="baseline"/>
                      <w:lang w:val="en-US" w:eastAsia="zh-CN"/>
                    </w:rPr>
                    <w:t>1095t/a</w:t>
                  </w:r>
                </w:p>
              </w:tc>
              <w:tc>
                <w:tcPr>
                  <w:tcW w:w="484" w:type="pct"/>
                  <w:vAlign w:val="center"/>
                </w:tcPr>
                <w:p w14:paraId="3F19CE9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不合格病肉</w:t>
                  </w:r>
                </w:p>
              </w:tc>
              <w:tc>
                <w:tcPr>
                  <w:tcW w:w="627" w:type="pct"/>
                  <w:vAlign w:val="center"/>
                </w:tcPr>
                <w:p w14:paraId="2D680D0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432.525</w:t>
                  </w:r>
                </w:p>
              </w:tc>
              <w:tc>
                <w:tcPr>
                  <w:tcW w:w="438" w:type="pct"/>
                  <w:vAlign w:val="center"/>
                </w:tcPr>
                <w:p w14:paraId="0148FFE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c>
                <w:tcPr>
                  <w:tcW w:w="438" w:type="pct"/>
                  <w:vAlign w:val="center"/>
                </w:tcPr>
                <w:p w14:paraId="1A7787E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030-002-S82</w:t>
                  </w:r>
                </w:p>
              </w:tc>
              <w:tc>
                <w:tcPr>
                  <w:tcW w:w="438" w:type="pct"/>
                  <w:vMerge w:val="restart"/>
                  <w:vAlign w:val="center"/>
                </w:tcPr>
                <w:p w14:paraId="2E01FB6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固态</w:t>
                  </w:r>
                </w:p>
              </w:tc>
              <w:tc>
                <w:tcPr>
                  <w:tcW w:w="1384" w:type="pct"/>
                  <w:vMerge w:val="restart"/>
                  <w:vAlign w:val="center"/>
                </w:tcPr>
                <w:p w14:paraId="5438344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送往当地无害化处理企业无害化处理。</w:t>
                  </w:r>
                </w:p>
              </w:tc>
            </w:tr>
            <w:tr w14:paraId="73BC3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Merge w:val="continue"/>
                  <w:vAlign w:val="center"/>
                </w:tcPr>
                <w:p w14:paraId="30E1C53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sz w:val="21"/>
                      <w:szCs w:val="21"/>
                    </w:rPr>
                  </w:pPr>
                </w:p>
              </w:tc>
              <w:tc>
                <w:tcPr>
                  <w:tcW w:w="838" w:type="pct"/>
                  <w:vMerge w:val="continue"/>
                  <w:vAlign w:val="center"/>
                </w:tcPr>
                <w:p w14:paraId="605667C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vAlign w:val="center"/>
                </w:tcPr>
                <w:p w14:paraId="745FDF6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病死猪</w:t>
                  </w:r>
                </w:p>
              </w:tc>
              <w:tc>
                <w:tcPr>
                  <w:tcW w:w="627" w:type="pct"/>
                  <w:vAlign w:val="center"/>
                </w:tcPr>
                <w:p w14:paraId="5A3C0F4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5.475</w:t>
                  </w:r>
                </w:p>
              </w:tc>
              <w:tc>
                <w:tcPr>
                  <w:tcW w:w="438" w:type="pct"/>
                  <w:vAlign w:val="center"/>
                </w:tcPr>
                <w:p w14:paraId="75C2D84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c>
                <w:tcPr>
                  <w:tcW w:w="438" w:type="pct"/>
                  <w:vAlign w:val="center"/>
                </w:tcPr>
                <w:p w14:paraId="19F4748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030-002-S82</w:t>
                  </w:r>
                </w:p>
              </w:tc>
              <w:tc>
                <w:tcPr>
                  <w:tcW w:w="438" w:type="pct"/>
                  <w:vMerge w:val="continue"/>
                  <w:vAlign w:val="center"/>
                </w:tcPr>
                <w:p w14:paraId="261395C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c>
                <w:tcPr>
                  <w:tcW w:w="1384" w:type="pct"/>
                  <w:vMerge w:val="continue"/>
                  <w:vAlign w:val="center"/>
                </w:tcPr>
                <w:p w14:paraId="0218EE3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r>
            <w:tr w14:paraId="23E85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Merge w:val="continue"/>
                  <w:vAlign w:val="center"/>
                </w:tcPr>
                <w:p w14:paraId="2C14F1A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c>
                <w:tcPr>
                  <w:tcW w:w="838" w:type="pct"/>
                  <w:vMerge w:val="continue"/>
                  <w:vAlign w:val="center"/>
                </w:tcPr>
                <w:p w14:paraId="7D222CC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vAlign w:val="center"/>
                </w:tcPr>
                <w:p w14:paraId="0EBC9C6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肠胃内容物</w:t>
                  </w:r>
                </w:p>
              </w:tc>
              <w:tc>
                <w:tcPr>
                  <w:tcW w:w="627" w:type="pct"/>
                  <w:vAlign w:val="center"/>
                </w:tcPr>
                <w:p w14:paraId="45F9680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547.5</w:t>
                  </w:r>
                </w:p>
              </w:tc>
              <w:tc>
                <w:tcPr>
                  <w:tcW w:w="438" w:type="pct"/>
                  <w:vAlign w:val="center"/>
                </w:tcPr>
                <w:p w14:paraId="1B7C9624">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一般固废</w:t>
                  </w:r>
                </w:p>
              </w:tc>
              <w:tc>
                <w:tcPr>
                  <w:tcW w:w="438" w:type="pct"/>
                  <w:vAlign w:val="center"/>
                </w:tcPr>
                <w:p w14:paraId="2691556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030-003-S82</w:t>
                  </w:r>
                </w:p>
              </w:tc>
              <w:tc>
                <w:tcPr>
                  <w:tcW w:w="438" w:type="pct"/>
                  <w:vMerge w:val="continue"/>
                  <w:vAlign w:val="center"/>
                </w:tcPr>
                <w:p w14:paraId="3BE7EC3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c>
                <w:tcPr>
                  <w:tcW w:w="1384" w:type="pct"/>
                  <w:vMerge w:val="restart"/>
                  <w:vAlign w:val="center"/>
                </w:tcPr>
                <w:p w14:paraId="5073AB5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作为原料外售到有机肥料厂。</w:t>
                  </w:r>
                </w:p>
              </w:tc>
            </w:tr>
            <w:tr w14:paraId="62067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Merge w:val="continue"/>
                  <w:vAlign w:val="center"/>
                </w:tcPr>
                <w:p w14:paraId="175A0C5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c>
                <w:tcPr>
                  <w:tcW w:w="838" w:type="pct"/>
                  <w:vMerge w:val="continue"/>
                  <w:vAlign w:val="center"/>
                </w:tcPr>
                <w:p w14:paraId="6BABD7D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c>
                <w:tcPr>
                  <w:tcW w:w="484" w:type="pct"/>
                  <w:vAlign w:val="center"/>
                </w:tcPr>
                <w:p w14:paraId="2BDFC3A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猪粪</w:t>
                  </w:r>
                </w:p>
              </w:tc>
              <w:tc>
                <w:tcPr>
                  <w:tcW w:w="627" w:type="pct"/>
                  <w:vAlign w:val="center"/>
                </w:tcPr>
                <w:p w14:paraId="434758B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109.5</w:t>
                  </w:r>
                </w:p>
              </w:tc>
              <w:tc>
                <w:tcPr>
                  <w:tcW w:w="438" w:type="pct"/>
                  <w:vAlign w:val="center"/>
                </w:tcPr>
                <w:p w14:paraId="0D3E8D0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一般固废</w:t>
                  </w:r>
                </w:p>
              </w:tc>
              <w:tc>
                <w:tcPr>
                  <w:tcW w:w="438" w:type="pct"/>
                  <w:vAlign w:val="center"/>
                </w:tcPr>
                <w:p w14:paraId="3199D08F">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030-001-S82</w:t>
                  </w:r>
                </w:p>
              </w:tc>
              <w:tc>
                <w:tcPr>
                  <w:tcW w:w="438" w:type="pct"/>
                  <w:vAlign w:val="center"/>
                </w:tcPr>
                <w:p w14:paraId="0754F7D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384" w:type="pct"/>
                  <w:vMerge w:val="continue"/>
                  <w:vAlign w:val="center"/>
                </w:tcPr>
                <w:p w14:paraId="0652074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r>
            <w:tr w14:paraId="0A98A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Align w:val="center"/>
                </w:tcPr>
                <w:p w14:paraId="2C893668">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322" w:type="pct"/>
                  <w:gridSpan w:val="2"/>
                  <w:vAlign w:val="center"/>
                </w:tcPr>
                <w:p w14:paraId="2804D64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栅渣</w:t>
                  </w:r>
                </w:p>
              </w:tc>
              <w:tc>
                <w:tcPr>
                  <w:tcW w:w="627" w:type="pct"/>
                  <w:vAlign w:val="center"/>
                </w:tcPr>
                <w:p w14:paraId="698EAF0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3.6</w:t>
                  </w:r>
                </w:p>
              </w:tc>
              <w:tc>
                <w:tcPr>
                  <w:tcW w:w="438" w:type="pct"/>
                  <w:vAlign w:val="center"/>
                </w:tcPr>
                <w:p w14:paraId="7E82184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一般固废</w:t>
                  </w:r>
                </w:p>
              </w:tc>
              <w:tc>
                <w:tcPr>
                  <w:tcW w:w="438" w:type="pct"/>
                  <w:vAlign w:val="center"/>
                </w:tcPr>
                <w:p w14:paraId="6BA3D19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135-001-S13</w:t>
                  </w:r>
                </w:p>
              </w:tc>
              <w:tc>
                <w:tcPr>
                  <w:tcW w:w="438" w:type="pct"/>
                  <w:vAlign w:val="center"/>
                </w:tcPr>
                <w:p w14:paraId="10158DC9">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384" w:type="pct"/>
                  <w:vMerge w:val="restart"/>
                  <w:vAlign w:val="center"/>
                </w:tcPr>
                <w:p w14:paraId="4F0A8D0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外售</w:t>
                  </w:r>
                  <w:r>
                    <w:rPr>
                      <w:rFonts w:hint="eastAsia" w:cs="Times New Roman"/>
                      <w:color w:val="auto"/>
                      <w:sz w:val="21"/>
                      <w:szCs w:val="21"/>
                      <w:vertAlign w:val="baseline"/>
                      <w:lang w:val="en-US" w:eastAsia="zh-CN"/>
                    </w:rPr>
                    <w:t>给附近菜农作农肥</w:t>
                  </w:r>
                  <w:r>
                    <w:rPr>
                      <w:rFonts w:hint="default" w:ascii="Times New Roman" w:hAnsi="Times New Roman" w:eastAsia="宋体" w:cs="Times New Roman"/>
                      <w:color w:val="auto"/>
                      <w:sz w:val="21"/>
                      <w:szCs w:val="21"/>
                      <w:vertAlign w:val="baseline"/>
                      <w:lang w:val="en-US" w:eastAsia="zh-CN"/>
                    </w:rPr>
                    <w:t>。</w:t>
                  </w:r>
                </w:p>
              </w:tc>
            </w:tr>
            <w:tr w14:paraId="51CCD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0" w:type="pct"/>
                  <w:vAlign w:val="center"/>
                </w:tcPr>
                <w:p w14:paraId="196494F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1322" w:type="pct"/>
                  <w:gridSpan w:val="2"/>
                  <w:vAlign w:val="center"/>
                </w:tcPr>
                <w:p w14:paraId="38B225F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泥饼</w:t>
                  </w:r>
                </w:p>
              </w:tc>
              <w:tc>
                <w:tcPr>
                  <w:tcW w:w="627" w:type="pct"/>
                  <w:vAlign w:val="center"/>
                </w:tcPr>
                <w:p w14:paraId="176644F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1.5098</w:t>
                  </w:r>
                </w:p>
              </w:tc>
              <w:tc>
                <w:tcPr>
                  <w:tcW w:w="438" w:type="pct"/>
                  <w:vAlign w:val="center"/>
                </w:tcPr>
                <w:p w14:paraId="4261701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一般固废</w:t>
                  </w:r>
                </w:p>
              </w:tc>
              <w:tc>
                <w:tcPr>
                  <w:tcW w:w="438" w:type="pct"/>
                  <w:vAlign w:val="center"/>
                </w:tcPr>
                <w:p w14:paraId="432952BA">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135-001-S07</w:t>
                  </w:r>
                </w:p>
              </w:tc>
              <w:tc>
                <w:tcPr>
                  <w:tcW w:w="438" w:type="pct"/>
                  <w:vAlign w:val="center"/>
                </w:tcPr>
                <w:p w14:paraId="7C2D61B0">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384" w:type="pct"/>
                  <w:vMerge w:val="continue"/>
                  <w:vAlign w:val="center"/>
                </w:tcPr>
                <w:p w14:paraId="330D7E71">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ind w:left="0" w:leftChars="0" w:right="0"/>
                    <w:jc w:val="center"/>
                    <w:textAlignment w:val="auto"/>
                    <w:rPr>
                      <w:rFonts w:hint="default" w:ascii="Times New Roman" w:hAnsi="Times New Roman" w:eastAsia="宋体" w:cs="Times New Roman"/>
                      <w:color w:val="auto"/>
                      <w:sz w:val="21"/>
                      <w:szCs w:val="21"/>
                      <w:vertAlign w:val="baseline"/>
                      <w:lang w:val="en-US" w:eastAsia="zh-CN"/>
                    </w:rPr>
                  </w:pPr>
                </w:p>
              </w:tc>
            </w:tr>
          </w:tbl>
          <w:p w14:paraId="0594E75C">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cs="Times New Roman"/>
                <w:color w:val="auto"/>
                <w:sz w:val="24"/>
                <w:lang w:val="en-US" w:eastAsia="zh-CN"/>
              </w:rPr>
            </w:pPr>
            <w:r>
              <w:rPr>
                <w:rFonts w:hint="default" w:ascii="Times New Roman" w:hAnsi="Times New Roman" w:eastAsia="宋体" w:cs="Times New Roman"/>
                <w:color w:val="auto"/>
                <w:sz w:val="24"/>
                <w:lang w:val="en-US" w:eastAsia="zh-CN"/>
              </w:rPr>
              <w:t>综上，项目产生的固体废弃物经上述措施处理后，去向明确，对周围环境基本无影响</w:t>
            </w:r>
            <w:r>
              <w:rPr>
                <w:rFonts w:hint="default" w:ascii="Times New Roman" w:hAnsi="Times New Roman" w:cs="Times New Roman"/>
                <w:color w:val="auto"/>
                <w:sz w:val="24"/>
                <w:lang w:val="en-US" w:eastAsia="zh-CN"/>
              </w:rPr>
              <w:t>。</w:t>
            </w:r>
          </w:p>
          <w:p w14:paraId="4B432B9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2" w:firstLineChars="200"/>
              <w:jc w:val="left"/>
              <w:textAlignment w:val="auto"/>
              <w:rPr>
                <w:rFonts w:hint="default" w:ascii="Times New Roman" w:hAnsi="Times New Roman" w:eastAsia="宋体" w:cs="Times New Roman"/>
                <w:b/>
                <w:bCs/>
                <w:color w:val="auto"/>
                <w:sz w:val="24"/>
                <w:lang w:val="en-US" w:eastAsia="zh-CN"/>
              </w:rPr>
            </w:pPr>
            <w:r>
              <w:rPr>
                <w:rFonts w:hint="default" w:ascii="Times New Roman" w:hAnsi="Times New Roman" w:cs="Times New Roman"/>
                <w:b/>
                <w:bCs/>
                <w:color w:val="auto"/>
                <w:sz w:val="24"/>
                <w:lang w:val="en-US" w:eastAsia="zh-CN"/>
              </w:rPr>
              <w:t>4、</w:t>
            </w:r>
            <w:r>
              <w:rPr>
                <w:rFonts w:hint="default" w:ascii="Times New Roman" w:hAnsi="Times New Roman" w:eastAsia="宋体" w:cs="Times New Roman"/>
                <w:b/>
                <w:bCs/>
                <w:color w:val="auto"/>
                <w:sz w:val="24"/>
                <w:lang w:val="en-US" w:eastAsia="zh-CN"/>
              </w:rPr>
              <w:t>固体废物管理要求</w:t>
            </w:r>
          </w:p>
          <w:p w14:paraId="25B9E7BB">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val="0"/>
                <w:bCs w:val="0"/>
                <w:color w:val="auto"/>
                <w:sz w:val="24"/>
                <w:szCs w:val="24"/>
              </w:rPr>
              <w:t>一般固废暂存措施</w:t>
            </w:r>
            <w:r>
              <w:rPr>
                <w:rFonts w:hint="eastAsia" w:ascii="宋体" w:hAnsi="宋体" w:eastAsia="宋体" w:cs="宋体"/>
                <w:b w:val="0"/>
                <w:bCs w:val="0"/>
                <w:color w:val="auto"/>
                <w:sz w:val="24"/>
                <w:szCs w:val="24"/>
                <w:lang w:val="en-US" w:eastAsia="zh-CN"/>
              </w:rPr>
              <w:t>:</w:t>
            </w:r>
            <w:r>
              <w:rPr>
                <w:rFonts w:hint="default" w:ascii="Times New Roman" w:hAnsi="Times New Roman" w:eastAsia="宋体" w:cs="Times New Roman"/>
                <w:color w:val="auto"/>
                <w:sz w:val="24"/>
                <w:szCs w:val="24"/>
              </w:rPr>
              <w:t>本环评要求建设单位按《一般工业固体废物贮存和填埋污染控制标准》（GB18599-2020）的相关要求建立一般固废暂存</w:t>
            </w:r>
            <w:r>
              <w:rPr>
                <w:rFonts w:hint="default" w:ascii="Times New Roman" w:hAnsi="Times New Roman" w:eastAsia="宋体" w:cs="Times New Roman"/>
                <w:color w:val="auto"/>
                <w:sz w:val="24"/>
                <w:szCs w:val="24"/>
                <w:lang w:eastAsia="zh-CN"/>
              </w:rPr>
              <w:t>处</w:t>
            </w:r>
            <w:r>
              <w:rPr>
                <w:rFonts w:hint="default" w:ascii="Times New Roman" w:hAnsi="Times New Roman" w:eastAsia="宋体" w:cs="Times New Roman"/>
                <w:color w:val="auto"/>
                <w:sz w:val="24"/>
                <w:szCs w:val="24"/>
              </w:rPr>
              <w:t>，不得随处堆放。临时堆放的地面与裙角要用</w:t>
            </w:r>
            <w:r>
              <w:rPr>
                <w:rFonts w:hint="eastAsia" w:cs="Times New Roman"/>
                <w:color w:val="auto"/>
                <w:sz w:val="24"/>
                <w:szCs w:val="24"/>
                <w:lang w:val="en-US" w:eastAsia="zh-CN"/>
              </w:rPr>
              <w:t>坚</w:t>
            </w:r>
            <w:r>
              <w:rPr>
                <w:rFonts w:hint="default" w:ascii="Times New Roman" w:hAnsi="Times New Roman" w:eastAsia="宋体" w:cs="Times New Roman"/>
                <w:color w:val="auto"/>
                <w:sz w:val="24"/>
                <w:szCs w:val="24"/>
              </w:rPr>
              <w:t>固、防渗的建筑材料建造，基础必须防渗，应设计建造径流疏导系统，保证能防止暴雨不会流到临时堆放的场所。临时堆放场所要防风、防雨、防晒，设置周围应设置围墙并做好密闭处理，禁止危险废物及生活垃</w:t>
            </w:r>
            <w:r>
              <w:rPr>
                <w:rFonts w:hint="eastAsia" w:cs="Times New Roman"/>
                <w:color w:val="auto"/>
                <w:sz w:val="24"/>
                <w:szCs w:val="24"/>
                <w:lang w:val="en-US" w:eastAsia="zh-CN"/>
              </w:rPr>
              <w:t>圾</w:t>
            </w:r>
            <w:r>
              <w:rPr>
                <w:rFonts w:hint="default" w:ascii="Times New Roman" w:hAnsi="Times New Roman" w:eastAsia="宋体" w:cs="Times New Roman"/>
                <w:color w:val="auto"/>
                <w:sz w:val="24"/>
                <w:szCs w:val="24"/>
              </w:rPr>
              <w:t>混入。</w:t>
            </w:r>
            <w:r>
              <w:rPr>
                <w:rFonts w:hint="default" w:ascii="Times New Roman" w:hAnsi="Times New Roman" w:eastAsia="宋体" w:cs="Times New Roman"/>
                <w:color w:val="auto"/>
                <w:sz w:val="24"/>
                <w:szCs w:val="24"/>
                <w:lang w:eastAsia="zh-CN"/>
              </w:rPr>
              <w:t>一般固废</w:t>
            </w:r>
            <w:r>
              <w:rPr>
                <w:rFonts w:hint="default" w:ascii="Times New Roman" w:hAnsi="Times New Roman" w:eastAsia="宋体" w:cs="Times New Roman"/>
                <w:color w:val="auto"/>
                <w:sz w:val="24"/>
                <w:szCs w:val="24"/>
              </w:rPr>
              <w:t>贮存场所应按</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环境保护图形标志 固体废物贮存（处置）场</w:t>
            </w:r>
            <w:r>
              <w:rPr>
                <w:rFonts w:hint="eastAsia" w:ascii="宋体" w:hAnsi="宋体" w:cs="宋体"/>
                <w:color w:val="auto"/>
                <w:sz w:val="24"/>
                <w:szCs w:val="24"/>
                <w:lang w:val="en-US" w:eastAsia="zh-CN"/>
              </w:rPr>
              <w:t>（含2023修改单）</w:t>
            </w:r>
            <w:r>
              <w:rPr>
                <w:rFonts w:hint="eastAsia" w:ascii="宋体" w:hAnsi="宋体" w:eastAsia="宋体" w:cs="宋体"/>
                <w:color w:val="auto"/>
                <w:sz w:val="24"/>
                <w:szCs w:val="24"/>
                <w:lang w:eastAsia="zh-CN"/>
              </w:rPr>
              <w:t>》（</w:t>
            </w:r>
            <w:r>
              <w:rPr>
                <w:rFonts w:hint="default" w:ascii="Times New Roman" w:hAnsi="Times New Roman" w:eastAsia="宋体" w:cs="Times New Roman"/>
                <w:color w:val="auto"/>
                <w:sz w:val="24"/>
                <w:szCs w:val="24"/>
              </w:rPr>
              <w:t>GB15562.2</w:t>
            </w:r>
            <w:r>
              <w:rPr>
                <w:rFonts w:hint="eastAsia" w:cs="Times New Roman"/>
                <w:color w:val="auto"/>
                <w:sz w:val="24"/>
                <w:szCs w:val="24"/>
                <w:lang w:val="en-US" w:eastAsia="zh-CN"/>
              </w:rPr>
              <w:t>-1995）</w:t>
            </w:r>
            <w:r>
              <w:rPr>
                <w:rFonts w:hint="default" w:ascii="Times New Roman" w:hAnsi="Times New Roman" w:eastAsia="宋体" w:cs="Times New Roman"/>
                <w:color w:val="auto"/>
                <w:sz w:val="24"/>
                <w:szCs w:val="24"/>
              </w:rPr>
              <w:t>设置环境保护图形标志，并建立出入档案，便于核查。</w:t>
            </w:r>
          </w:p>
          <w:p w14:paraId="22EFCD66">
            <w:pPr>
              <w:pageBreakBefore w:val="0"/>
              <w:wordWrap/>
              <w:overflowPunct/>
              <w:adjustRightInd w:val="0"/>
              <w:snapToGrid w:val="0"/>
              <w:spacing w:beforeAutospacing="0" w:afterAutospacing="0" w:line="360" w:lineRule="auto"/>
              <w:ind w:left="0" w:leftChars="0" w:right="0" w:firstLine="480" w:firstLineChars="200"/>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牲畜粪便以及肠胃内容物中含有大量的有机物和氮、磷、钾等营养物质，本项目固体废物处理处置将遵循环境健康风险预防、安全无害以及固体废物减量化、资源化、无害化及生态化的原则。肠胃内容物及粪便采用密闭专用容器收集，外售给有机肥料厂作为原料。员工生活垃圾则经过收集后定期清运。</w:t>
            </w:r>
          </w:p>
          <w:p w14:paraId="56E4686D">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综上所述，本项目运营期固体废物污染防治措施经济技术可行，可以实现固体废物的100%无害化处理。</w:t>
            </w:r>
          </w:p>
          <w:p w14:paraId="2C7A5D6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cs="Times New Roman"/>
                <w:b/>
                <w:bCs/>
                <w:color w:val="auto"/>
                <w:kern w:val="2"/>
                <w:sz w:val="24"/>
                <w:szCs w:val="24"/>
                <w:lang w:val="en-US" w:eastAsia="zh-CN" w:bidi="ar-SA"/>
              </w:rPr>
              <w:t>五</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sz w:val="24"/>
                <w:lang w:val="en-US" w:eastAsia="zh-CN"/>
              </w:rPr>
              <w:t>地下水</w:t>
            </w:r>
            <w:r>
              <w:rPr>
                <w:rFonts w:hint="default" w:ascii="Times New Roman" w:hAnsi="Times New Roman" w:cs="Times New Roman"/>
                <w:b/>
                <w:bCs/>
                <w:color w:val="auto"/>
                <w:sz w:val="24"/>
                <w:lang w:val="en-US" w:eastAsia="zh-CN"/>
              </w:rPr>
              <w:t>环境影响分析</w:t>
            </w:r>
          </w:p>
          <w:p w14:paraId="16AA270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根据</w:t>
            </w:r>
            <w:r>
              <w:rPr>
                <w:rFonts w:hint="default" w:ascii="Times New Roman" w:hAnsi="Times New Roman" w:eastAsia="宋体" w:cs="Times New Roman"/>
                <w:b w:val="0"/>
                <w:bCs w:val="0"/>
                <w:color w:val="auto"/>
                <w:sz w:val="24"/>
                <w:lang w:val="en-US" w:eastAsia="zh-CN"/>
              </w:rPr>
              <w:t>《</w:t>
            </w:r>
            <w:r>
              <w:rPr>
                <w:rFonts w:hint="default" w:ascii="Times New Roman" w:hAnsi="Times New Roman" w:cs="Times New Roman"/>
                <w:b w:val="0"/>
                <w:bCs w:val="0"/>
                <w:color w:val="auto"/>
                <w:sz w:val="24"/>
                <w:lang w:val="en-US" w:eastAsia="zh-CN"/>
              </w:rPr>
              <w:t>环境影响评价技术导则地下水环境</w:t>
            </w:r>
            <w:r>
              <w:rPr>
                <w:rFonts w:hint="default" w:ascii="Times New Roman" w:hAnsi="Times New Roman" w:eastAsia="宋体" w:cs="Times New Roman"/>
                <w:b w:val="0"/>
                <w:bCs w:val="0"/>
                <w:color w:val="auto"/>
                <w:sz w:val="24"/>
                <w:lang w:val="en-US" w:eastAsia="zh-CN"/>
              </w:rPr>
              <w:t>》</w:t>
            </w:r>
            <w:r>
              <w:rPr>
                <w:rFonts w:hint="default" w:ascii="Times New Roman" w:hAnsi="Times New Roman" w:cs="Times New Roman"/>
                <w:b w:val="0"/>
                <w:bCs w:val="0"/>
                <w:color w:val="auto"/>
                <w:sz w:val="24"/>
                <w:lang w:val="en-US" w:eastAsia="zh-CN"/>
              </w:rPr>
              <w:t>（HJ610-2016），本项目属于N轻工98屠宰的其他类项目，属</w:t>
            </w:r>
            <w:r>
              <w:rPr>
                <w:rFonts w:hint="default" w:ascii="Times New Roman" w:hAnsi="Times New Roman" w:eastAsia="宋体" w:cs="Times New Roman"/>
                <w:b w:val="0"/>
                <w:bCs w:val="0"/>
                <w:color w:val="auto"/>
                <w:sz w:val="24"/>
                <w:lang w:val="en-US" w:eastAsia="zh-CN"/>
              </w:rPr>
              <w:t>Ⅳ</w:t>
            </w:r>
            <w:r>
              <w:rPr>
                <w:rFonts w:hint="default" w:ascii="Times New Roman" w:hAnsi="Times New Roman" w:cs="Times New Roman"/>
                <w:b w:val="0"/>
                <w:bCs w:val="0"/>
                <w:color w:val="auto"/>
                <w:sz w:val="24"/>
                <w:lang w:val="en-US" w:eastAsia="zh-CN"/>
              </w:rPr>
              <w:t>类项目，可不进行地下水环境影响评价。本次只针对项目可能造成的地下水污染影响提出措施。</w:t>
            </w:r>
          </w:p>
          <w:p w14:paraId="4416B88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本项目用水全部为自来水，</w:t>
            </w:r>
            <w:r>
              <w:rPr>
                <w:rFonts w:hint="eastAsia" w:cs="Times New Roman"/>
                <w:b w:val="0"/>
                <w:bCs w:val="0"/>
                <w:color w:val="auto"/>
                <w:sz w:val="24"/>
                <w:lang w:val="en-US" w:eastAsia="zh-CN"/>
              </w:rPr>
              <w:t>生活污水</w:t>
            </w:r>
            <w:r>
              <w:rPr>
                <w:rFonts w:hint="default" w:ascii="Times New Roman" w:hAnsi="Times New Roman" w:cs="Times New Roman"/>
                <w:b w:val="0"/>
                <w:bCs w:val="0"/>
                <w:color w:val="auto"/>
                <w:sz w:val="24"/>
                <w:lang w:val="en-US" w:eastAsia="zh-CN"/>
              </w:rPr>
              <w:t>经过化粪池处理，与生产废水一同经过厂区污水处理设施预处理后，前期通过槽罐车运输，后期通过污水管网排入南岳区污水处理厂处理，不再对外排放废水，所以本项目对周围居民日常生活无影响，不影响居民的饮水。该项目产生的固体废物和污水，如果管理不善，会因渗漏而污染地下水。</w:t>
            </w:r>
          </w:p>
          <w:p w14:paraId="03AE3C3B">
            <w:pPr>
              <w:keepNext w:val="0"/>
              <w:keepLines w:val="0"/>
              <w:pageBreakBefore w:val="0"/>
              <w:widowControl w:val="0"/>
              <w:numPr>
                <w:ilvl w:val="0"/>
                <w:numId w:val="0"/>
              </w:numPr>
              <w:tabs>
                <w:tab w:val="left" w:pos="783"/>
              </w:tabs>
              <w:kinsoku/>
              <w:wordWrap/>
              <w:overflowPunct/>
              <w:topLinePunct w:val="0"/>
              <w:autoSpaceDE/>
              <w:autoSpaceDN/>
              <w:bidi w:val="0"/>
              <w:adjustRightInd/>
              <w:snapToGrid/>
              <w:spacing w:beforeAutospacing="0" w:afterAutospacing="0" w:line="360" w:lineRule="auto"/>
              <w:ind w:leftChars="200" w:right="0" w:rightChars="0"/>
              <w:textAlignment w:val="auto"/>
              <w:rPr>
                <w:rFonts w:hint="default" w:ascii="Times New Roman" w:hAnsi="Times New Roman" w:cs="Times New Roman"/>
                <w:b w:val="0"/>
                <w:bCs w:val="0"/>
                <w:color w:val="auto"/>
                <w:sz w:val="24"/>
                <w:lang w:val="en-US" w:eastAsia="zh-CN"/>
              </w:rPr>
            </w:pPr>
            <w:r>
              <w:rPr>
                <w:rFonts w:hint="eastAsia" w:cs="Times New Roman"/>
                <w:b w:val="0"/>
                <w:bCs w:val="0"/>
                <w:color w:val="auto"/>
                <w:sz w:val="24"/>
                <w:lang w:val="en-US" w:eastAsia="zh-CN"/>
              </w:rPr>
              <w:t>（1）</w:t>
            </w:r>
            <w:r>
              <w:rPr>
                <w:rFonts w:hint="default" w:ascii="Times New Roman" w:hAnsi="Times New Roman" w:cs="Times New Roman"/>
                <w:b w:val="0"/>
                <w:bCs w:val="0"/>
                <w:color w:val="auto"/>
                <w:sz w:val="24"/>
                <w:lang w:val="en-US" w:eastAsia="zh-CN"/>
              </w:rPr>
              <w:t>污水的渗漏</w:t>
            </w:r>
          </w:p>
          <w:p w14:paraId="4ACC6CD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该项目产生的生产废水如果渗漏下排，少量经过土壤过滤、吸附、离子交换、沉淀、水解及生物积累等过程使污水中一些物质得到去除外，其</w:t>
            </w:r>
            <w:r>
              <w:rPr>
                <w:rFonts w:hint="eastAsia" w:cs="Times New Roman"/>
                <w:b w:val="0"/>
                <w:bCs w:val="0"/>
                <w:color w:val="auto"/>
                <w:sz w:val="24"/>
                <w:lang w:val="en-US" w:eastAsia="zh-CN"/>
              </w:rPr>
              <w:t>他</w:t>
            </w:r>
            <w:r>
              <w:rPr>
                <w:rFonts w:hint="default" w:ascii="Times New Roman" w:hAnsi="Times New Roman" w:cs="Times New Roman"/>
                <w:b w:val="0"/>
                <w:bCs w:val="0"/>
                <w:color w:val="auto"/>
                <w:sz w:val="24"/>
                <w:lang w:val="en-US" w:eastAsia="zh-CN"/>
              </w:rPr>
              <w:t>污染物全部渗入地下。污水中含有COD、BOD</w:t>
            </w:r>
            <w:r>
              <w:rPr>
                <w:rFonts w:hint="default" w:ascii="Times New Roman" w:hAnsi="Times New Roman" w:cs="Times New Roman"/>
                <w:b w:val="0"/>
                <w:bCs w:val="0"/>
                <w:color w:val="auto"/>
                <w:sz w:val="24"/>
                <w:vertAlign w:val="subscript"/>
                <w:lang w:val="en-US" w:eastAsia="zh-CN"/>
              </w:rPr>
              <w:t>5</w:t>
            </w:r>
            <w:r>
              <w:rPr>
                <w:rFonts w:hint="default" w:ascii="Times New Roman" w:hAnsi="Times New Roman" w:cs="Times New Roman"/>
                <w:b w:val="0"/>
                <w:bCs w:val="0"/>
                <w:color w:val="auto"/>
                <w:sz w:val="24"/>
                <w:lang w:val="en-US" w:eastAsia="zh-CN"/>
              </w:rPr>
              <w:t>、SS、NH</w:t>
            </w:r>
            <w:r>
              <w:rPr>
                <w:rFonts w:hint="default" w:ascii="Times New Roman" w:hAnsi="Times New Roman" w:cs="Times New Roman"/>
                <w:b w:val="0"/>
                <w:bCs w:val="0"/>
                <w:color w:val="auto"/>
                <w:sz w:val="24"/>
                <w:vertAlign w:val="subscript"/>
                <w:lang w:val="en-US" w:eastAsia="zh-CN"/>
              </w:rPr>
              <w:t>3</w:t>
            </w:r>
            <w:r>
              <w:rPr>
                <w:rFonts w:hint="default" w:ascii="Times New Roman" w:hAnsi="Times New Roman" w:cs="Times New Roman"/>
                <w:b w:val="0"/>
                <w:bCs w:val="0"/>
                <w:color w:val="auto"/>
                <w:sz w:val="24"/>
                <w:lang w:val="en-US" w:eastAsia="zh-CN"/>
              </w:rPr>
              <w:t>-N、肠胃病菌和寄生虫卵等多种污染因子，若该项目生产废水下渗污染地下水体，会给建设区域及其下游人民的生产及生活带来一定的影响。</w:t>
            </w:r>
          </w:p>
          <w:p w14:paraId="2A000DF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（2</w:t>
            </w:r>
            <w:r>
              <w:rPr>
                <w:rFonts w:hint="eastAsia" w:cs="Times New Roman"/>
                <w:b w:val="0"/>
                <w:bCs w:val="0"/>
                <w:color w:val="auto"/>
                <w:sz w:val="24"/>
                <w:lang w:val="en-US" w:eastAsia="zh-CN"/>
              </w:rPr>
              <w:t>）</w:t>
            </w:r>
            <w:r>
              <w:rPr>
                <w:rFonts w:hint="default" w:ascii="Times New Roman" w:hAnsi="Times New Roman" w:cs="Times New Roman"/>
                <w:b w:val="0"/>
                <w:bCs w:val="0"/>
                <w:color w:val="auto"/>
                <w:sz w:val="24"/>
                <w:lang w:val="en-US" w:eastAsia="zh-CN"/>
              </w:rPr>
              <w:t>固体废弃物的渗漏</w:t>
            </w:r>
          </w:p>
          <w:p w14:paraId="1CA1218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拟建项目产生的固体废弃物主要为生产过程中产生的碎肉及碎骨、病胴体、牲畜粪便以及生活垃圾等。本项目生产过程中产生的碎骨、病胴体、牲畜粪便均属于可降解有机物，其在自然腐烂的过程中会放出大量热，使作物嫩芽死亡，降低作物产量。</w:t>
            </w:r>
          </w:p>
          <w:p w14:paraId="29724D5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同时，病胴体、牲畜粪便等携带有病毒、病菌的传播源，随雨水的淋溶作用渗入地下，污染地下水。</w:t>
            </w:r>
          </w:p>
          <w:p w14:paraId="0E23C97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生活垃圾中含有25%的水份，堆存过程中能渗透溶出，渗透液中主要污染因子是氨氮，浓度平均值约220mg/l。因此，生活垃圾应集中管理处置，送往垃圾站。</w:t>
            </w:r>
          </w:p>
          <w:p w14:paraId="58308D9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为保护该区地下水，建议该项目采取以下措施：</w:t>
            </w:r>
          </w:p>
          <w:p w14:paraId="23B1200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（1）源头控制措施</w:t>
            </w:r>
          </w:p>
          <w:p w14:paraId="6BA2625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eastAsiaTheme="minorEastAsia"/>
                <w:b w:val="0"/>
                <w:bCs w:val="0"/>
                <w:color w:val="auto"/>
                <w:sz w:val="24"/>
                <w:lang w:val="en-US" w:eastAsia="zh-CN"/>
              </w:rPr>
            </w:pPr>
            <w:r>
              <w:rPr>
                <w:rFonts w:hint="default" w:ascii="Times New Roman" w:hAnsi="Times New Roman" w:cs="Times New Roman" w:eastAsiaTheme="minorEastAsia"/>
                <w:b w:val="0"/>
                <w:bCs w:val="0"/>
                <w:color w:val="auto"/>
                <w:sz w:val="24"/>
                <w:lang w:val="en-US" w:eastAsia="zh-CN"/>
              </w:rPr>
              <w:t>①提高清洁生产水平，减少污染物产生量；</w:t>
            </w:r>
          </w:p>
          <w:p w14:paraId="0232D60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②加强污水管道的维护和管理，防止废水在输送前往污水处理厂的过程中渗漏滴出和非正常排放，将污染物泄漏的环境风险事故降到最低限度；</w:t>
            </w:r>
          </w:p>
          <w:p w14:paraId="2E22ABF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③固化生产厂区地面，特殊点加上防渗，基本可以控制其渗漏下渗污染；</w:t>
            </w:r>
          </w:p>
          <w:p w14:paraId="4FD4D1BB">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④加强管理，责任到人，加强施工设计和施工管理，严控施工质量，防止废水收集管网出现渗漏下渗问题。</w:t>
            </w:r>
          </w:p>
          <w:p w14:paraId="57208C1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（3）</w:t>
            </w:r>
            <w:r>
              <w:rPr>
                <w:rFonts w:hint="default" w:ascii="Times New Roman" w:hAnsi="Times New Roman" w:eastAsia="宋体" w:cs="Times New Roman"/>
                <w:b w:val="0"/>
                <w:bCs w:val="0"/>
                <w:color w:val="auto"/>
                <w:sz w:val="24"/>
                <w:lang w:val="en-US" w:eastAsia="zh-CN"/>
              </w:rPr>
              <w:t>分区防治措施</w:t>
            </w:r>
          </w:p>
          <w:p w14:paraId="746F11D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本项目</w:t>
            </w:r>
            <w:r>
              <w:rPr>
                <w:rFonts w:hint="eastAsia" w:cs="Times New Roman"/>
                <w:b w:val="0"/>
                <w:bCs w:val="0"/>
                <w:color w:val="auto"/>
                <w:sz w:val="24"/>
                <w:lang w:val="en-US" w:eastAsia="zh-CN"/>
              </w:rPr>
              <w:t>根据</w:t>
            </w:r>
            <w:r>
              <w:rPr>
                <w:rFonts w:hint="default" w:ascii="Times New Roman" w:hAnsi="Times New Roman" w:eastAsia="宋体" w:cs="Times New Roman"/>
                <w:b w:val="0"/>
                <w:bCs w:val="0"/>
                <w:color w:val="auto"/>
                <w:sz w:val="24"/>
                <w:lang w:val="en-US" w:eastAsia="zh-CN"/>
              </w:rPr>
              <w:t>污染物的</w:t>
            </w:r>
            <w:r>
              <w:rPr>
                <w:rFonts w:hint="eastAsia" w:cs="Times New Roman"/>
                <w:b w:val="0"/>
                <w:bCs w:val="0"/>
                <w:color w:val="auto"/>
                <w:sz w:val="24"/>
                <w:lang w:val="en-US" w:eastAsia="zh-CN"/>
              </w:rPr>
              <w:t>泄漏</w:t>
            </w:r>
            <w:r>
              <w:rPr>
                <w:rFonts w:hint="default" w:ascii="Times New Roman" w:hAnsi="Times New Roman" w:eastAsia="宋体" w:cs="Times New Roman"/>
                <w:b w:val="0"/>
                <w:bCs w:val="0"/>
                <w:color w:val="auto"/>
                <w:sz w:val="24"/>
                <w:lang w:val="en-US" w:eastAsia="zh-CN"/>
              </w:rPr>
              <w:t>的途径和生产功能单元所处的位置，采取分区防渗措施，将厂区划分为重点污染防治区、一般污染防治区和简单污染防治区。</w:t>
            </w:r>
          </w:p>
          <w:p w14:paraId="220CBF8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eastAsiaTheme="minorEastAsia"/>
                <w:b w:val="0"/>
                <w:bCs w:val="0"/>
                <w:color w:val="auto"/>
                <w:sz w:val="24"/>
                <w:vertAlign w:val="baseline"/>
                <w:lang w:val="en-US" w:eastAsia="zh-CN"/>
              </w:rPr>
            </w:pPr>
            <w:r>
              <w:rPr>
                <w:rFonts w:hint="default" w:ascii="Times New Roman" w:hAnsi="Times New Roman" w:cs="Times New Roman" w:eastAsiaTheme="minorEastAsia"/>
                <w:b w:val="0"/>
                <w:bCs w:val="0"/>
                <w:color w:val="auto"/>
                <w:sz w:val="24"/>
                <w:lang w:val="en-US" w:eastAsia="zh-CN"/>
              </w:rPr>
              <w:t>①重点污染防治区采取粘土铺底，再在上层铺设10~15cm的防渗混凝土进行硬化，并铺设环氧树脂。</w:t>
            </w:r>
          </w:p>
          <w:p w14:paraId="1F03EA3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eastAsiaTheme="minorEastAsia"/>
                <w:b w:val="0"/>
                <w:bCs w:val="0"/>
                <w:color w:val="auto"/>
                <w:sz w:val="24"/>
                <w:vertAlign w:val="baseline"/>
                <w:lang w:val="en-US" w:eastAsia="zh-CN"/>
              </w:rPr>
            </w:pPr>
            <w:r>
              <w:rPr>
                <w:rFonts w:hint="default" w:ascii="Times New Roman" w:hAnsi="Times New Roman" w:cs="Times New Roman" w:eastAsiaTheme="minorEastAsia"/>
                <w:b w:val="0"/>
                <w:bCs w:val="0"/>
                <w:color w:val="auto"/>
                <w:sz w:val="24"/>
                <w:vertAlign w:val="baseline"/>
                <w:lang w:val="en-US" w:eastAsia="zh-CN"/>
              </w:rPr>
              <w:t>②一般污染防治区地面采取粘土铺底，再在上层铺10~15cm的防渗混凝土进行硬化。</w:t>
            </w:r>
          </w:p>
          <w:p w14:paraId="569F111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eastAsiaTheme="minorEastAsia"/>
                <w:b w:val="0"/>
                <w:bCs w:val="0"/>
                <w:color w:val="auto"/>
                <w:sz w:val="24"/>
                <w:vertAlign w:val="baseline"/>
                <w:lang w:val="en-US" w:eastAsia="zh-CN"/>
              </w:rPr>
            </w:pPr>
            <w:r>
              <w:rPr>
                <w:rFonts w:hint="default" w:ascii="Times New Roman" w:hAnsi="Times New Roman" w:cs="Times New Roman" w:eastAsiaTheme="minorEastAsia"/>
                <w:b w:val="0"/>
                <w:bCs w:val="0"/>
                <w:color w:val="auto"/>
                <w:sz w:val="24"/>
                <w:vertAlign w:val="baseline"/>
                <w:lang w:val="en-US" w:eastAsia="zh-CN"/>
              </w:rPr>
              <w:t>③简单防渗透区可采取非铺砌地坪或普通混凝土地坪，不设置专门的防渗层。</w:t>
            </w:r>
          </w:p>
          <w:p w14:paraId="02B532D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eastAsiaTheme="minorEastAsia"/>
                <w:b w:val="0"/>
                <w:bCs w:val="0"/>
                <w:color w:val="auto"/>
                <w:sz w:val="24"/>
                <w:vertAlign w:val="baseline"/>
                <w:lang w:val="en-US" w:eastAsia="zh-CN"/>
              </w:rPr>
            </w:pPr>
            <w:r>
              <w:rPr>
                <w:rFonts w:hint="default" w:ascii="Times New Roman" w:hAnsi="Times New Roman" w:cs="Times New Roman" w:eastAsiaTheme="minorEastAsia"/>
                <w:b w:val="0"/>
                <w:bCs w:val="0"/>
                <w:color w:val="auto"/>
                <w:sz w:val="24"/>
                <w:vertAlign w:val="baseline"/>
                <w:lang w:val="en-US" w:eastAsia="zh-CN"/>
              </w:rPr>
              <w:t>项目对可能产生地下水影响的各项途径均采取有效预防，在确保各项防渗措施得以落实，并在加强维护和厂区环境管理的前提下，可有效控制厂区内的废水污染物下渗现象，避免污染地下水，因此本项目不会对区域地下水环境产生明显影响。</w:t>
            </w:r>
          </w:p>
          <w:p w14:paraId="09A8737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kern w:val="2"/>
                <w:sz w:val="24"/>
                <w:szCs w:val="24"/>
                <w:lang w:val="en-US" w:eastAsia="zh-CN" w:bidi="ar-SA"/>
              </w:rPr>
              <w:t>六、</w:t>
            </w:r>
            <w:r>
              <w:rPr>
                <w:rFonts w:hint="default" w:ascii="Times New Roman" w:hAnsi="Times New Roman" w:eastAsia="宋体" w:cs="Times New Roman"/>
                <w:b/>
                <w:bCs/>
                <w:color w:val="auto"/>
                <w:sz w:val="24"/>
                <w:lang w:val="en-US" w:eastAsia="zh-CN"/>
              </w:rPr>
              <w:t>生态</w:t>
            </w:r>
          </w:p>
          <w:p w14:paraId="78133C8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本项目位于衡阳</w:t>
            </w:r>
            <w:r>
              <w:rPr>
                <w:rFonts w:hint="default" w:ascii="Times New Roman" w:hAnsi="Times New Roman" w:cs="Times New Roman"/>
                <w:b w:val="0"/>
                <w:bCs w:val="0"/>
                <w:color w:val="auto"/>
                <w:sz w:val="24"/>
                <w:lang w:val="en-US" w:eastAsia="zh-CN"/>
              </w:rPr>
              <w:t>市南岳区南岳镇烧田村上粮组</w:t>
            </w:r>
            <w:r>
              <w:rPr>
                <w:rFonts w:hint="default" w:ascii="Times New Roman" w:hAnsi="Times New Roman" w:eastAsia="宋体" w:cs="Times New Roman"/>
                <w:b w:val="0"/>
                <w:bCs w:val="0"/>
                <w:color w:val="auto"/>
                <w:sz w:val="24"/>
                <w:lang w:val="en-US" w:eastAsia="zh-CN"/>
              </w:rPr>
              <w:t>。项目评价范围无珍稀、濒危保护野生动植物物种分布。根据现场勘测，项目位于</w:t>
            </w:r>
            <w:r>
              <w:rPr>
                <w:rFonts w:hint="default" w:ascii="Times New Roman" w:hAnsi="Times New Roman" w:cs="Times New Roman"/>
                <w:b w:val="0"/>
                <w:bCs w:val="0"/>
                <w:color w:val="auto"/>
                <w:sz w:val="24"/>
                <w:lang w:val="en-US" w:eastAsia="zh-CN"/>
              </w:rPr>
              <w:t>城镇开发边界外</w:t>
            </w:r>
            <w:r>
              <w:rPr>
                <w:rFonts w:hint="default" w:ascii="Times New Roman" w:hAnsi="Times New Roman" w:eastAsia="宋体" w:cs="Times New Roman"/>
                <w:b w:val="0"/>
                <w:bCs w:val="0"/>
                <w:color w:val="auto"/>
                <w:sz w:val="24"/>
                <w:lang w:val="en-US" w:eastAsia="zh-CN"/>
              </w:rPr>
              <w:t>，</w:t>
            </w:r>
            <w:r>
              <w:rPr>
                <w:rFonts w:hint="default" w:ascii="Times New Roman" w:hAnsi="Times New Roman" w:cs="Times New Roman"/>
                <w:b w:val="0"/>
                <w:bCs w:val="0"/>
                <w:color w:val="auto"/>
                <w:sz w:val="24"/>
                <w:lang w:val="en-US" w:eastAsia="zh-CN"/>
              </w:rPr>
              <w:t>位于村庄建设区</w:t>
            </w:r>
            <w:r>
              <w:rPr>
                <w:rFonts w:hint="default" w:ascii="Times New Roman" w:hAnsi="Times New Roman" w:eastAsia="宋体" w:cs="Times New Roman"/>
                <w:b w:val="0"/>
                <w:bCs w:val="0"/>
                <w:color w:val="auto"/>
                <w:sz w:val="24"/>
                <w:lang w:val="en-US" w:eastAsia="zh-CN"/>
              </w:rPr>
              <w:t>，无历史文化遗址和风景名胜区等需要特别保护的文化遗产、自然遗产和自然景观。无国家重点保护植物，无古树名木，无国家珍稀保护动物。项目建设对周边的生态环境不会产生明显的影响。</w:t>
            </w:r>
          </w:p>
          <w:p w14:paraId="6996A74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七、环境风险</w:t>
            </w:r>
          </w:p>
          <w:p w14:paraId="655ABCF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环境风险评价的目的是分析和预测建设项目存在的潜在危险、有害因素，建设项目建设和运行期间可能发生的突发事件或事故</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一般不包括人为破坏及自然灾害</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，引起有毒有害、易燃易爆等物质</w:t>
            </w:r>
            <w:r>
              <w:rPr>
                <w:rFonts w:hint="eastAsia" w:cs="Times New Roman"/>
                <w:b w:val="0"/>
                <w:bCs w:val="0"/>
                <w:color w:val="auto"/>
                <w:sz w:val="24"/>
                <w:lang w:val="en-US" w:eastAsia="zh-CN"/>
              </w:rPr>
              <w:t>泄漏</w:t>
            </w:r>
            <w:r>
              <w:rPr>
                <w:rFonts w:hint="default" w:ascii="Times New Roman" w:hAnsi="Times New Roman" w:eastAsia="宋体" w:cs="Times New Roman"/>
                <w:b w:val="0"/>
                <w:bCs w:val="0"/>
                <w:color w:val="auto"/>
                <w:sz w:val="24"/>
                <w:lang w:val="en-US" w:eastAsia="zh-CN"/>
              </w:rPr>
              <w:t>，或突发事件产生的新的有毒有害物质，所造成的对人身安全与环境的影响和损害程度，提出合理可行的防范、应急与减缓措施，以使建设项目事故率、损失和环境影响达到可接受水平。</w:t>
            </w:r>
            <w:r>
              <w:rPr>
                <w:rFonts w:hint="default" w:ascii="Times New Roman" w:hAnsi="Times New Roman" w:cs="Times New Roman"/>
                <w:b w:val="0"/>
                <w:bCs w:val="0"/>
                <w:color w:val="auto"/>
                <w:sz w:val="24"/>
                <w:lang w:val="en-US" w:eastAsia="zh-CN"/>
              </w:rPr>
              <w:t>本项目运营期间可能会出现以下风险：</w:t>
            </w:r>
          </w:p>
          <w:p w14:paraId="15E05C56">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①废气除臭不及时，恶臭长时间排放，影响周边大气环境和居民健康。</w:t>
            </w:r>
          </w:p>
          <w:p w14:paraId="733BB77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②污水管道泄漏，屠宰废水直接排出，污染周边水环境，影响居民用水安全。</w:t>
            </w:r>
          </w:p>
          <w:p w14:paraId="612F3E3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③药剂泄漏，危害工作人员身体健康甚至生命安全。</w:t>
            </w:r>
          </w:p>
          <w:p w14:paraId="31D8946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④危废存放不当，可能由于病害猪产生疫情。</w:t>
            </w:r>
          </w:p>
          <w:p w14:paraId="29AC3AD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本项目运营期间应保障有毒有害物质、危险化学品能够得到保管严密监控严格，废气准时使用生物除臭剂除臭，厂区定期消毒，废水、药剂防渗防漏措施严格执行，危废存放不能影响厂区生产，相关管理人员分工到位、责任到人且经受过安全培训。</w:t>
            </w:r>
          </w:p>
          <w:p w14:paraId="0C70C9D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综上所述，本项目落实各风险防范措施后风险处于完全可接受的水平，其风险管理措施有效、可靠，从防范风险角度分析是可行的。</w:t>
            </w:r>
          </w:p>
          <w:p w14:paraId="6FC12A6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cs="Times New Roman"/>
                <w:b/>
                <w:bCs/>
                <w:color w:val="auto"/>
                <w:sz w:val="24"/>
                <w:lang w:val="en-US" w:eastAsia="zh-CN"/>
              </w:rPr>
              <w:t>1、</w:t>
            </w:r>
            <w:r>
              <w:rPr>
                <w:rFonts w:hint="default" w:ascii="Times New Roman" w:hAnsi="Times New Roman" w:eastAsia="宋体" w:cs="Times New Roman"/>
                <w:b/>
                <w:bCs/>
                <w:color w:val="auto"/>
                <w:sz w:val="24"/>
                <w:lang w:val="en-US" w:eastAsia="zh-CN"/>
              </w:rPr>
              <w:t>危险物质</w:t>
            </w:r>
          </w:p>
          <w:p w14:paraId="68313F32">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根据《建设项目环境风险评价技术导则》</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HJ169-2018</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附录B重点关注的危险物质及临界量中表B1突发环境事件风险物质及临界量和《危险化学品重大危险源辨识》</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GB18218-2018</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w:t>
            </w:r>
            <w:r>
              <w:rPr>
                <w:rFonts w:hint="default" w:ascii="Times New Roman" w:hAnsi="Times New Roman" w:cs="Times New Roman"/>
                <w:b w:val="0"/>
                <w:bCs w:val="0"/>
                <w:color w:val="auto"/>
                <w:sz w:val="24"/>
                <w:lang w:val="en-US" w:eastAsia="zh-CN"/>
              </w:rPr>
              <w:t>对照</w:t>
            </w:r>
            <w:r>
              <w:rPr>
                <w:rFonts w:hint="default" w:ascii="Times New Roman" w:hAnsi="Times New Roman" w:eastAsia="宋体" w:cs="Times New Roman"/>
                <w:b w:val="0"/>
                <w:bCs w:val="0"/>
                <w:color w:val="auto"/>
                <w:sz w:val="24"/>
                <w:lang w:val="en-US" w:eastAsia="zh-CN"/>
              </w:rPr>
              <w:t>本项目</w:t>
            </w:r>
            <w:r>
              <w:rPr>
                <w:rFonts w:hint="default" w:ascii="Times New Roman" w:hAnsi="Times New Roman" w:cs="Times New Roman"/>
                <w:b w:val="0"/>
                <w:bCs w:val="0"/>
                <w:color w:val="auto"/>
                <w:sz w:val="24"/>
                <w:lang w:val="en-US" w:eastAsia="zh-CN"/>
              </w:rPr>
              <w:t>使用的原辅材料得本项目风险物质为次氯酸钠，临界储存量为Qn=5t。厂内的次氯酸钠年用量q为0.3t，可计算得本项目厂内Q=q/Qn=0.06</w:t>
            </w:r>
            <w:r>
              <w:rPr>
                <w:rFonts w:hint="default" w:ascii="Times New Roman" w:hAnsi="Times New Roman" w:cs="Times New Roman"/>
                <w:color w:val="000000"/>
                <w:sz w:val="24"/>
                <w:szCs w:val="24"/>
                <w:u w:val="none"/>
              </w:rPr>
              <w:t>＜1</w:t>
            </w:r>
            <w:r>
              <w:rPr>
                <w:rFonts w:hint="default" w:ascii="Times New Roman" w:hAnsi="Times New Roman" w:cs="Times New Roman"/>
                <w:color w:val="000000"/>
                <w:sz w:val="24"/>
                <w:szCs w:val="24"/>
                <w:u w:val="none"/>
                <w:lang w:eastAsia="zh-CN"/>
              </w:rPr>
              <w:t>，</w:t>
            </w:r>
            <w:r>
              <w:rPr>
                <w:rFonts w:hint="default" w:ascii="Times New Roman" w:hAnsi="Times New Roman" w:cs="Times New Roman"/>
                <w:color w:val="000000"/>
                <w:sz w:val="24"/>
                <w:szCs w:val="24"/>
                <w:u w:val="none"/>
                <w:lang w:val="en-US" w:eastAsia="zh-CN"/>
              </w:rPr>
              <w:t>环境风险评价等级为简单分析。</w:t>
            </w:r>
          </w:p>
          <w:p w14:paraId="141EA593">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2、环境风险评估</w:t>
            </w:r>
          </w:p>
          <w:p w14:paraId="15CEEC97">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color w:val="auto"/>
                <w:kern w:val="0"/>
                <w:sz w:val="24"/>
                <w:szCs w:val="24"/>
                <w:lang w:val="en-US" w:eastAsia="zh-CN" w:bidi="ar-SA"/>
              </w:rPr>
            </w:pPr>
            <w:r>
              <w:rPr>
                <w:rFonts w:hint="default" w:ascii="Times New Roman" w:hAnsi="Times New Roman" w:cs="Times New Roman"/>
                <w:b w:val="0"/>
                <w:bCs w:val="0"/>
                <w:color w:val="auto"/>
                <w:kern w:val="0"/>
                <w:sz w:val="24"/>
                <w:szCs w:val="24"/>
                <w:lang w:val="en-US" w:eastAsia="zh-CN" w:bidi="ar-SA"/>
              </w:rPr>
              <w:t>结合项目工艺特点，综合考虑物料数量、性状及危险特性，本项目风险事故隐患较大风险主要为（1）药剂泄漏风险事故；（2）污水处理设施非正常运行；（3）牲畜突发疫情。</w:t>
            </w:r>
          </w:p>
          <w:p w14:paraId="2D64748D">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240" w:firstLineChars="100"/>
              <w:textAlignment w:val="auto"/>
              <w:rPr>
                <w:rFonts w:hint="default" w:ascii="Times New Roman" w:hAnsi="Times New Roman"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（1)</w:t>
            </w:r>
            <w:r>
              <w:rPr>
                <w:rFonts w:hint="default" w:ascii="Times New Roman" w:hAnsi="Times New Roman" w:cs="Times New Roman"/>
                <w:b w:val="0"/>
                <w:bCs w:val="0"/>
                <w:color w:val="auto"/>
                <w:kern w:val="0"/>
                <w:sz w:val="24"/>
                <w:szCs w:val="24"/>
                <w:lang w:val="en-US" w:eastAsia="zh-CN" w:bidi="ar-SA"/>
              </w:rPr>
              <w:t>药剂泄漏风险分析</w:t>
            </w:r>
          </w:p>
          <w:p w14:paraId="04518458">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b w:val="0"/>
                <w:bCs w:val="0"/>
                <w:color w:val="auto"/>
                <w:kern w:val="0"/>
                <w:sz w:val="24"/>
                <w:szCs w:val="24"/>
                <w:lang w:val="en-US" w:eastAsia="zh-CN" w:bidi="ar-SA"/>
              </w:rPr>
            </w:pPr>
            <w:r>
              <w:rPr>
                <w:rFonts w:hint="default" w:ascii="Times New Roman" w:hAnsi="Times New Roman" w:cs="Times New Roman"/>
                <w:b w:val="0"/>
                <w:bCs w:val="0"/>
                <w:color w:val="auto"/>
                <w:kern w:val="0"/>
                <w:sz w:val="24"/>
                <w:szCs w:val="24"/>
                <w:lang w:val="en-US" w:eastAsia="zh-CN" w:bidi="ar-SA"/>
              </w:rPr>
              <w:t>消毒剂泄漏导致化学品进入地下水体和地表水体，存在一定程度的污染地下水和地表水环境的风险隐患。石灰水具有腐蚀性，次氯酸钠会导致手掌大量出汗，指甲变薄，毛发脱落</w:t>
            </w:r>
            <w:r>
              <w:rPr>
                <w:rFonts w:hint="eastAsia" w:ascii="宋体" w:hAnsi="宋体" w:eastAsia="宋体" w:cs="宋体"/>
                <w:b w:val="0"/>
                <w:bCs w:val="0"/>
                <w:color w:val="auto"/>
                <w:kern w:val="0"/>
                <w:sz w:val="24"/>
                <w:szCs w:val="24"/>
                <w:lang w:val="en-US" w:eastAsia="zh-CN" w:bidi="ar-SA"/>
              </w:rPr>
              <w:t>;</w:t>
            </w:r>
            <w:r>
              <w:rPr>
                <w:rFonts w:hint="default" w:ascii="Times New Roman" w:hAnsi="Times New Roman" w:cs="Times New Roman"/>
                <w:b w:val="0"/>
                <w:bCs w:val="0"/>
                <w:color w:val="auto"/>
                <w:kern w:val="0"/>
                <w:sz w:val="24"/>
                <w:szCs w:val="24"/>
                <w:lang w:val="en-US" w:eastAsia="zh-CN" w:bidi="ar-SA"/>
              </w:rPr>
              <w:t>游离氯可能引起中毒，且与有机物或还原剂相混易爆炸</w:t>
            </w:r>
          </w:p>
          <w:p w14:paraId="74F983E2">
            <w:pPr>
              <w:pStyle w:val="11"/>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w:t>
            </w:r>
            <w:r>
              <w:rPr>
                <w:rFonts w:hint="default" w:ascii="Times New Roman" w:hAnsi="Times New Roman" w:cs="Times New Roman"/>
                <w:b w:val="0"/>
                <w:bCs w:val="0"/>
                <w:color w:val="auto"/>
                <w:kern w:val="0"/>
                <w:sz w:val="24"/>
                <w:szCs w:val="24"/>
                <w:lang w:val="en-US" w:eastAsia="zh-CN" w:bidi="ar-SA"/>
              </w:rPr>
              <w:t>2</w:t>
            </w:r>
            <w:r>
              <w:rPr>
                <w:rFonts w:hint="default" w:ascii="Times New Roman" w:hAnsi="Times New Roman" w:eastAsia="宋体" w:cs="Times New Roman"/>
                <w:b w:val="0"/>
                <w:bCs w:val="0"/>
                <w:color w:val="auto"/>
                <w:kern w:val="0"/>
                <w:sz w:val="24"/>
                <w:szCs w:val="24"/>
                <w:lang w:val="en-US" w:eastAsia="zh-CN" w:bidi="ar-SA"/>
              </w:rPr>
              <w:t>）</w:t>
            </w:r>
            <w:r>
              <w:rPr>
                <w:rFonts w:hint="default" w:ascii="Times New Roman" w:hAnsi="Times New Roman" w:cs="Times New Roman"/>
                <w:b w:val="0"/>
                <w:bCs w:val="0"/>
                <w:color w:val="auto"/>
                <w:kern w:val="0"/>
                <w:sz w:val="24"/>
                <w:szCs w:val="24"/>
                <w:lang w:val="en-US" w:eastAsia="zh-CN" w:bidi="ar-SA"/>
              </w:rPr>
              <w:t>污水处理设施非正常运行:</w:t>
            </w:r>
          </w:p>
          <w:p w14:paraId="4C66C45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kern w:val="0"/>
                <w:sz w:val="24"/>
                <w:szCs w:val="24"/>
                <w:lang w:val="en-US" w:eastAsia="zh-CN" w:bidi="ar-SA"/>
              </w:rPr>
            </w:pPr>
            <w:r>
              <w:rPr>
                <w:rFonts w:hint="default" w:ascii="Times New Roman" w:hAnsi="Times New Roman" w:cs="Times New Roman"/>
                <w:b w:val="0"/>
                <w:bCs w:val="0"/>
                <w:color w:val="auto"/>
                <w:kern w:val="0"/>
                <w:sz w:val="24"/>
                <w:szCs w:val="24"/>
                <w:lang w:val="en-US" w:eastAsia="zh-CN" w:bidi="ar-SA"/>
              </w:rPr>
              <w:t>屠宰废水中主要含有血污、油脂、毛、肉屑、牲畜内脏杂物、未消化的食料和粪便等污染物质，其大多为易于生物降解的有机物。屠宰废水事故排入水体后，会迅速地耗掉水中的溶解氧，造成鱼类和水生生物因缺氧而死亡。同时，由于缺氧还会使水体转变为厌氧状态，使水质恶化、产生臭味。此外，废水中的致病微生物会大量繁殖，危害周边人畜健康。</w:t>
            </w:r>
          </w:p>
          <w:p w14:paraId="07C193BB">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w:t>
            </w:r>
            <w:r>
              <w:rPr>
                <w:rFonts w:hint="default" w:ascii="Times New Roman" w:hAnsi="Times New Roman" w:cs="Times New Roman"/>
                <w:b w:val="0"/>
                <w:bCs w:val="0"/>
                <w:color w:val="auto"/>
                <w:kern w:val="0"/>
                <w:sz w:val="24"/>
                <w:szCs w:val="24"/>
                <w:lang w:val="en-US" w:eastAsia="zh-CN" w:bidi="ar-SA"/>
              </w:rPr>
              <w:t>3</w:t>
            </w:r>
            <w:r>
              <w:rPr>
                <w:rFonts w:hint="default" w:ascii="Times New Roman" w:hAnsi="Times New Roman" w:eastAsia="宋体" w:cs="Times New Roman"/>
                <w:b w:val="0"/>
                <w:bCs w:val="0"/>
                <w:color w:val="auto"/>
                <w:kern w:val="0"/>
                <w:sz w:val="24"/>
                <w:szCs w:val="24"/>
                <w:lang w:val="en-US" w:eastAsia="zh-CN" w:bidi="ar-SA"/>
              </w:rPr>
              <w:t>）</w:t>
            </w:r>
            <w:r>
              <w:rPr>
                <w:rFonts w:hint="default" w:ascii="Times New Roman" w:hAnsi="Times New Roman" w:cs="Times New Roman"/>
                <w:b w:val="0"/>
                <w:bCs w:val="0"/>
                <w:color w:val="auto"/>
                <w:kern w:val="0"/>
                <w:sz w:val="24"/>
                <w:szCs w:val="24"/>
                <w:lang w:val="en-US" w:eastAsia="zh-CN" w:bidi="ar-SA"/>
              </w:rPr>
              <w:t>牲畜突发疫情:</w:t>
            </w:r>
          </w:p>
          <w:p w14:paraId="3B6104E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cs="Times New Roman"/>
                <w:b w:val="0"/>
                <w:bCs w:val="0"/>
                <w:color w:val="auto"/>
                <w:kern w:val="0"/>
                <w:sz w:val="24"/>
                <w:szCs w:val="24"/>
                <w:lang w:val="en-US" w:eastAsia="zh-CN" w:bidi="ar-SA"/>
              </w:rPr>
            </w:pPr>
            <w:r>
              <w:rPr>
                <w:rFonts w:hint="default" w:ascii="Times New Roman" w:hAnsi="Times New Roman" w:cs="Times New Roman"/>
                <w:b w:val="0"/>
                <w:bCs w:val="0"/>
                <w:color w:val="auto"/>
                <w:kern w:val="0"/>
                <w:sz w:val="24"/>
                <w:szCs w:val="24"/>
                <w:lang w:val="en-US" w:eastAsia="zh-CN" w:bidi="ar-SA"/>
              </w:rPr>
              <w:t>牲畜发生传染病或大面积致病，一旦发生传染病将会大量污染，带来不可估量的经济损失，尤其是高传染性疫病如猪瘟、猪流感等，严重危害人体健康。</w:t>
            </w:r>
          </w:p>
          <w:p w14:paraId="042716B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textAlignment w:val="auto"/>
              <w:rPr>
                <w:rFonts w:hint="default" w:ascii="Times New Roman" w:hAnsi="Times New Roman" w:cs="Times New Roman"/>
                <w:b/>
                <w:bCs/>
                <w:color w:val="auto"/>
                <w:kern w:val="0"/>
                <w:sz w:val="24"/>
                <w:szCs w:val="24"/>
                <w:u w:val="none"/>
                <w:lang w:val="en-US" w:eastAsia="zh-CN" w:bidi="ar-SA"/>
              </w:rPr>
            </w:pPr>
            <w:r>
              <w:rPr>
                <w:rFonts w:hint="default" w:ascii="Times New Roman" w:hAnsi="Times New Roman" w:cs="Times New Roman"/>
                <w:b/>
                <w:bCs/>
                <w:color w:val="auto"/>
                <w:kern w:val="0"/>
                <w:sz w:val="24"/>
                <w:szCs w:val="24"/>
                <w:lang w:val="en-US" w:eastAsia="zh-CN" w:bidi="ar-SA"/>
              </w:rPr>
              <w:t>3</w:t>
            </w:r>
            <w:r>
              <w:rPr>
                <w:rFonts w:hint="default" w:ascii="Times New Roman" w:hAnsi="Times New Roman" w:eastAsia="宋体" w:cs="Times New Roman"/>
                <w:b/>
                <w:bCs/>
                <w:color w:val="auto"/>
                <w:kern w:val="0"/>
                <w:sz w:val="24"/>
                <w:szCs w:val="24"/>
                <w:lang w:val="en-US" w:eastAsia="zh-CN" w:bidi="ar-SA"/>
              </w:rPr>
              <w:t>、</w:t>
            </w:r>
            <w:r>
              <w:rPr>
                <w:rFonts w:hint="default" w:ascii="Times New Roman" w:hAnsi="Times New Roman" w:cs="Times New Roman"/>
                <w:b/>
                <w:bCs/>
                <w:color w:val="auto"/>
                <w:kern w:val="0"/>
                <w:sz w:val="24"/>
                <w:szCs w:val="24"/>
                <w:u w:val="none"/>
                <w:lang w:val="en-US" w:eastAsia="zh-CN" w:bidi="ar-SA"/>
              </w:rPr>
              <w:t>风险防范措施</w:t>
            </w:r>
          </w:p>
          <w:p w14:paraId="3307181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（1）</w:t>
            </w:r>
            <w:r>
              <w:rPr>
                <w:rFonts w:hint="default" w:ascii="Times New Roman" w:hAnsi="Times New Roman" w:cs="Times New Roman"/>
                <w:b w:val="0"/>
                <w:bCs w:val="0"/>
                <w:color w:val="auto"/>
                <w:kern w:val="0"/>
                <w:sz w:val="24"/>
                <w:szCs w:val="24"/>
                <w:u w:val="none"/>
                <w:lang w:val="en-US" w:eastAsia="zh-CN" w:bidi="ar-SA"/>
              </w:rPr>
              <w:t>药剂</w:t>
            </w:r>
            <w:r>
              <w:rPr>
                <w:rFonts w:hint="default" w:ascii="Times New Roman" w:hAnsi="Times New Roman" w:eastAsia="宋体" w:cs="Times New Roman"/>
                <w:b w:val="0"/>
                <w:bCs w:val="0"/>
                <w:color w:val="auto"/>
                <w:kern w:val="0"/>
                <w:sz w:val="24"/>
                <w:szCs w:val="24"/>
                <w:u w:val="none"/>
                <w:lang w:val="en-US" w:eastAsia="zh-CN" w:bidi="ar-SA"/>
              </w:rPr>
              <w:t>泄漏防范措施：</w:t>
            </w:r>
          </w:p>
          <w:p w14:paraId="254976D6">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①建立严格的取用制度，取用专人负责，禁止无关人员接触；</w:t>
            </w:r>
          </w:p>
          <w:p w14:paraId="4726519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②将</w:t>
            </w:r>
            <w:r>
              <w:rPr>
                <w:rFonts w:hint="default" w:ascii="Times New Roman" w:hAnsi="Times New Roman" w:cs="Times New Roman"/>
                <w:b w:val="0"/>
                <w:bCs w:val="0"/>
                <w:color w:val="auto"/>
                <w:kern w:val="0"/>
                <w:sz w:val="24"/>
                <w:szCs w:val="24"/>
                <w:u w:val="none"/>
                <w:lang w:val="en-US" w:eastAsia="zh-CN" w:bidi="ar-SA"/>
              </w:rPr>
              <w:t>药剂</w:t>
            </w:r>
            <w:r>
              <w:rPr>
                <w:rFonts w:hint="default" w:ascii="Times New Roman" w:hAnsi="Times New Roman" w:eastAsia="宋体" w:cs="Times New Roman"/>
                <w:b w:val="0"/>
                <w:bCs w:val="0"/>
                <w:color w:val="auto"/>
                <w:kern w:val="0"/>
                <w:sz w:val="24"/>
                <w:szCs w:val="24"/>
                <w:u w:val="none"/>
                <w:lang w:val="en-US" w:eastAsia="zh-CN" w:bidi="ar-SA"/>
              </w:rPr>
              <w:t>存放于阴凉、干燥、通风处，远离火源、热源和易燃物质。同时，确保容器密封良好，防止泄漏。</w:t>
            </w:r>
          </w:p>
          <w:p w14:paraId="564DA92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③泄漏后应立即隔离泄漏污染区，设置警告标识，限制人员出入。</w:t>
            </w:r>
          </w:p>
          <w:p w14:paraId="2CE6D3E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④应急处理人员应穿戴好防毒面具、化学防护服等防护装备。</w:t>
            </w:r>
            <w:r>
              <w:rPr>
                <w:rFonts w:hint="default" w:ascii="Times New Roman" w:hAnsi="Times New Roman" w:cs="Times New Roman"/>
                <w:b w:val="0"/>
                <w:bCs w:val="0"/>
                <w:color w:val="auto"/>
                <w:kern w:val="0"/>
                <w:sz w:val="24"/>
                <w:szCs w:val="24"/>
                <w:u w:val="none"/>
                <w:lang w:val="en-US" w:eastAsia="zh-CN" w:bidi="ar-SA"/>
              </w:rPr>
              <w:t>石灰水进行冲洗处理，</w:t>
            </w:r>
            <w:r>
              <w:rPr>
                <w:rFonts w:hint="default" w:ascii="Times New Roman" w:hAnsi="Times New Roman" w:eastAsia="宋体" w:cs="Times New Roman"/>
                <w:b w:val="0"/>
                <w:bCs w:val="0"/>
                <w:color w:val="auto"/>
                <w:kern w:val="0"/>
                <w:sz w:val="24"/>
                <w:szCs w:val="24"/>
                <w:u w:val="none"/>
                <w:lang w:val="en-US" w:eastAsia="zh-CN" w:bidi="ar-SA"/>
              </w:rPr>
              <w:t>冲洗废水经稀释后放入废水系统。</w:t>
            </w:r>
            <w:r>
              <w:rPr>
                <w:rFonts w:hint="default" w:ascii="Times New Roman" w:hAnsi="Times New Roman" w:cs="Times New Roman"/>
                <w:b w:val="0"/>
                <w:bCs w:val="0"/>
                <w:color w:val="auto"/>
                <w:kern w:val="0"/>
                <w:sz w:val="24"/>
                <w:szCs w:val="24"/>
                <w:u w:val="none"/>
                <w:lang w:val="en-US" w:eastAsia="zh-CN" w:bidi="ar-SA"/>
              </w:rPr>
              <w:t>次氯酸钠小量泄漏用砂土、蛭石或其它惰性材料吸收。大量泄漏构筑围堤或挖坑收容。用泡沫覆盖，降低蒸气灾害。用泵转移至槽车或专用收集器内，回收或运至废物处理场所处置。</w:t>
            </w:r>
          </w:p>
          <w:p w14:paraId="58AEC06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⑤运输路线按规定行驶，勿在居民处和人口稠密处停留。</w:t>
            </w:r>
          </w:p>
          <w:p w14:paraId="6ECAC9A6">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屠宰废水泄漏防范措施</w:t>
            </w:r>
          </w:p>
          <w:p w14:paraId="3562377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为保证公司废水处理设施正常运行，保证处理水质达标排放，环评要求项目应严格落实以下要求：</w:t>
            </w:r>
          </w:p>
          <w:p w14:paraId="23524C1C">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①当污水处理站停止运行时，如直接排放废水，将会严重地污染地表水，对周围的人群及其水生生物造成危害。应制定废水泄漏专项应急预案，明确责任分工、处置流程及联络机制，防止此类事故的发生。</w:t>
            </w:r>
          </w:p>
          <w:p w14:paraId="09D0FDE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②为防止废水事故性外排，企业应设置10m</w:t>
            </w:r>
            <w:r>
              <w:rPr>
                <w:rFonts w:hint="default" w:ascii="Times New Roman" w:hAnsi="Times New Roman" w:eastAsia="宋体" w:cs="Times New Roman"/>
                <w:b w:val="0"/>
                <w:bCs w:val="0"/>
                <w:color w:val="auto"/>
                <w:kern w:val="0"/>
                <w:sz w:val="24"/>
                <w:szCs w:val="24"/>
                <w:u w:val="none"/>
                <w:vertAlign w:val="superscript"/>
                <w:lang w:val="en-US" w:eastAsia="zh-CN" w:bidi="ar-SA"/>
              </w:rPr>
              <w:t>2</w:t>
            </w:r>
            <w:r>
              <w:rPr>
                <w:rFonts w:hint="default" w:ascii="Times New Roman" w:hAnsi="Times New Roman" w:eastAsia="宋体" w:cs="Times New Roman"/>
                <w:b w:val="0"/>
                <w:bCs w:val="0"/>
                <w:color w:val="auto"/>
                <w:kern w:val="0"/>
                <w:sz w:val="24"/>
                <w:szCs w:val="24"/>
                <w:u w:val="none"/>
                <w:lang w:val="en-US" w:eastAsia="zh-CN" w:bidi="ar-SA"/>
              </w:rPr>
              <w:t>的事故应急池，收集事故状态下外排的废水。并将污水处理设施末尾处和调节池之间安装连接管，在废水处理不达标的情况下，将废水输送到调节池；且当发生事故时，应将废水立即引入调节池中，一旦厂区设施发生故障不能正常处理废水时，则厂区立即停产，直到故障排除后才能恢复生产。</w:t>
            </w:r>
          </w:p>
          <w:p w14:paraId="2D1476EB">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③安装废水在线监测设备，实时监测水质变化，异常及时报警。</w:t>
            </w:r>
          </w:p>
          <w:p w14:paraId="3C6B4AD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④污水处理设施工作人员必须严格执行公司制定的设备维修保养措施，制定设备维修保养计划，定员管理，设备出现故障及时抢修。</w:t>
            </w:r>
          </w:p>
          <w:p w14:paraId="7376103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⑤备齐设备的易损配件，废水处理设备零配件应专库、专人保管，不得挪作他用。</w:t>
            </w:r>
          </w:p>
          <w:p w14:paraId="166AEE2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⑥实现配备的备用污水设备完好率必须达到100%，在主设备发生故障时立即起用备用设备。</w:t>
            </w:r>
          </w:p>
          <w:p w14:paraId="75EC3F3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⑦在备用设备均不能使用时应立即停止生产，并报告政府环保部门，待设备修复调试正常，经环保部门批准后方可恢复生产。</w:t>
            </w:r>
          </w:p>
          <w:p w14:paraId="0162FE56">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停电造成废水不能达标，应及时停止生产。</w:t>
            </w:r>
          </w:p>
          <w:p w14:paraId="055E563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lang w:val="en-US" w:eastAsia="zh-CN" w:bidi="ar-SA"/>
              </w:rPr>
              <w:t>（</w:t>
            </w:r>
            <w:r>
              <w:rPr>
                <w:rFonts w:hint="default" w:ascii="Times New Roman" w:hAnsi="Times New Roman" w:cs="Times New Roman"/>
                <w:b w:val="0"/>
                <w:bCs w:val="0"/>
                <w:color w:val="auto"/>
                <w:kern w:val="0"/>
                <w:sz w:val="24"/>
                <w:szCs w:val="24"/>
                <w:lang w:val="en-US" w:eastAsia="zh-CN" w:bidi="ar-SA"/>
              </w:rPr>
              <w:t>3</w:t>
            </w:r>
            <w:r>
              <w:rPr>
                <w:rFonts w:hint="default" w:ascii="Times New Roman" w:hAnsi="Times New Roman" w:eastAsia="宋体"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u w:val="none"/>
                <w:lang w:val="en-US" w:eastAsia="zh-CN" w:bidi="ar-SA"/>
              </w:rPr>
              <w:t>生物安全性措施</w:t>
            </w:r>
          </w:p>
          <w:p w14:paraId="66672B6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拟建项目是食品公司，为了保障食品安全，必须切实采取生物安全性措施，防止病猪、死猪肉进入老百姓的餐桌，给健康带来不利影响。</w:t>
            </w:r>
          </w:p>
          <w:p w14:paraId="2B30F85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①收购及待宰时的卫生防疫</w:t>
            </w:r>
          </w:p>
          <w:p w14:paraId="221C387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收购的生猪屠宰前必须取得有资质的检疫证明或非检疫证明。将病猪及时排除，严防传染病在厂区猪群内传播。</w:t>
            </w:r>
          </w:p>
          <w:p w14:paraId="3F8AE34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②实施同步检疫</w:t>
            </w:r>
          </w:p>
          <w:p w14:paraId="51AEF11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实行流水线同步检疫检验：屠宰前、屠宰过程</w:t>
            </w:r>
            <w:r>
              <w:rPr>
                <w:rFonts w:hint="eastAsia" w:cs="Times New Roman"/>
                <w:b w:val="0"/>
                <w:bCs w:val="0"/>
                <w:color w:val="auto"/>
                <w:kern w:val="0"/>
                <w:sz w:val="24"/>
                <w:szCs w:val="24"/>
                <w:u w:val="none"/>
                <w:lang w:val="en-US" w:eastAsia="zh-CN" w:bidi="ar-SA"/>
              </w:rPr>
              <w:t>及</w:t>
            </w:r>
            <w:r>
              <w:rPr>
                <w:rFonts w:hint="default" w:ascii="Times New Roman" w:hAnsi="Times New Roman" w:eastAsia="宋体" w:cs="Times New Roman"/>
                <w:b w:val="0"/>
                <w:bCs w:val="0"/>
                <w:color w:val="auto"/>
                <w:kern w:val="0"/>
                <w:sz w:val="24"/>
                <w:szCs w:val="24"/>
                <w:u w:val="none"/>
                <w:lang w:val="en-US" w:eastAsia="zh-CN" w:bidi="ar-SA"/>
              </w:rPr>
              <w:t>宰杀后同步检疫和检验并记录，重点做好微生物检验记录和对生产过程的消毒进行监督，防止病疫传播。</w:t>
            </w:r>
          </w:p>
          <w:p w14:paraId="34148EE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③病猪、死猪安全化处置</w:t>
            </w:r>
          </w:p>
          <w:p w14:paraId="18B8174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对于生产过程中发现或产生的生猪病害肉尸及其产品进行无害化处理；</w:t>
            </w:r>
          </w:p>
          <w:p w14:paraId="4F56872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④对从业人员要求</w:t>
            </w:r>
          </w:p>
          <w:p w14:paraId="329B706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kern w:val="0"/>
                <w:sz w:val="24"/>
                <w:szCs w:val="24"/>
                <w:u w:val="none"/>
                <w:lang w:val="en-US" w:eastAsia="zh-CN" w:bidi="ar-SA"/>
              </w:rPr>
            </w:pPr>
            <w:r>
              <w:rPr>
                <w:rFonts w:hint="default" w:ascii="Times New Roman" w:hAnsi="Times New Roman" w:eastAsia="宋体" w:cs="Times New Roman"/>
                <w:b w:val="0"/>
                <w:bCs w:val="0"/>
                <w:color w:val="auto"/>
                <w:kern w:val="0"/>
                <w:sz w:val="24"/>
                <w:szCs w:val="24"/>
                <w:u w:val="none"/>
                <w:lang w:val="en-US" w:eastAsia="zh-CN" w:bidi="ar-SA"/>
              </w:rPr>
              <w:t>厂区必须按照《生猪屠宰操作规程》和《生猪屠宰产品品质检验规程》的规定，配备与屠宰规模相近且经过专业技术培训合格并获得体检证明的屠宰操作人员和肉品检验人员。并定期对操作人员进行体检，操作人员必须穿着规定的服饰并做到定期清洗和消毒。加强从业人员的职业卫生教育，实施严格的操作规程，减少人为影响食品卫生因素。</w:t>
            </w:r>
          </w:p>
          <w:p w14:paraId="2194130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jc w:val="both"/>
              <w:textAlignment w:val="auto"/>
              <w:rPr>
                <w:rFonts w:hint="default" w:ascii="Times New Roman" w:hAnsi="Times New Roman" w:cs="Times New Roman"/>
                <w:b/>
                <w:bCs/>
                <w:color w:val="auto"/>
                <w:kern w:val="0"/>
                <w:sz w:val="24"/>
                <w:szCs w:val="24"/>
                <w:u w:val="none"/>
                <w:lang w:val="en-US" w:eastAsia="zh-CN" w:bidi="ar-SA"/>
              </w:rPr>
            </w:pPr>
            <w:r>
              <w:rPr>
                <w:rFonts w:hint="default" w:ascii="Times New Roman" w:hAnsi="Times New Roman" w:cs="Times New Roman"/>
                <w:b/>
                <w:bCs/>
                <w:color w:val="auto"/>
                <w:kern w:val="0"/>
                <w:sz w:val="24"/>
                <w:szCs w:val="24"/>
                <w:lang w:val="en-US" w:eastAsia="zh-CN" w:bidi="ar-SA"/>
              </w:rPr>
              <w:t>4</w:t>
            </w:r>
            <w:r>
              <w:rPr>
                <w:rFonts w:hint="default" w:ascii="Times New Roman" w:hAnsi="Times New Roman" w:eastAsia="宋体" w:cs="Times New Roman"/>
                <w:b/>
                <w:bCs/>
                <w:color w:val="auto"/>
                <w:kern w:val="0"/>
                <w:sz w:val="24"/>
                <w:szCs w:val="24"/>
                <w:lang w:val="en-US" w:eastAsia="zh-CN" w:bidi="ar-SA"/>
              </w:rPr>
              <w:t>、</w:t>
            </w:r>
            <w:r>
              <w:rPr>
                <w:rFonts w:hint="default" w:ascii="Times New Roman" w:hAnsi="Times New Roman" w:cs="Times New Roman"/>
                <w:b/>
                <w:bCs/>
                <w:color w:val="auto"/>
                <w:kern w:val="0"/>
                <w:sz w:val="24"/>
                <w:szCs w:val="24"/>
                <w:u w:val="none"/>
                <w:lang w:val="en-US" w:eastAsia="zh-CN" w:bidi="ar-SA"/>
              </w:rPr>
              <w:t>风险事故应急预案</w:t>
            </w:r>
          </w:p>
          <w:p w14:paraId="087E646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b w:val="0"/>
                <w:bCs w:val="0"/>
                <w:color w:val="auto"/>
                <w:kern w:val="0"/>
                <w:sz w:val="24"/>
                <w:szCs w:val="24"/>
                <w:u w:val="none"/>
                <w:lang w:val="en-US" w:eastAsia="zh-CN" w:bidi="ar-SA"/>
              </w:rPr>
            </w:pPr>
            <w:r>
              <w:rPr>
                <w:rFonts w:hint="default" w:ascii="Times New Roman" w:hAnsi="Times New Roman" w:cs="Times New Roman"/>
                <w:b w:val="0"/>
                <w:bCs w:val="0"/>
                <w:color w:val="auto"/>
                <w:kern w:val="0"/>
                <w:sz w:val="24"/>
                <w:szCs w:val="24"/>
                <w:u w:val="none"/>
                <w:lang w:val="en-US" w:eastAsia="zh-CN" w:bidi="ar-SA"/>
              </w:rPr>
              <w:t>为及时控制事故发生情况，环评要求本项目应设置环境风险应急方案，应急预案应包括以下内容：</w:t>
            </w:r>
          </w:p>
          <w:p w14:paraId="0EB43BA6">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jc w:val="center"/>
              <w:textAlignment w:val="auto"/>
              <w:rPr>
                <w:rFonts w:hint="default" w:ascii="Times New Roman" w:hAnsi="Times New Roman" w:cs="Times New Roman"/>
                <w:b/>
                <w:bCs/>
                <w:color w:val="auto"/>
                <w:kern w:val="0"/>
                <w:sz w:val="21"/>
                <w:szCs w:val="21"/>
                <w:u w:val="none"/>
                <w:lang w:val="en-US" w:eastAsia="zh-CN" w:bidi="ar-SA"/>
              </w:rPr>
            </w:pPr>
            <w:r>
              <w:rPr>
                <w:rFonts w:hint="default" w:ascii="Times New Roman" w:hAnsi="Times New Roman" w:cs="Times New Roman"/>
                <w:b/>
                <w:bCs/>
                <w:color w:val="auto"/>
                <w:kern w:val="0"/>
                <w:sz w:val="21"/>
                <w:szCs w:val="21"/>
                <w:u w:val="none"/>
                <w:lang w:val="en-US" w:eastAsia="zh-CN" w:bidi="ar-SA"/>
              </w:rPr>
              <w:t>表4-1</w:t>
            </w:r>
            <w:r>
              <w:rPr>
                <w:rFonts w:hint="eastAsia" w:cs="Times New Roman"/>
                <w:b/>
                <w:bCs/>
                <w:color w:val="auto"/>
                <w:kern w:val="0"/>
                <w:sz w:val="21"/>
                <w:szCs w:val="21"/>
                <w:u w:val="none"/>
                <w:lang w:val="en-US" w:eastAsia="zh-CN" w:bidi="ar-SA"/>
              </w:rPr>
              <w:t>8</w:t>
            </w:r>
            <w:r>
              <w:rPr>
                <w:rFonts w:hint="default" w:ascii="Times New Roman" w:hAnsi="Times New Roman" w:cs="Times New Roman"/>
                <w:b/>
                <w:bCs/>
                <w:color w:val="auto"/>
                <w:kern w:val="0"/>
                <w:sz w:val="21"/>
                <w:szCs w:val="21"/>
                <w:u w:val="none"/>
                <w:lang w:val="en-US" w:eastAsia="zh-CN" w:bidi="ar-SA"/>
              </w:rPr>
              <w:t xml:space="preserve"> 应急预案内容</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
              <w:gridCol w:w="2354"/>
              <w:gridCol w:w="5061"/>
            </w:tblGrid>
            <w:tr w14:paraId="24FD6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319" w:type="pct"/>
                  <w:vAlign w:val="center"/>
                </w:tcPr>
                <w:p w14:paraId="1D2E93A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序号</w:t>
                  </w:r>
                </w:p>
              </w:tc>
              <w:tc>
                <w:tcPr>
                  <w:tcW w:w="1486" w:type="pct"/>
                  <w:vAlign w:val="center"/>
                </w:tcPr>
                <w:p w14:paraId="15ED146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项目</w:t>
                  </w:r>
                </w:p>
              </w:tc>
              <w:tc>
                <w:tcPr>
                  <w:tcW w:w="3194" w:type="pct"/>
                  <w:vAlign w:val="center"/>
                </w:tcPr>
                <w:p w14:paraId="10852F7F">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内容及要求</w:t>
                  </w:r>
                </w:p>
              </w:tc>
            </w:tr>
            <w:tr w14:paraId="6D286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7CCE955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1</w:t>
                  </w:r>
                </w:p>
              </w:tc>
              <w:tc>
                <w:tcPr>
                  <w:tcW w:w="1486" w:type="pct"/>
                  <w:vAlign w:val="center"/>
                </w:tcPr>
                <w:p w14:paraId="0609F74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应急计划区</w:t>
                  </w:r>
                </w:p>
              </w:tc>
              <w:tc>
                <w:tcPr>
                  <w:tcW w:w="3194" w:type="pct"/>
                  <w:vAlign w:val="center"/>
                </w:tcPr>
                <w:p w14:paraId="7380922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制冷机房、冷库、污水处理站等</w:t>
                  </w:r>
                </w:p>
              </w:tc>
            </w:tr>
            <w:tr w14:paraId="3EBF8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079C5D0B">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2</w:t>
                  </w:r>
                </w:p>
              </w:tc>
              <w:tc>
                <w:tcPr>
                  <w:tcW w:w="1486" w:type="pct"/>
                  <w:vAlign w:val="center"/>
                </w:tcPr>
                <w:p w14:paraId="3BA698A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应急组织机构、人员</w:t>
                  </w:r>
                </w:p>
              </w:tc>
              <w:tc>
                <w:tcPr>
                  <w:tcW w:w="3194" w:type="pct"/>
                  <w:vAlign w:val="center"/>
                </w:tcPr>
                <w:p w14:paraId="41A72F7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工厂、地区应急组织机构、人员</w:t>
                  </w:r>
                </w:p>
              </w:tc>
            </w:tr>
            <w:tr w14:paraId="485ED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6C05D0D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3</w:t>
                  </w:r>
                </w:p>
              </w:tc>
              <w:tc>
                <w:tcPr>
                  <w:tcW w:w="1486" w:type="pct"/>
                  <w:vAlign w:val="center"/>
                </w:tcPr>
                <w:p w14:paraId="664480D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预案分级响应条件</w:t>
                  </w:r>
                </w:p>
              </w:tc>
              <w:tc>
                <w:tcPr>
                  <w:tcW w:w="3194" w:type="pct"/>
                  <w:vAlign w:val="center"/>
                </w:tcPr>
                <w:p w14:paraId="6A2D4A7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规定预案的级别及分级响应程序</w:t>
                  </w:r>
                </w:p>
              </w:tc>
            </w:tr>
            <w:tr w14:paraId="0EA62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3D84C67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4</w:t>
                  </w:r>
                </w:p>
              </w:tc>
              <w:tc>
                <w:tcPr>
                  <w:tcW w:w="1486" w:type="pct"/>
                  <w:vAlign w:val="center"/>
                </w:tcPr>
                <w:p w14:paraId="6FC4B42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应急救援保障</w:t>
                  </w:r>
                </w:p>
              </w:tc>
              <w:tc>
                <w:tcPr>
                  <w:tcW w:w="3194" w:type="pct"/>
                  <w:vAlign w:val="center"/>
                </w:tcPr>
                <w:p w14:paraId="1C55AFE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应急设施、设备与器材</w:t>
                  </w:r>
                </w:p>
              </w:tc>
            </w:tr>
            <w:tr w14:paraId="38B2A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447F4C8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5</w:t>
                  </w:r>
                </w:p>
              </w:tc>
              <w:tc>
                <w:tcPr>
                  <w:tcW w:w="1486" w:type="pct"/>
                  <w:vAlign w:val="center"/>
                </w:tcPr>
                <w:p w14:paraId="2AD10E2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报警、通讯联络方式</w:t>
                  </w:r>
                </w:p>
              </w:tc>
              <w:tc>
                <w:tcPr>
                  <w:tcW w:w="3194" w:type="pct"/>
                  <w:vAlign w:val="center"/>
                </w:tcPr>
                <w:p w14:paraId="55EC51B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规定应急状态下的报警通讯方式、通知方式和交通保障、管制</w:t>
                  </w:r>
                </w:p>
              </w:tc>
            </w:tr>
            <w:tr w14:paraId="467B9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742A86AC">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6</w:t>
                  </w:r>
                </w:p>
              </w:tc>
              <w:tc>
                <w:tcPr>
                  <w:tcW w:w="1486" w:type="pct"/>
                  <w:vAlign w:val="center"/>
                </w:tcPr>
                <w:p w14:paraId="1CA98BE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应急环境监测、抢险、救援及控制措施</w:t>
                  </w:r>
                </w:p>
              </w:tc>
              <w:tc>
                <w:tcPr>
                  <w:tcW w:w="3194" w:type="pct"/>
                  <w:vAlign w:val="center"/>
                </w:tcPr>
                <w:p w14:paraId="659EDB0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有专业队伍负责对事故现场进行侦察监测，对事故性质、参数与后果进行评估，为指挥部门提供决策依据</w:t>
                  </w:r>
                </w:p>
              </w:tc>
            </w:tr>
            <w:tr w14:paraId="1C5FE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4451362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7</w:t>
                  </w:r>
                </w:p>
              </w:tc>
              <w:tc>
                <w:tcPr>
                  <w:tcW w:w="1486" w:type="pct"/>
                  <w:vAlign w:val="center"/>
                </w:tcPr>
                <w:p w14:paraId="6C01ED5C">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应急检测、防护措施、清除泄漏措施和器材</w:t>
                  </w:r>
                </w:p>
              </w:tc>
              <w:tc>
                <w:tcPr>
                  <w:tcW w:w="3194" w:type="pct"/>
                  <w:vAlign w:val="center"/>
                </w:tcPr>
                <w:p w14:paraId="4138674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事故现场、邻近区域、控制防火区域，控制和清除污染措施及相应设备</w:t>
                  </w:r>
                </w:p>
              </w:tc>
            </w:tr>
            <w:tr w14:paraId="147DB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1BC33EC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8</w:t>
                  </w:r>
                </w:p>
              </w:tc>
              <w:tc>
                <w:tcPr>
                  <w:tcW w:w="1486" w:type="pct"/>
                  <w:vAlign w:val="center"/>
                </w:tcPr>
                <w:p w14:paraId="1B495066">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人员紧急撤离、疏散，应急剂量控制、撤离组织计划</w:t>
                  </w:r>
                </w:p>
              </w:tc>
              <w:tc>
                <w:tcPr>
                  <w:tcW w:w="3194" w:type="pct"/>
                  <w:vAlign w:val="center"/>
                </w:tcPr>
                <w:p w14:paraId="09052920">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事故现场、工厂邻近区、受事故影响的区域人员及公众对毒物应急剂量的控制规定，撤离组织计划及救护，医疗救护与公众健康</w:t>
                  </w:r>
                </w:p>
              </w:tc>
            </w:tr>
            <w:tr w14:paraId="0970A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1C7C6DF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9</w:t>
                  </w:r>
                </w:p>
              </w:tc>
              <w:tc>
                <w:tcPr>
                  <w:tcW w:w="1486" w:type="pct"/>
                  <w:vAlign w:val="center"/>
                </w:tcPr>
                <w:p w14:paraId="6D0AC4A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事故应急救援关闭与恢复措施</w:t>
                  </w:r>
                </w:p>
              </w:tc>
              <w:tc>
                <w:tcPr>
                  <w:tcW w:w="3194" w:type="pct"/>
                  <w:vAlign w:val="center"/>
                </w:tcPr>
                <w:p w14:paraId="19DECFC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规定应急状态终止程序；事故现场善后处理，恢复措施；邻近区域解除事故警戒及善后恢复措施</w:t>
                  </w:r>
                </w:p>
              </w:tc>
            </w:tr>
            <w:tr w14:paraId="4E90A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170AF4E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10</w:t>
                  </w:r>
                </w:p>
              </w:tc>
              <w:tc>
                <w:tcPr>
                  <w:tcW w:w="1486" w:type="pct"/>
                  <w:vAlign w:val="center"/>
                </w:tcPr>
                <w:p w14:paraId="7E654F0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应急培训计划</w:t>
                  </w:r>
                </w:p>
              </w:tc>
              <w:tc>
                <w:tcPr>
                  <w:tcW w:w="3194" w:type="pct"/>
                  <w:vAlign w:val="center"/>
                </w:tcPr>
                <w:p w14:paraId="2982AE7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应急计划制定后，平时安排人员培训与演练</w:t>
                  </w:r>
                </w:p>
              </w:tc>
            </w:tr>
            <w:tr w14:paraId="508D2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9" w:type="pct"/>
                  <w:vAlign w:val="center"/>
                </w:tcPr>
                <w:p w14:paraId="29174F7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11</w:t>
                  </w:r>
                </w:p>
              </w:tc>
              <w:tc>
                <w:tcPr>
                  <w:tcW w:w="1486" w:type="pct"/>
                  <w:vAlign w:val="center"/>
                </w:tcPr>
                <w:p w14:paraId="765A5F1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公众教育和信息</w:t>
                  </w:r>
                </w:p>
              </w:tc>
              <w:tc>
                <w:tcPr>
                  <w:tcW w:w="3194" w:type="pct"/>
                  <w:vAlign w:val="center"/>
                </w:tcPr>
                <w:p w14:paraId="1B773AC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right="0"/>
                    <w:jc w:val="center"/>
                    <w:textAlignment w:val="auto"/>
                    <w:rPr>
                      <w:rFonts w:hint="default" w:ascii="Times New Roman" w:hAnsi="Times New Roman" w:cs="Times New Roman"/>
                      <w:b w:val="0"/>
                      <w:bCs w:val="0"/>
                      <w:color w:val="auto"/>
                      <w:kern w:val="0"/>
                      <w:sz w:val="21"/>
                      <w:szCs w:val="21"/>
                      <w:u w:val="none"/>
                      <w:vertAlign w:val="baseline"/>
                      <w:lang w:val="en-US" w:eastAsia="zh-CN" w:bidi="ar-SA"/>
                    </w:rPr>
                  </w:pPr>
                  <w:r>
                    <w:rPr>
                      <w:rFonts w:hint="default" w:ascii="Times New Roman" w:hAnsi="Times New Roman" w:cs="Times New Roman"/>
                      <w:b w:val="0"/>
                      <w:bCs w:val="0"/>
                      <w:color w:val="auto"/>
                      <w:kern w:val="0"/>
                      <w:sz w:val="21"/>
                      <w:szCs w:val="21"/>
                      <w:u w:val="none"/>
                      <w:vertAlign w:val="baseline"/>
                      <w:lang w:val="en-US" w:eastAsia="zh-CN" w:bidi="ar-SA"/>
                    </w:rPr>
                    <w:t>对工厂邻近地区开展公众教育、培训和发布有关信息</w:t>
                  </w:r>
                </w:p>
              </w:tc>
            </w:tr>
          </w:tbl>
          <w:p w14:paraId="701A332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2" w:firstLineChars="200"/>
              <w:jc w:val="both"/>
              <w:textAlignment w:val="auto"/>
              <w:rPr>
                <w:rFonts w:hint="default" w:ascii="Times New Roman" w:hAnsi="Times New Roman" w:cs="Times New Roman"/>
                <w:b/>
                <w:bCs/>
                <w:color w:val="auto"/>
                <w:kern w:val="0"/>
                <w:sz w:val="24"/>
                <w:szCs w:val="24"/>
                <w:u w:val="none"/>
                <w:lang w:val="en-US" w:eastAsia="zh-CN" w:bidi="ar-SA"/>
              </w:rPr>
            </w:pPr>
            <w:r>
              <w:rPr>
                <w:rFonts w:hint="default" w:ascii="Times New Roman" w:hAnsi="Times New Roman" w:cs="Times New Roman"/>
                <w:b/>
                <w:bCs/>
                <w:color w:val="auto"/>
                <w:kern w:val="0"/>
                <w:sz w:val="24"/>
                <w:szCs w:val="24"/>
                <w:lang w:val="en-US" w:eastAsia="zh-CN" w:bidi="ar-SA"/>
              </w:rPr>
              <w:t>5</w:t>
            </w:r>
            <w:r>
              <w:rPr>
                <w:rFonts w:hint="default" w:ascii="Times New Roman" w:hAnsi="Times New Roman" w:eastAsia="宋体" w:cs="Times New Roman"/>
                <w:b/>
                <w:bCs/>
                <w:color w:val="auto"/>
                <w:kern w:val="0"/>
                <w:sz w:val="24"/>
                <w:szCs w:val="24"/>
                <w:lang w:val="en-US" w:eastAsia="zh-CN" w:bidi="ar-SA"/>
              </w:rPr>
              <w:t>、</w:t>
            </w:r>
            <w:r>
              <w:rPr>
                <w:rFonts w:hint="default" w:ascii="Times New Roman" w:hAnsi="Times New Roman" w:cs="Times New Roman"/>
                <w:b/>
                <w:bCs/>
                <w:color w:val="auto"/>
                <w:kern w:val="0"/>
                <w:sz w:val="24"/>
                <w:szCs w:val="24"/>
                <w:u w:val="none"/>
                <w:lang w:val="en-US" w:eastAsia="zh-CN" w:bidi="ar-SA"/>
              </w:rPr>
              <w:t>结论</w:t>
            </w:r>
          </w:p>
          <w:p w14:paraId="2332CE7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b w:val="0"/>
                <w:bCs w:val="0"/>
                <w:color w:val="auto"/>
                <w:kern w:val="0"/>
                <w:sz w:val="24"/>
                <w:szCs w:val="24"/>
                <w:u w:val="none"/>
                <w:lang w:val="en-US" w:eastAsia="zh-CN" w:bidi="ar-SA"/>
              </w:rPr>
            </w:pPr>
            <w:r>
              <w:rPr>
                <w:rFonts w:hint="default" w:ascii="Times New Roman" w:hAnsi="Times New Roman" w:cs="Times New Roman"/>
                <w:b w:val="0"/>
                <w:bCs w:val="0"/>
                <w:color w:val="auto"/>
                <w:kern w:val="0"/>
                <w:sz w:val="24"/>
                <w:szCs w:val="24"/>
                <w:u w:val="none"/>
                <w:lang w:val="en-US" w:eastAsia="zh-CN" w:bidi="ar-SA"/>
              </w:rPr>
              <w:t>项目涉及的环境风险主要为有害物质石灰水的泄漏、污水处理设施故障和生物安全性风险。但只要项目严格遵照国家有关规定生产、操作，发生危害事故的几率很小，通过加强管理、严格遵守国家有关规定生产、操作，发生危害事故的几率很小，通过加强管理、严格遵守各项安全操作规程、制度和落实风险评价要求的防范措施，加强对全体员工防范事故风险能力的培训，健全项目各项环保规章制度，制定事故应急预案等，可进一步降低风险发生的几率和造成的影响。</w:t>
            </w:r>
          </w:p>
          <w:p w14:paraId="49890607">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cs="Times New Roman"/>
                <w:b w:val="0"/>
                <w:bCs w:val="0"/>
                <w:color w:val="auto"/>
                <w:kern w:val="0"/>
                <w:sz w:val="24"/>
                <w:szCs w:val="24"/>
                <w:u w:val="none"/>
                <w:lang w:val="en-US" w:eastAsia="zh-CN" w:bidi="ar-SA"/>
              </w:rPr>
            </w:pPr>
            <w:r>
              <w:rPr>
                <w:rFonts w:hint="default" w:ascii="Times New Roman" w:hAnsi="Times New Roman" w:cs="Times New Roman"/>
                <w:b w:val="0"/>
                <w:bCs w:val="0"/>
                <w:color w:val="auto"/>
                <w:kern w:val="0"/>
                <w:sz w:val="24"/>
                <w:szCs w:val="24"/>
                <w:u w:val="none"/>
                <w:lang w:val="en-US" w:eastAsia="zh-CN" w:bidi="ar-SA"/>
              </w:rPr>
              <w:t>综上所述，本项目风险处于完全可接受的水平，其风险管理措施有效、可靠，从防范风险角度分析是可行的。</w:t>
            </w:r>
          </w:p>
          <w:p w14:paraId="5ABCD1E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cs="Times New Roman"/>
                <w:b/>
                <w:bCs/>
                <w:color w:val="auto"/>
                <w:sz w:val="24"/>
                <w:szCs w:val="24"/>
                <w:highlight w:val="none"/>
                <w:u w:val="none"/>
                <w:lang w:val="en-US" w:eastAsia="zh-CN"/>
              </w:rPr>
              <w:t>八、环境管理及监测计划</w:t>
            </w:r>
          </w:p>
          <w:p w14:paraId="16C2C04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eastAsia="宋体" w:cs="Times New Roman"/>
                <w:b/>
                <w:bCs/>
                <w:color w:val="auto"/>
                <w:sz w:val="24"/>
                <w:szCs w:val="24"/>
                <w:highlight w:val="none"/>
                <w:u w:val="none"/>
                <w:lang w:val="en-US" w:eastAsia="zh-CN"/>
              </w:rPr>
            </w:pPr>
            <w:r>
              <w:rPr>
                <w:rFonts w:hint="default" w:ascii="Times New Roman" w:hAnsi="Times New Roman" w:cs="Times New Roman"/>
                <w:b/>
                <w:bCs/>
                <w:color w:val="auto"/>
                <w:sz w:val="24"/>
                <w:szCs w:val="24"/>
                <w:highlight w:val="none"/>
                <w:u w:val="none"/>
                <w:lang w:val="en-US" w:eastAsia="zh-CN"/>
              </w:rPr>
              <w:t>1、环境管理</w:t>
            </w:r>
          </w:p>
          <w:p w14:paraId="39BEB81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①厂内设置环境管理部门及环境管理人员，提高环境管理人员的环保素质和意识，加强环境保护宣传教育，提高职工环</w:t>
            </w:r>
            <w:r>
              <w:rPr>
                <w:rFonts w:hint="eastAsia" w:cs="Times New Roman"/>
                <w:color w:val="auto"/>
                <w:sz w:val="24"/>
                <w:szCs w:val="24"/>
                <w:highlight w:val="none"/>
                <w:u w:val="none"/>
                <w:lang w:val="en-US" w:eastAsia="zh-CN"/>
              </w:rPr>
              <w:t>保</w:t>
            </w:r>
            <w:r>
              <w:rPr>
                <w:rFonts w:hint="default" w:ascii="Times New Roman" w:hAnsi="Times New Roman" w:cs="Times New Roman"/>
                <w:color w:val="auto"/>
                <w:sz w:val="24"/>
                <w:szCs w:val="24"/>
                <w:highlight w:val="none"/>
                <w:u w:val="none"/>
                <w:lang w:val="en-US" w:eastAsia="zh-CN"/>
              </w:rPr>
              <w:t>意识。</w:t>
            </w:r>
          </w:p>
          <w:p w14:paraId="20C1B64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②严格执行环</w:t>
            </w:r>
            <w:r>
              <w:rPr>
                <w:rFonts w:hint="eastAsia" w:cs="Times New Roman"/>
                <w:color w:val="auto"/>
                <w:sz w:val="24"/>
                <w:szCs w:val="24"/>
                <w:highlight w:val="none"/>
                <w:u w:val="none"/>
                <w:lang w:val="en-US" w:eastAsia="zh-CN"/>
              </w:rPr>
              <w:t>境</w:t>
            </w:r>
            <w:r>
              <w:rPr>
                <w:rFonts w:hint="default" w:ascii="Times New Roman" w:hAnsi="Times New Roman" w:cs="Times New Roman"/>
                <w:color w:val="auto"/>
                <w:sz w:val="24"/>
                <w:szCs w:val="24"/>
                <w:highlight w:val="none"/>
                <w:u w:val="none"/>
                <w:lang w:val="en-US" w:eastAsia="zh-CN"/>
              </w:rPr>
              <w:t>影响评价制度和“三同时”制度，确保污染得到有效预防及控制。</w:t>
            </w:r>
          </w:p>
          <w:p w14:paraId="65B2A96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③实行环境管理制度，对各贡污染防治措施进行有效监督管理，明确各项污染物达标情况。</w:t>
            </w:r>
          </w:p>
          <w:p w14:paraId="059ED05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④建立环境保护管理</w:t>
            </w:r>
            <w:r>
              <w:rPr>
                <w:rFonts w:hint="eastAsia" w:cs="Times New Roman"/>
                <w:color w:val="auto"/>
                <w:sz w:val="24"/>
                <w:szCs w:val="24"/>
                <w:highlight w:val="none"/>
                <w:u w:val="none"/>
                <w:lang w:val="en-US" w:eastAsia="zh-CN"/>
              </w:rPr>
              <w:t>台账</w:t>
            </w:r>
            <w:r>
              <w:rPr>
                <w:rFonts w:hint="default" w:ascii="Times New Roman" w:hAnsi="Times New Roman" w:cs="Times New Roman"/>
                <w:color w:val="auto"/>
                <w:sz w:val="24"/>
                <w:szCs w:val="24"/>
                <w:highlight w:val="none"/>
                <w:u w:val="none"/>
                <w:lang w:val="en-US" w:eastAsia="zh-CN"/>
              </w:rPr>
              <w:t>，定期检查项目环境保护措施执行情况，定期进行环境保护信息公开。</w:t>
            </w:r>
          </w:p>
          <w:p w14:paraId="41752E1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cs="Times New Roman"/>
                <w:b/>
                <w:bCs/>
                <w:color w:val="auto"/>
                <w:sz w:val="24"/>
                <w:szCs w:val="24"/>
                <w:highlight w:val="none"/>
                <w:u w:val="none"/>
                <w:lang w:val="en-US" w:eastAsia="zh-CN"/>
              </w:rPr>
            </w:pPr>
            <w:r>
              <w:rPr>
                <w:rFonts w:hint="default" w:ascii="Times New Roman" w:hAnsi="Times New Roman" w:cs="Times New Roman"/>
                <w:b/>
                <w:bCs/>
                <w:color w:val="auto"/>
                <w:sz w:val="24"/>
                <w:szCs w:val="24"/>
                <w:highlight w:val="none"/>
                <w:u w:val="none"/>
                <w:lang w:val="en-US" w:eastAsia="zh-CN"/>
              </w:rPr>
              <w:t>2、环境监测</w:t>
            </w:r>
          </w:p>
          <w:p w14:paraId="1062A4B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根据《排污许可证申请与核发技术规范 农副食品加工工业—屠宰及肉类加工工业》（HJ860.3-2018）中</w:t>
            </w:r>
            <w:r>
              <w:rPr>
                <w:rFonts w:hint="eastAsia" w:ascii="宋体" w:hAnsi="宋体" w:eastAsia="宋体" w:cs="宋体"/>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7</w:t>
            </w:r>
            <w:r>
              <w:rPr>
                <w:rFonts w:hint="eastAsia" w:ascii="宋体" w:hAnsi="宋体" w:eastAsia="宋体" w:cs="宋体"/>
                <w:color w:val="auto"/>
                <w:sz w:val="24"/>
                <w:szCs w:val="24"/>
                <w:highlight w:val="none"/>
                <w:u w:val="none"/>
                <w:lang w:val="en-US" w:eastAsia="zh-CN"/>
              </w:rPr>
              <w:t>自行监测管理要求”</w:t>
            </w:r>
            <w:r>
              <w:rPr>
                <w:rFonts w:hint="default" w:ascii="Times New Roman" w:hAnsi="Times New Roman" w:cs="Times New Roman"/>
                <w:color w:val="auto"/>
                <w:sz w:val="24"/>
                <w:szCs w:val="24"/>
                <w:highlight w:val="none"/>
                <w:u w:val="none"/>
                <w:lang w:val="en-US" w:eastAsia="zh-CN"/>
              </w:rPr>
              <w:t>，本项目污染源自行监测方案及有关要求见表4-1</w:t>
            </w:r>
            <w:r>
              <w:rPr>
                <w:rFonts w:hint="eastAsia" w:cs="Times New Roman"/>
                <w:color w:val="auto"/>
                <w:sz w:val="24"/>
                <w:szCs w:val="24"/>
                <w:highlight w:val="none"/>
                <w:u w:val="none"/>
                <w:lang w:val="en-US" w:eastAsia="zh-CN"/>
              </w:rPr>
              <w:t>9</w:t>
            </w:r>
            <w:r>
              <w:rPr>
                <w:rFonts w:hint="default" w:ascii="Times New Roman" w:hAnsi="Times New Roman" w:cs="Times New Roman"/>
                <w:color w:val="auto"/>
                <w:sz w:val="24"/>
                <w:szCs w:val="24"/>
                <w:highlight w:val="none"/>
                <w:u w:val="none"/>
                <w:lang w:val="en-US" w:eastAsia="zh-CN"/>
              </w:rPr>
              <w:t>。</w:t>
            </w:r>
          </w:p>
          <w:p w14:paraId="35BB9310">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default" w:ascii="Times New Roman" w:hAnsi="Times New Roman"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val="en-US" w:eastAsia="zh-CN"/>
              </w:rPr>
              <w:t>表4-1</w:t>
            </w:r>
            <w:r>
              <w:rPr>
                <w:rFonts w:hint="eastAsia" w:cs="Times New Roman"/>
                <w:b/>
                <w:bCs/>
                <w:color w:val="auto"/>
                <w:sz w:val="21"/>
                <w:szCs w:val="21"/>
                <w:highlight w:val="none"/>
                <w:u w:val="none"/>
                <w:lang w:val="en-US" w:eastAsia="zh-CN"/>
              </w:rPr>
              <w:t>9</w:t>
            </w:r>
            <w:r>
              <w:rPr>
                <w:rFonts w:hint="default" w:ascii="Times New Roman" w:hAnsi="Times New Roman" w:cs="Times New Roman"/>
                <w:b/>
                <w:bCs/>
                <w:color w:val="auto"/>
                <w:sz w:val="21"/>
                <w:szCs w:val="21"/>
                <w:highlight w:val="none"/>
                <w:u w:val="none"/>
                <w:lang w:val="en-US" w:eastAsia="zh-CN"/>
              </w:rPr>
              <w:t xml:space="preserve"> 企业自行监测方案一览表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682"/>
              <w:gridCol w:w="2148"/>
              <w:gridCol w:w="536"/>
              <w:gridCol w:w="3589"/>
            </w:tblGrid>
            <w:tr w14:paraId="4DABF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noWrap w:val="0"/>
                  <w:vAlign w:val="center"/>
                </w:tcPr>
                <w:p w14:paraId="7F6A9B4F">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污染源</w:t>
                  </w:r>
                </w:p>
              </w:tc>
              <w:tc>
                <w:tcPr>
                  <w:tcW w:w="682" w:type="dxa"/>
                  <w:noWrap w:val="0"/>
                  <w:vAlign w:val="center"/>
                </w:tcPr>
                <w:p w14:paraId="5DF825BB">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监测点位</w:t>
                  </w:r>
                </w:p>
              </w:tc>
              <w:tc>
                <w:tcPr>
                  <w:tcW w:w="2148" w:type="dxa"/>
                  <w:noWrap w:val="0"/>
                  <w:vAlign w:val="center"/>
                </w:tcPr>
                <w:p w14:paraId="259D023D">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污染物</w:t>
                  </w:r>
                </w:p>
              </w:tc>
              <w:tc>
                <w:tcPr>
                  <w:tcW w:w="536" w:type="dxa"/>
                  <w:noWrap w:val="0"/>
                  <w:vAlign w:val="center"/>
                </w:tcPr>
                <w:p w14:paraId="489FE8F2">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监测频次</w:t>
                  </w:r>
                </w:p>
              </w:tc>
              <w:tc>
                <w:tcPr>
                  <w:tcW w:w="3589" w:type="dxa"/>
                  <w:noWrap w:val="0"/>
                  <w:vAlign w:val="center"/>
                </w:tcPr>
                <w:p w14:paraId="1C7350B3">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控制指标</w:t>
                  </w:r>
                </w:p>
              </w:tc>
            </w:tr>
            <w:tr w14:paraId="547E6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noWrap w:val="0"/>
                  <w:vAlign w:val="center"/>
                </w:tcPr>
                <w:p w14:paraId="3084BD71">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屠宰车间、污水处理设施</w:t>
                  </w:r>
                </w:p>
              </w:tc>
              <w:tc>
                <w:tcPr>
                  <w:tcW w:w="682" w:type="dxa"/>
                  <w:noWrap w:val="0"/>
                  <w:vAlign w:val="center"/>
                </w:tcPr>
                <w:p w14:paraId="197E6AF7">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厂界</w:t>
                  </w:r>
                </w:p>
              </w:tc>
              <w:tc>
                <w:tcPr>
                  <w:tcW w:w="2148" w:type="dxa"/>
                  <w:noWrap w:val="0"/>
                  <w:vAlign w:val="center"/>
                </w:tcPr>
                <w:p w14:paraId="2243D56B">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臭气浓度、H</w:t>
                  </w:r>
                  <w:r>
                    <w:rPr>
                      <w:rFonts w:hint="default" w:ascii="Times New Roman" w:hAnsi="Times New Roman" w:eastAsia="宋体" w:cs="Times New Roman"/>
                      <w:sz w:val="21"/>
                      <w:szCs w:val="21"/>
                      <w:vertAlign w:val="subscript"/>
                      <w:lang w:val="en-US" w:eastAsia="zh-CN"/>
                    </w:rPr>
                    <w:t>2</w:t>
                  </w:r>
                  <w:r>
                    <w:rPr>
                      <w:rFonts w:hint="default" w:ascii="Times New Roman" w:hAnsi="Times New Roman" w:eastAsia="宋体" w:cs="Times New Roman"/>
                      <w:sz w:val="21"/>
                      <w:szCs w:val="21"/>
                      <w:vertAlign w:val="baseline"/>
                      <w:lang w:val="en-US" w:eastAsia="zh-CN"/>
                    </w:rPr>
                    <w:t>S、NH</w:t>
                  </w:r>
                  <w:r>
                    <w:rPr>
                      <w:rFonts w:hint="default" w:ascii="Times New Roman" w:hAnsi="Times New Roman" w:eastAsia="宋体" w:cs="Times New Roman"/>
                      <w:sz w:val="21"/>
                      <w:szCs w:val="21"/>
                      <w:vertAlign w:val="subscript"/>
                      <w:lang w:val="en-US" w:eastAsia="zh-CN"/>
                    </w:rPr>
                    <w:t>3</w:t>
                  </w:r>
                </w:p>
              </w:tc>
              <w:tc>
                <w:tcPr>
                  <w:tcW w:w="536" w:type="dxa"/>
                  <w:noWrap w:val="0"/>
                  <w:vAlign w:val="center"/>
                </w:tcPr>
                <w:p w14:paraId="6C15D547">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每</w:t>
                  </w:r>
                  <w:r>
                    <w:rPr>
                      <w:rFonts w:hint="default" w:ascii="Times New Roman" w:hAnsi="Times New Roman" w:eastAsia="宋体" w:cs="Times New Roman"/>
                      <w:sz w:val="21"/>
                      <w:szCs w:val="21"/>
                      <w:vertAlign w:val="baseline"/>
                      <w:lang w:val="en-US" w:eastAsia="zh-CN"/>
                    </w:rPr>
                    <w:t>半年一次</w:t>
                  </w:r>
                </w:p>
              </w:tc>
              <w:tc>
                <w:tcPr>
                  <w:tcW w:w="3589" w:type="dxa"/>
                  <w:noWrap w:val="0"/>
                  <w:vAlign w:val="center"/>
                </w:tcPr>
                <w:p w14:paraId="7B8CBD31">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《恶臭污染物排放标准》（GB14554-93）表 1 恶臭污染物厂界二级标准及表2中排放限值要求</w:t>
                  </w:r>
                </w:p>
              </w:tc>
            </w:tr>
            <w:tr w14:paraId="0E7E1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noWrap w:val="0"/>
                  <w:vAlign w:val="center"/>
                </w:tcPr>
                <w:p w14:paraId="02B16430">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综合废水</w:t>
                  </w:r>
                </w:p>
              </w:tc>
              <w:tc>
                <w:tcPr>
                  <w:tcW w:w="682" w:type="dxa"/>
                  <w:noWrap w:val="0"/>
                  <w:vAlign w:val="center"/>
                </w:tcPr>
                <w:p w14:paraId="6AAAD3FE">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污水处理站总排口</w:t>
                  </w:r>
                </w:p>
              </w:tc>
              <w:tc>
                <w:tcPr>
                  <w:tcW w:w="2148" w:type="dxa"/>
                  <w:noWrap w:val="0"/>
                  <w:vAlign w:val="center"/>
                </w:tcPr>
                <w:p w14:paraId="50295843">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pH值、化学需氧量、氨氮、总氮、总磷、悬浮物、五日生化需氧量、动植物油、大肠菌群数</w:t>
                  </w:r>
                </w:p>
              </w:tc>
              <w:tc>
                <w:tcPr>
                  <w:tcW w:w="536" w:type="dxa"/>
                  <w:noWrap w:val="0"/>
                  <w:vAlign w:val="center"/>
                </w:tcPr>
                <w:p w14:paraId="6A2CAECC">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每</w:t>
                  </w:r>
                  <w:r>
                    <w:rPr>
                      <w:rFonts w:hint="default" w:ascii="Times New Roman" w:hAnsi="Times New Roman" w:eastAsia="宋体" w:cs="Times New Roman"/>
                      <w:sz w:val="21"/>
                      <w:szCs w:val="21"/>
                      <w:vertAlign w:val="baseline"/>
                      <w:lang w:val="en-US" w:eastAsia="zh-CN"/>
                    </w:rPr>
                    <w:t>季度一次</w:t>
                  </w:r>
                </w:p>
              </w:tc>
              <w:tc>
                <w:tcPr>
                  <w:tcW w:w="3589" w:type="dxa"/>
                  <w:noWrap w:val="0"/>
                  <w:vAlign w:val="center"/>
                </w:tcPr>
                <w:p w14:paraId="06B4E3FC">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《肉类加工工业水污染物排放标准》（GB13457-92）表3中畜类屠宰加工三级标准限值要求及南岳区污水处理厂纳管标准</w:t>
                  </w:r>
                </w:p>
              </w:tc>
            </w:tr>
            <w:tr w14:paraId="3AB7D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noWrap w:val="0"/>
                  <w:vAlign w:val="center"/>
                </w:tcPr>
                <w:p w14:paraId="2F488F12">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噪声</w:t>
                  </w:r>
                </w:p>
              </w:tc>
              <w:tc>
                <w:tcPr>
                  <w:tcW w:w="682" w:type="dxa"/>
                  <w:noWrap w:val="0"/>
                  <w:vAlign w:val="center"/>
                </w:tcPr>
                <w:p w14:paraId="11BE3DE2">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厂界</w:t>
                  </w:r>
                </w:p>
              </w:tc>
              <w:tc>
                <w:tcPr>
                  <w:tcW w:w="2148" w:type="dxa"/>
                  <w:noWrap w:val="0"/>
                  <w:vAlign w:val="center"/>
                </w:tcPr>
                <w:p w14:paraId="5E6DB4AA">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昼、夜连续等效A声级</w:t>
                  </w:r>
                </w:p>
              </w:tc>
              <w:tc>
                <w:tcPr>
                  <w:tcW w:w="536" w:type="dxa"/>
                  <w:noWrap w:val="0"/>
                  <w:vAlign w:val="center"/>
                </w:tcPr>
                <w:p w14:paraId="03FC1339">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每</w:t>
                  </w:r>
                  <w:r>
                    <w:rPr>
                      <w:rFonts w:hint="default" w:ascii="Times New Roman" w:hAnsi="Times New Roman" w:eastAsia="宋体" w:cs="Times New Roman"/>
                      <w:sz w:val="21"/>
                      <w:szCs w:val="21"/>
                      <w:vertAlign w:val="baseline"/>
                      <w:lang w:val="en-US" w:eastAsia="zh-CN"/>
                    </w:rPr>
                    <w:t>季度一次</w:t>
                  </w:r>
                </w:p>
              </w:tc>
              <w:tc>
                <w:tcPr>
                  <w:tcW w:w="3589" w:type="dxa"/>
                  <w:noWrap w:val="0"/>
                  <w:vAlign w:val="center"/>
                </w:tcPr>
                <w:p w14:paraId="73F6151B">
                  <w:pPr>
                    <w:pStyle w:val="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《工业企业厂界环境噪声排放标准》（GB12348-2008）中2类标准</w:t>
                  </w:r>
                </w:p>
              </w:tc>
            </w:tr>
          </w:tbl>
          <w:p w14:paraId="24C71EF1">
            <w:pPr>
              <w:keepNext w:val="0"/>
              <w:keepLines w:val="0"/>
              <w:pageBreakBefore w:val="0"/>
              <w:widowControl w:val="0"/>
              <w:numPr>
                <w:ilvl w:val="0"/>
                <w:numId w:val="0"/>
              </w:numPr>
              <w:tabs>
                <w:tab w:val="left" w:pos="461"/>
              </w:tabs>
              <w:kinsoku/>
              <w:wordWrap/>
              <w:overflowPunct/>
              <w:topLinePunct w:val="0"/>
              <w:autoSpaceDE/>
              <w:autoSpaceDN/>
              <w:bidi w:val="0"/>
              <w:adjustRightInd/>
              <w:snapToGrid/>
              <w:spacing w:beforeAutospacing="0" w:afterAutospacing="0" w:line="360" w:lineRule="auto"/>
              <w:ind w:right="0" w:rightChars="0" w:firstLine="482" w:firstLineChars="200"/>
              <w:jc w:val="both"/>
              <w:textAlignment w:val="auto"/>
              <w:rPr>
                <w:rFonts w:hint="default" w:ascii="Times New Roman" w:hAnsi="Times New Roman" w:cs="Times New Roman"/>
                <w:b/>
                <w:bCs/>
                <w:color w:val="auto"/>
                <w:kern w:val="0"/>
                <w:sz w:val="24"/>
                <w:szCs w:val="24"/>
                <w:u w:val="none"/>
                <w:lang w:val="en-US" w:eastAsia="zh-CN" w:bidi="ar-SA"/>
              </w:rPr>
            </w:pPr>
            <w:r>
              <w:rPr>
                <w:rFonts w:hint="eastAsia" w:cs="Times New Roman"/>
                <w:b/>
                <w:bCs/>
                <w:color w:val="auto"/>
                <w:kern w:val="0"/>
                <w:sz w:val="24"/>
                <w:szCs w:val="24"/>
                <w:lang w:val="en-US" w:eastAsia="zh-CN" w:bidi="ar-SA"/>
              </w:rPr>
              <w:t>九</w:t>
            </w:r>
            <w:r>
              <w:rPr>
                <w:rFonts w:hint="default" w:ascii="Times New Roman" w:hAnsi="Times New Roman" w:eastAsia="宋体" w:cs="Times New Roman"/>
                <w:b/>
                <w:bCs/>
                <w:color w:val="auto"/>
                <w:kern w:val="0"/>
                <w:sz w:val="24"/>
                <w:szCs w:val="24"/>
                <w:lang w:val="en-US" w:eastAsia="zh-CN" w:bidi="ar-SA"/>
              </w:rPr>
              <w:t>、</w:t>
            </w:r>
            <w:r>
              <w:rPr>
                <w:rFonts w:hint="default" w:ascii="Times New Roman" w:hAnsi="Times New Roman" w:cs="Times New Roman"/>
                <w:b/>
                <w:bCs/>
                <w:color w:val="auto"/>
                <w:kern w:val="0"/>
                <w:sz w:val="24"/>
                <w:szCs w:val="24"/>
                <w:lang w:val="en-US" w:eastAsia="zh-CN" w:bidi="ar-SA"/>
              </w:rPr>
              <w:t>项目</w:t>
            </w:r>
            <w:r>
              <w:rPr>
                <w:rFonts w:hint="default" w:ascii="Times New Roman" w:hAnsi="Times New Roman" w:cs="Times New Roman"/>
                <w:b/>
                <w:bCs/>
                <w:color w:val="auto"/>
                <w:kern w:val="0"/>
                <w:sz w:val="24"/>
                <w:szCs w:val="24"/>
                <w:u w:val="none"/>
                <w:lang w:val="en-US" w:eastAsia="zh-CN" w:bidi="ar-SA"/>
              </w:rPr>
              <w:t>污染物汇总</w:t>
            </w:r>
          </w:p>
          <w:p w14:paraId="4CE8D256">
            <w:pPr>
              <w:pStyle w:val="30"/>
              <w:keepNext w:val="0"/>
              <w:keepLines w:val="0"/>
              <w:pageBreakBefore w:val="0"/>
              <w:widowControl w:val="0"/>
              <w:numPr>
                <w:ilvl w:val="0"/>
                <w:numId w:val="0"/>
              </w:numPr>
              <w:kinsoku/>
              <w:wordWrap/>
              <w:overflowPunct/>
              <w:topLinePunct w:val="0"/>
              <w:bidi w:val="0"/>
              <w:snapToGrid/>
              <w:ind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本项目排放污染物汇总得到下表4-</w:t>
            </w:r>
            <w:r>
              <w:rPr>
                <w:rFonts w:hint="eastAsia" w:ascii="Times New Roman" w:hAnsi="Times New Roman" w:cs="Times New Roman"/>
                <w:lang w:val="en-US" w:eastAsia="zh-CN"/>
              </w:rPr>
              <w:t>20</w:t>
            </w:r>
            <w:r>
              <w:rPr>
                <w:rFonts w:hint="default" w:ascii="Times New Roman" w:hAnsi="Times New Roman" w:cs="Times New Roman"/>
                <w:lang w:val="en-US" w:eastAsia="zh-CN"/>
              </w:rPr>
              <w:t>：</w:t>
            </w:r>
          </w:p>
          <w:p w14:paraId="385E3EB9">
            <w:pPr>
              <w:pStyle w:val="32"/>
              <w:keepNext w:val="0"/>
              <w:keepLines w:val="0"/>
              <w:pageBreakBefore w:val="0"/>
              <w:widowControl w:val="0"/>
              <w:kinsoku/>
              <w:wordWrap/>
              <w:overflowPunct/>
              <w:topLinePunct w:val="0"/>
              <w:autoSpaceDE/>
              <w:autoSpaceDN/>
              <w:bidi w:val="0"/>
              <w:adjustRightInd/>
              <w:snapToGrid/>
              <w:spacing w:beforeLines="0" w:line="360" w:lineRule="auto"/>
              <w:ind w:left="0" w:leftChars="0"/>
              <w:jc w:val="center"/>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表4-</w:t>
            </w:r>
            <w:r>
              <w:rPr>
                <w:rFonts w:hint="eastAsia" w:ascii="Times New Roman" w:hAnsi="Times New Roman" w:cs="Times New Roman"/>
                <w:b/>
                <w:bCs/>
                <w:lang w:val="en-US" w:eastAsia="zh-CN"/>
              </w:rPr>
              <w:t>20</w:t>
            </w:r>
            <w:r>
              <w:rPr>
                <w:rFonts w:hint="default" w:ascii="Times New Roman" w:hAnsi="Times New Roman" w:cs="Times New Roman"/>
                <w:b/>
                <w:bCs/>
                <w:lang w:val="en-US" w:eastAsia="zh-CN"/>
              </w:rPr>
              <w:t>项目污染物产排情况汇总表</w:t>
            </w:r>
          </w:p>
          <w:tbl>
            <w:tblPr>
              <w:tblStyle w:val="21"/>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9"/>
              <w:gridCol w:w="1462"/>
              <w:gridCol w:w="1464"/>
              <w:gridCol w:w="548"/>
              <w:gridCol w:w="1003"/>
              <w:gridCol w:w="1004"/>
              <w:gridCol w:w="899"/>
            </w:tblGrid>
            <w:tr w14:paraId="4032F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15" w:type="pct"/>
                  <w:gridSpan w:val="3"/>
                  <w:noWrap w:val="0"/>
                  <w:vAlign w:val="center"/>
                </w:tcPr>
                <w:p w14:paraId="4537A9C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主要污染物</w:t>
                  </w:r>
                </w:p>
              </w:tc>
              <w:tc>
                <w:tcPr>
                  <w:tcW w:w="346" w:type="pct"/>
                  <w:noWrap w:val="0"/>
                  <w:vAlign w:val="center"/>
                </w:tcPr>
                <w:p w14:paraId="285EA04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单位</w:t>
                  </w:r>
                </w:p>
              </w:tc>
              <w:tc>
                <w:tcPr>
                  <w:tcW w:w="634" w:type="pct"/>
                  <w:noWrap w:val="0"/>
                  <w:vAlign w:val="center"/>
                </w:tcPr>
                <w:p w14:paraId="657C4CA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产生量</w:t>
                  </w:r>
                </w:p>
              </w:tc>
              <w:tc>
                <w:tcPr>
                  <w:tcW w:w="634" w:type="pct"/>
                  <w:noWrap w:val="0"/>
                  <w:vAlign w:val="center"/>
                </w:tcPr>
                <w:p w14:paraId="1D3F6BC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削减量</w:t>
                  </w:r>
                </w:p>
              </w:tc>
              <w:tc>
                <w:tcPr>
                  <w:tcW w:w="568" w:type="pct"/>
                  <w:noWrap w:val="0"/>
                  <w:vAlign w:val="center"/>
                </w:tcPr>
                <w:p w14:paraId="37B3C4C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排放量</w:t>
                  </w:r>
                </w:p>
              </w:tc>
            </w:tr>
            <w:tr w14:paraId="3D4E9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966" w:type="pct"/>
                  <w:vMerge w:val="restart"/>
                  <w:noWrap w:val="0"/>
                  <w:vAlign w:val="center"/>
                </w:tcPr>
                <w:p w14:paraId="24D2AB8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综合废水（50851.5t/a）</w:t>
                  </w:r>
                </w:p>
              </w:tc>
              <w:tc>
                <w:tcPr>
                  <w:tcW w:w="1849" w:type="pct"/>
                  <w:gridSpan w:val="2"/>
                  <w:noWrap w:val="0"/>
                  <w:vAlign w:val="center"/>
                </w:tcPr>
                <w:p w14:paraId="6424995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COD</w:t>
                  </w:r>
                </w:p>
              </w:tc>
              <w:tc>
                <w:tcPr>
                  <w:tcW w:w="346" w:type="pct"/>
                  <w:noWrap w:val="0"/>
                  <w:vAlign w:val="center"/>
                </w:tcPr>
                <w:p w14:paraId="0D9BAFE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t/a</w:t>
                  </w:r>
                </w:p>
              </w:tc>
              <w:tc>
                <w:tcPr>
                  <w:tcW w:w="634" w:type="pct"/>
                  <w:noWrap w:val="0"/>
                  <w:vAlign w:val="center"/>
                </w:tcPr>
                <w:p w14:paraId="04C011C1">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76.2629</w:t>
                  </w:r>
                </w:p>
              </w:tc>
              <w:tc>
                <w:tcPr>
                  <w:tcW w:w="634" w:type="pct"/>
                  <w:noWrap w:val="0"/>
                  <w:vAlign w:val="center"/>
                </w:tcPr>
                <w:p w14:paraId="099D5CCF">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107.5134</w:t>
                  </w:r>
                </w:p>
              </w:tc>
              <w:tc>
                <w:tcPr>
                  <w:tcW w:w="568" w:type="pct"/>
                  <w:noWrap w:val="0"/>
                  <w:vAlign w:val="center"/>
                </w:tcPr>
                <w:p w14:paraId="477793FC">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r>
                    <w:rPr>
                      <w:rFonts w:hint="eastAsia" w:cs="Times New Roman"/>
                      <w:color w:val="auto"/>
                      <w:sz w:val="21"/>
                      <w:szCs w:val="21"/>
                      <w:highlight w:val="none"/>
                      <w:u w:val="none" w:color="auto"/>
                      <w:lang w:val="en-US" w:eastAsia="zh-CN"/>
                    </w:rPr>
                    <w:t>0821</w:t>
                  </w:r>
                </w:p>
              </w:tc>
            </w:tr>
            <w:tr w14:paraId="206FD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noWrap w:val="0"/>
                  <w:vAlign w:val="center"/>
                </w:tcPr>
                <w:p w14:paraId="03866F8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noWrap w:val="0"/>
                  <w:vAlign w:val="center"/>
                </w:tcPr>
                <w:p w14:paraId="2ED03E5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BOD</w:t>
                  </w:r>
                  <w:r>
                    <w:rPr>
                      <w:rFonts w:hint="default" w:ascii="Times New Roman" w:hAnsi="Times New Roman" w:eastAsia="宋体" w:cs="Times New Roman"/>
                      <w:color w:val="auto"/>
                      <w:sz w:val="21"/>
                      <w:szCs w:val="21"/>
                      <w:highlight w:val="none"/>
                      <w:u w:val="none" w:color="auto"/>
                      <w:vertAlign w:val="subscript"/>
                      <w:lang w:val="en-US" w:eastAsia="zh-CN"/>
                    </w:rPr>
                    <w:t>5</w:t>
                  </w:r>
                </w:p>
              </w:tc>
              <w:tc>
                <w:tcPr>
                  <w:tcW w:w="346" w:type="pct"/>
                  <w:noWrap w:val="0"/>
                  <w:vAlign w:val="center"/>
                </w:tcPr>
                <w:p w14:paraId="0D27D1F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t/a</w:t>
                  </w:r>
                </w:p>
              </w:tc>
              <w:tc>
                <w:tcPr>
                  <w:tcW w:w="634" w:type="pct"/>
                  <w:noWrap w:val="0"/>
                  <w:vAlign w:val="center"/>
                </w:tcPr>
                <w:p w14:paraId="18DBC7A1">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34.545</w:t>
                  </w:r>
                </w:p>
              </w:tc>
              <w:tc>
                <w:tcPr>
                  <w:tcW w:w="634" w:type="pct"/>
                  <w:noWrap w:val="0"/>
                  <w:vAlign w:val="center"/>
                </w:tcPr>
                <w:p w14:paraId="349B2293">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48.819</w:t>
                  </w:r>
                </w:p>
              </w:tc>
              <w:tc>
                <w:tcPr>
                  <w:tcW w:w="568" w:type="pct"/>
                  <w:noWrap w:val="0"/>
                  <w:vAlign w:val="center"/>
                </w:tcPr>
                <w:p w14:paraId="7F65BC18">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r>
                    <w:rPr>
                      <w:rFonts w:hint="eastAsia" w:cs="Times New Roman"/>
                      <w:color w:val="auto"/>
                      <w:sz w:val="21"/>
                      <w:szCs w:val="21"/>
                      <w:highlight w:val="none"/>
                      <w:u w:val="none" w:color="auto"/>
                      <w:lang w:val="en-US" w:eastAsia="zh-CN"/>
                    </w:rPr>
                    <w:t>3607</w:t>
                  </w:r>
                </w:p>
              </w:tc>
            </w:tr>
            <w:tr w14:paraId="0526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noWrap w:val="0"/>
                  <w:vAlign w:val="center"/>
                </w:tcPr>
                <w:p w14:paraId="7E97AB2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noWrap w:val="0"/>
                  <w:vAlign w:val="center"/>
                </w:tcPr>
                <w:p w14:paraId="1D0BEEE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SS</w:t>
                  </w:r>
                </w:p>
              </w:tc>
              <w:tc>
                <w:tcPr>
                  <w:tcW w:w="346" w:type="pct"/>
                  <w:noWrap w:val="0"/>
                  <w:vAlign w:val="center"/>
                </w:tcPr>
                <w:p w14:paraId="6F8B062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t/a</w:t>
                  </w:r>
                </w:p>
              </w:tc>
              <w:tc>
                <w:tcPr>
                  <w:tcW w:w="634" w:type="pct"/>
                  <w:noWrap w:val="0"/>
                  <w:vAlign w:val="center"/>
                </w:tcPr>
                <w:p w14:paraId="3AEE5D61">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34.4991</w:t>
                  </w:r>
                </w:p>
              </w:tc>
              <w:tc>
                <w:tcPr>
                  <w:tcW w:w="634" w:type="pct"/>
                  <w:noWrap w:val="0"/>
                  <w:vAlign w:val="center"/>
                </w:tcPr>
                <w:p w14:paraId="333CF64D">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48.8174</w:t>
                  </w:r>
                </w:p>
              </w:tc>
              <w:tc>
                <w:tcPr>
                  <w:tcW w:w="568" w:type="pct"/>
                  <w:noWrap w:val="0"/>
                  <w:vAlign w:val="center"/>
                </w:tcPr>
                <w:p w14:paraId="01021B27">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r>
                    <w:rPr>
                      <w:rFonts w:hint="eastAsia" w:cs="Times New Roman"/>
                      <w:color w:val="auto"/>
                      <w:sz w:val="21"/>
                      <w:szCs w:val="21"/>
                      <w:highlight w:val="none"/>
                      <w:u w:val="none" w:color="auto"/>
                      <w:lang w:val="en-US" w:eastAsia="zh-CN"/>
                    </w:rPr>
                    <w:t>.3607</w:t>
                  </w:r>
                </w:p>
              </w:tc>
            </w:tr>
            <w:tr w14:paraId="00ECB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noWrap w:val="0"/>
                  <w:vAlign w:val="center"/>
                </w:tcPr>
                <w:p w14:paraId="368965F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noWrap w:val="0"/>
                  <w:vAlign w:val="center"/>
                </w:tcPr>
                <w:p w14:paraId="3437F58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NH</w:t>
                  </w:r>
                  <w:r>
                    <w:rPr>
                      <w:rFonts w:hint="default" w:ascii="Times New Roman" w:hAnsi="Times New Roman" w:eastAsia="宋体" w:cs="Times New Roman"/>
                      <w:color w:val="auto"/>
                      <w:sz w:val="21"/>
                      <w:szCs w:val="21"/>
                      <w:highlight w:val="none"/>
                      <w:u w:val="none" w:color="auto"/>
                      <w:vertAlign w:val="subscript"/>
                      <w:lang w:val="en-US" w:eastAsia="zh-CN"/>
                    </w:rPr>
                    <w:t>3</w:t>
                  </w:r>
                  <w:r>
                    <w:rPr>
                      <w:rFonts w:hint="default" w:ascii="Times New Roman" w:hAnsi="Times New Roman" w:eastAsia="宋体" w:cs="Times New Roman"/>
                      <w:color w:val="auto"/>
                      <w:sz w:val="21"/>
                      <w:szCs w:val="21"/>
                      <w:highlight w:val="none"/>
                      <w:u w:val="none" w:color="auto"/>
                      <w:lang w:val="en-US" w:eastAsia="zh-CN"/>
                    </w:rPr>
                    <w:t>-N</w:t>
                  </w:r>
                </w:p>
              </w:tc>
              <w:tc>
                <w:tcPr>
                  <w:tcW w:w="346" w:type="pct"/>
                  <w:noWrap w:val="0"/>
                  <w:vAlign w:val="center"/>
                </w:tcPr>
                <w:p w14:paraId="6B1CDBF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t/a</w:t>
                  </w:r>
                </w:p>
              </w:tc>
              <w:tc>
                <w:tcPr>
                  <w:tcW w:w="634" w:type="pct"/>
                  <w:noWrap w:val="0"/>
                  <w:vAlign w:val="center"/>
                </w:tcPr>
                <w:p w14:paraId="6B81AE24">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2.467</w:t>
                  </w:r>
                </w:p>
              </w:tc>
              <w:tc>
                <w:tcPr>
                  <w:tcW w:w="634" w:type="pct"/>
                  <w:noWrap w:val="0"/>
                  <w:vAlign w:val="center"/>
                </w:tcPr>
                <w:p w14:paraId="099A3E0D">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3.4255</w:t>
                  </w:r>
                </w:p>
              </w:tc>
              <w:tc>
                <w:tcPr>
                  <w:tcW w:w="568" w:type="pct"/>
                  <w:noWrap w:val="0"/>
                  <w:vAlign w:val="center"/>
                </w:tcPr>
                <w:p w14:paraId="6001E3CC">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r>
                    <w:rPr>
                      <w:rFonts w:hint="eastAsia" w:cs="Times New Roman"/>
                      <w:color w:val="auto"/>
                      <w:sz w:val="21"/>
                      <w:szCs w:val="21"/>
                      <w:highlight w:val="none"/>
                      <w:u w:val="none" w:color="auto"/>
                      <w:lang w:val="en-US" w:eastAsia="zh-CN"/>
                    </w:rPr>
                    <w:t>0541</w:t>
                  </w:r>
                </w:p>
              </w:tc>
            </w:tr>
            <w:tr w14:paraId="0E91A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noWrap w:val="0"/>
                  <w:vAlign w:val="center"/>
                </w:tcPr>
                <w:p w14:paraId="3A2EF42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noWrap w:val="0"/>
                  <w:vAlign w:val="center"/>
                </w:tcPr>
                <w:p w14:paraId="32FAA34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动植物油</w:t>
                  </w:r>
                </w:p>
              </w:tc>
              <w:tc>
                <w:tcPr>
                  <w:tcW w:w="346" w:type="pct"/>
                  <w:noWrap w:val="0"/>
                  <w:vAlign w:val="center"/>
                </w:tcPr>
                <w:p w14:paraId="1848EE8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t/a</w:t>
                  </w:r>
                </w:p>
              </w:tc>
              <w:tc>
                <w:tcPr>
                  <w:tcW w:w="634" w:type="pct"/>
                  <w:noWrap w:val="0"/>
                  <w:vAlign w:val="center"/>
                </w:tcPr>
                <w:p w14:paraId="4EF409CC">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3.4493</w:t>
                  </w:r>
                </w:p>
              </w:tc>
              <w:tc>
                <w:tcPr>
                  <w:tcW w:w="634" w:type="pct"/>
                  <w:noWrap w:val="0"/>
                  <w:vAlign w:val="center"/>
                </w:tcPr>
                <w:p w14:paraId="1095F01B">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4.8766</w:t>
                  </w:r>
                </w:p>
              </w:tc>
              <w:tc>
                <w:tcPr>
                  <w:tcW w:w="568" w:type="pct"/>
                  <w:noWrap w:val="0"/>
                  <w:vAlign w:val="center"/>
                </w:tcPr>
                <w:p w14:paraId="5305BC52">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r>
                    <w:rPr>
                      <w:rFonts w:hint="eastAsia" w:cs="Times New Roman"/>
                      <w:color w:val="auto"/>
                      <w:sz w:val="21"/>
                      <w:szCs w:val="21"/>
                      <w:highlight w:val="none"/>
                      <w:u w:val="none" w:color="auto"/>
                      <w:lang w:val="en-US" w:eastAsia="zh-CN"/>
                    </w:rPr>
                    <w:t>0361</w:t>
                  </w:r>
                </w:p>
              </w:tc>
            </w:tr>
            <w:tr w14:paraId="05EA5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noWrap w:val="0"/>
                  <w:vAlign w:val="center"/>
                </w:tcPr>
                <w:p w14:paraId="6B1D77C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noWrap w:val="0"/>
                  <w:vAlign w:val="center"/>
                </w:tcPr>
                <w:p w14:paraId="01DB37A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总氮</w:t>
                  </w:r>
                </w:p>
              </w:tc>
              <w:tc>
                <w:tcPr>
                  <w:tcW w:w="346" w:type="pct"/>
                  <w:noWrap w:val="0"/>
                  <w:vAlign w:val="center"/>
                </w:tcPr>
                <w:p w14:paraId="74ED161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t/a</w:t>
                  </w:r>
                </w:p>
              </w:tc>
              <w:tc>
                <w:tcPr>
                  <w:tcW w:w="634" w:type="pct"/>
                  <w:noWrap w:val="0"/>
                  <w:vAlign w:val="center"/>
                </w:tcPr>
                <w:p w14:paraId="6CB35ABF">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5.8637</w:t>
                  </w:r>
                </w:p>
              </w:tc>
              <w:tc>
                <w:tcPr>
                  <w:tcW w:w="634" w:type="pct"/>
                  <w:noWrap w:val="0"/>
                  <w:vAlign w:val="center"/>
                </w:tcPr>
                <w:p w14:paraId="3B5ECF26">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7.8683</w:t>
                  </w:r>
                </w:p>
              </w:tc>
              <w:tc>
                <w:tcPr>
                  <w:tcW w:w="568" w:type="pct"/>
                  <w:noWrap w:val="0"/>
                  <w:vAlign w:val="center"/>
                </w:tcPr>
                <w:p w14:paraId="46E571A4">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r>
                    <w:rPr>
                      <w:rFonts w:hint="eastAsia" w:cs="Times New Roman"/>
                      <w:color w:val="auto"/>
                      <w:sz w:val="21"/>
                      <w:szCs w:val="21"/>
                      <w:highlight w:val="none"/>
                      <w:u w:val="none" w:color="auto"/>
                      <w:lang w:val="en-US" w:eastAsia="zh-CN"/>
                    </w:rPr>
                    <w:t>3607</w:t>
                  </w:r>
                </w:p>
              </w:tc>
            </w:tr>
            <w:tr w14:paraId="01146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noWrap w:val="0"/>
                  <w:vAlign w:val="center"/>
                </w:tcPr>
                <w:p w14:paraId="2506EF2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noWrap w:val="0"/>
                  <w:vAlign w:val="center"/>
                </w:tcPr>
                <w:p w14:paraId="61B26A7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总磷</w:t>
                  </w:r>
                </w:p>
              </w:tc>
              <w:tc>
                <w:tcPr>
                  <w:tcW w:w="346" w:type="pct"/>
                  <w:noWrap w:val="0"/>
                  <w:vAlign w:val="center"/>
                </w:tcPr>
                <w:p w14:paraId="2D842E8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t/a</w:t>
                  </w:r>
                </w:p>
              </w:tc>
              <w:tc>
                <w:tcPr>
                  <w:tcW w:w="634" w:type="pct"/>
                  <w:noWrap w:val="0"/>
                  <w:vAlign w:val="center"/>
                </w:tcPr>
                <w:p w14:paraId="548CABED">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0.2</w:t>
                  </w:r>
                  <w:r>
                    <w:rPr>
                      <w:rFonts w:hint="eastAsia" w:cs="Times New Roman"/>
                      <w:color w:val="auto"/>
                      <w:sz w:val="21"/>
                      <w:szCs w:val="21"/>
                      <w:highlight w:val="none"/>
                      <w:u w:val="none" w:color="auto"/>
                      <w:lang w:val="en-US" w:eastAsia="zh-CN"/>
                    </w:rPr>
                    <w:t>070</w:t>
                  </w:r>
                </w:p>
              </w:tc>
              <w:tc>
                <w:tcPr>
                  <w:tcW w:w="634" w:type="pct"/>
                  <w:noWrap w:val="0"/>
                  <w:vAlign w:val="center"/>
                </w:tcPr>
                <w:p w14:paraId="4390921C">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0.2804</w:t>
                  </w:r>
                </w:p>
              </w:tc>
              <w:tc>
                <w:tcPr>
                  <w:tcW w:w="568" w:type="pct"/>
                  <w:noWrap w:val="0"/>
                  <w:vAlign w:val="center"/>
                </w:tcPr>
                <w:p w14:paraId="09146FA8">
                  <w:pPr>
                    <w:keepNext w:val="0"/>
                    <w:pageBreakBefore w:val="0"/>
                    <w:widowControl/>
                    <w:kinsoku/>
                    <w:wordWrap/>
                    <w:overflowPunct/>
                    <w:topLinePunct w:val="0"/>
                    <w:autoSpaceDE/>
                    <w:autoSpaceDN/>
                    <w:bidi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0.01</w:t>
                  </w:r>
                  <w:r>
                    <w:rPr>
                      <w:rFonts w:hint="eastAsia" w:cs="Times New Roman"/>
                      <w:color w:val="auto"/>
                      <w:sz w:val="21"/>
                      <w:szCs w:val="21"/>
                      <w:highlight w:val="none"/>
                      <w:u w:val="none" w:color="auto"/>
                      <w:lang w:val="en-US" w:eastAsia="zh-CN"/>
                    </w:rPr>
                    <w:t>08</w:t>
                  </w:r>
                </w:p>
              </w:tc>
            </w:tr>
            <w:tr w14:paraId="47593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966" w:type="pct"/>
                  <w:vMerge w:val="restart"/>
                  <w:noWrap w:val="0"/>
                  <w:vAlign w:val="center"/>
                </w:tcPr>
                <w:p w14:paraId="69FA06B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废气</w:t>
                  </w:r>
                </w:p>
              </w:tc>
              <w:tc>
                <w:tcPr>
                  <w:tcW w:w="1849" w:type="pct"/>
                  <w:gridSpan w:val="2"/>
                  <w:noWrap w:val="0"/>
                  <w:vAlign w:val="center"/>
                </w:tcPr>
                <w:p w14:paraId="71660F3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NH</w:t>
                  </w:r>
                  <w:r>
                    <w:rPr>
                      <w:rFonts w:hint="default" w:ascii="Times New Roman" w:hAnsi="Times New Roman" w:eastAsia="宋体" w:cs="Times New Roman"/>
                      <w:color w:val="auto"/>
                      <w:sz w:val="21"/>
                      <w:szCs w:val="21"/>
                      <w:highlight w:val="none"/>
                      <w:u w:val="none" w:color="auto"/>
                      <w:vertAlign w:val="subscript"/>
                      <w:lang w:val="en-US" w:eastAsia="zh-CN"/>
                    </w:rPr>
                    <w:t>3</w:t>
                  </w:r>
                </w:p>
              </w:tc>
              <w:tc>
                <w:tcPr>
                  <w:tcW w:w="346" w:type="pct"/>
                  <w:noWrap w:val="0"/>
                  <w:vAlign w:val="center"/>
                </w:tcPr>
                <w:p w14:paraId="59736DD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t/a</w:t>
                  </w:r>
                </w:p>
              </w:tc>
              <w:tc>
                <w:tcPr>
                  <w:tcW w:w="634" w:type="pct"/>
                  <w:noWrap w:val="0"/>
                  <w:vAlign w:val="center"/>
                </w:tcPr>
                <w:p w14:paraId="5B055F55">
                  <w:pPr>
                    <w:keepNext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bidi="ar-SA"/>
                    </w:rPr>
                    <w:t>0.12711</w:t>
                  </w:r>
                </w:p>
              </w:tc>
              <w:tc>
                <w:tcPr>
                  <w:tcW w:w="634" w:type="pct"/>
                  <w:noWrap w:val="0"/>
                  <w:vAlign w:val="center"/>
                </w:tcPr>
                <w:p w14:paraId="5F12104C">
                  <w:pPr>
                    <w:keepNext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bidi="ar-SA"/>
                    </w:rPr>
                    <w:t>0.06226</w:t>
                  </w:r>
                </w:p>
              </w:tc>
              <w:tc>
                <w:tcPr>
                  <w:tcW w:w="568" w:type="pct"/>
                  <w:noWrap w:val="0"/>
                  <w:vAlign w:val="center"/>
                </w:tcPr>
                <w:p w14:paraId="508F79A9">
                  <w:pPr>
                    <w:keepNext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napToGrid w:val="0"/>
                      <w:color w:val="auto"/>
                      <w:kern w:val="21"/>
                      <w:sz w:val="21"/>
                      <w:szCs w:val="21"/>
                      <w:highlight w:val="none"/>
                      <w:u w:val="none" w:color="auto"/>
                      <w:lang w:val="en-US" w:eastAsia="zh-CN" w:bidi="ar-SA"/>
                    </w:rPr>
                  </w:pPr>
                  <w:r>
                    <w:rPr>
                      <w:rFonts w:hint="default" w:ascii="Times New Roman" w:hAnsi="Times New Roman" w:eastAsia="宋体" w:cs="Times New Roman"/>
                      <w:snapToGrid w:val="0"/>
                      <w:color w:val="auto"/>
                      <w:kern w:val="21"/>
                      <w:sz w:val="21"/>
                      <w:szCs w:val="21"/>
                      <w:highlight w:val="none"/>
                      <w:u w:val="none" w:color="auto"/>
                      <w:lang w:val="en-US" w:eastAsia="zh-CN" w:bidi="ar-SA"/>
                    </w:rPr>
                    <w:t>0.06485</w:t>
                  </w:r>
                </w:p>
              </w:tc>
            </w:tr>
            <w:tr w14:paraId="59AC3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966" w:type="pct"/>
                  <w:vMerge w:val="continue"/>
                  <w:noWrap w:val="0"/>
                  <w:vAlign w:val="center"/>
                </w:tcPr>
                <w:p w14:paraId="41F56B6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p>
              </w:tc>
              <w:tc>
                <w:tcPr>
                  <w:tcW w:w="1849" w:type="pct"/>
                  <w:gridSpan w:val="2"/>
                  <w:noWrap w:val="0"/>
                  <w:vAlign w:val="center"/>
                </w:tcPr>
                <w:p w14:paraId="5923E61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H</w:t>
                  </w:r>
                  <w:r>
                    <w:rPr>
                      <w:rFonts w:hint="default" w:ascii="Times New Roman" w:hAnsi="Times New Roman" w:eastAsia="宋体" w:cs="Times New Roman"/>
                      <w:color w:val="auto"/>
                      <w:sz w:val="21"/>
                      <w:szCs w:val="21"/>
                      <w:highlight w:val="none"/>
                      <w:u w:val="none" w:color="auto"/>
                      <w:vertAlign w:val="subscript"/>
                      <w:lang w:val="en-US" w:eastAsia="zh-CN"/>
                    </w:rPr>
                    <w:t>2</w:t>
                  </w:r>
                  <w:r>
                    <w:rPr>
                      <w:rFonts w:hint="default" w:ascii="Times New Roman" w:hAnsi="Times New Roman" w:eastAsia="宋体" w:cs="Times New Roman"/>
                      <w:color w:val="auto"/>
                      <w:sz w:val="21"/>
                      <w:szCs w:val="21"/>
                      <w:highlight w:val="none"/>
                      <w:u w:val="none" w:color="auto"/>
                      <w:lang w:val="en-US" w:eastAsia="zh-CN"/>
                    </w:rPr>
                    <w:t>S</w:t>
                  </w:r>
                </w:p>
              </w:tc>
              <w:tc>
                <w:tcPr>
                  <w:tcW w:w="346" w:type="pct"/>
                  <w:noWrap w:val="0"/>
                  <w:vAlign w:val="center"/>
                </w:tcPr>
                <w:p w14:paraId="3D11574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t/a</w:t>
                  </w:r>
                </w:p>
              </w:tc>
              <w:tc>
                <w:tcPr>
                  <w:tcW w:w="634" w:type="pct"/>
                  <w:noWrap w:val="0"/>
                  <w:vAlign w:val="center"/>
                </w:tcPr>
                <w:p w14:paraId="38995A8F">
                  <w:pPr>
                    <w:keepNext w:val="0"/>
                    <w:keepLines/>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bookmarkStart w:id="20" w:name="_Toc28677"/>
                  <w:bookmarkStart w:id="21" w:name="_Toc28801"/>
                  <w:r>
                    <w:rPr>
                      <w:rFonts w:hint="default" w:ascii="Times New Roman" w:hAnsi="Times New Roman" w:eastAsia="宋体" w:cs="Times New Roman"/>
                      <w:color w:val="auto"/>
                      <w:kern w:val="2"/>
                      <w:sz w:val="21"/>
                      <w:szCs w:val="21"/>
                      <w:highlight w:val="none"/>
                      <w:u w:val="none" w:color="auto"/>
                      <w:lang w:val="en-US" w:eastAsia="zh-CN" w:bidi="ar-SA"/>
                    </w:rPr>
                    <w:t>0.00674</w:t>
                  </w:r>
                  <w:bookmarkEnd w:id="20"/>
                  <w:bookmarkEnd w:id="21"/>
                </w:p>
              </w:tc>
              <w:tc>
                <w:tcPr>
                  <w:tcW w:w="634" w:type="pct"/>
                  <w:noWrap w:val="0"/>
                  <w:vAlign w:val="center"/>
                </w:tcPr>
                <w:p w14:paraId="2BD60150">
                  <w:pPr>
                    <w:keepNext w:val="0"/>
                    <w:keepLines/>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bookmarkStart w:id="22" w:name="_Toc20636"/>
                  <w:bookmarkStart w:id="23" w:name="_Toc20911"/>
                  <w:r>
                    <w:rPr>
                      <w:rFonts w:hint="default" w:ascii="Times New Roman" w:hAnsi="Times New Roman" w:eastAsia="宋体" w:cs="Times New Roman"/>
                      <w:color w:val="auto"/>
                      <w:kern w:val="2"/>
                      <w:sz w:val="21"/>
                      <w:szCs w:val="21"/>
                      <w:highlight w:val="none"/>
                      <w:u w:val="none" w:color="auto"/>
                      <w:lang w:val="en-US" w:eastAsia="zh-CN" w:bidi="ar-SA"/>
                    </w:rPr>
                    <w:t>0.00356</w:t>
                  </w:r>
                  <w:bookmarkEnd w:id="22"/>
                  <w:bookmarkEnd w:id="23"/>
                </w:p>
              </w:tc>
              <w:tc>
                <w:tcPr>
                  <w:tcW w:w="568" w:type="pct"/>
                  <w:noWrap w:val="0"/>
                  <w:vAlign w:val="center"/>
                </w:tcPr>
                <w:p w14:paraId="4EFE9EA5">
                  <w:pPr>
                    <w:keepNext w:val="0"/>
                    <w:keepLines/>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bookmarkStart w:id="24" w:name="_Toc24"/>
                  <w:bookmarkStart w:id="25" w:name="_Toc16049"/>
                  <w:r>
                    <w:rPr>
                      <w:rFonts w:hint="default" w:ascii="Times New Roman" w:hAnsi="Times New Roman" w:eastAsia="宋体" w:cs="Times New Roman"/>
                      <w:color w:val="auto"/>
                      <w:kern w:val="2"/>
                      <w:sz w:val="21"/>
                      <w:szCs w:val="21"/>
                      <w:highlight w:val="none"/>
                      <w:u w:val="none" w:color="auto"/>
                      <w:lang w:val="en-US" w:eastAsia="zh-CN" w:bidi="ar-SA"/>
                    </w:rPr>
                    <w:t>0.00318</w:t>
                  </w:r>
                  <w:bookmarkEnd w:id="24"/>
                  <w:bookmarkEnd w:id="25"/>
                </w:p>
              </w:tc>
            </w:tr>
            <w:tr w14:paraId="0D076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restart"/>
                  <w:tcBorders>
                    <w:left w:val="single" w:color="auto" w:sz="4" w:space="0"/>
                    <w:right w:val="single" w:color="auto" w:sz="4" w:space="0"/>
                  </w:tcBorders>
                  <w:noWrap w:val="0"/>
                  <w:vAlign w:val="center"/>
                </w:tcPr>
                <w:p w14:paraId="5632EC3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固体废物</w:t>
                  </w:r>
                </w:p>
              </w:tc>
              <w:tc>
                <w:tcPr>
                  <w:tcW w:w="1849" w:type="pct"/>
                  <w:gridSpan w:val="2"/>
                  <w:tcBorders>
                    <w:top w:val="single" w:color="auto" w:sz="4" w:space="0"/>
                    <w:left w:val="single" w:color="auto" w:sz="4" w:space="0"/>
                    <w:bottom w:val="single" w:color="auto" w:sz="4" w:space="0"/>
                    <w:right w:val="single" w:color="auto" w:sz="4" w:space="0"/>
                  </w:tcBorders>
                  <w:noWrap w:val="0"/>
                  <w:vAlign w:val="center"/>
                </w:tcPr>
                <w:p w14:paraId="0E8F801A">
                  <w:pPr>
                    <w:keepNext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生活垃圾</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4EE36E0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eastAsia="en-US"/>
                    </w:rPr>
                    <w:t>t/</w:t>
                  </w:r>
                  <w:r>
                    <w:rPr>
                      <w:rFonts w:hint="default" w:ascii="Times New Roman" w:hAnsi="Times New Roman" w:eastAsia="宋体" w:cs="Times New Roman"/>
                      <w:color w:val="auto"/>
                      <w:sz w:val="21"/>
                      <w:szCs w:val="21"/>
                      <w:highlight w:val="none"/>
                      <w:u w:val="none" w:color="auto"/>
                      <w:lang w:val="en-US" w:eastAsia="zh-CN"/>
                    </w:rPr>
                    <w:t>a</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31F9A53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2.25</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19DBAB3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0B93604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2.25</w:t>
                  </w:r>
                </w:p>
              </w:tc>
            </w:tr>
            <w:tr w14:paraId="4449C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tcBorders>
                    <w:left w:val="single" w:color="auto" w:sz="4" w:space="0"/>
                    <w:right w:val="single" w:color="auto" w:sz="4" w:space="0"/>
                  </w:tcBorders>
                  <w:noWrap w:val="0"/>
                  <w:vAlign w:val="center"/>
                </w:tcPr>
                <w:p w14:paraId="1919864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924" w:type="pct"/>
                  <w:vMerge w:val="restart"/>
                  <w:tcBorders>
                    <w:top w:val="single" w:color="auto" w:sz="4" w:space="0"/>
                    <w:left w:val="single" w:color="auto" w:sz="4" w:space="0"/>
                    <w:right w:val="single" w:color="auto" w:sz="4" w:space="0"/>
                  </w:tcBorders>
                  <w:noWrap w:val="0"/>
                  <w:vAlign w:val="center"/>
                </w:tcPr>
                <w:p w14:paraId="2A424A6B">
                  <w:pPr>
                    <w:keepNext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屠宰固体废物</w:t>
                  </w:r>
                  <w:r>
                    <w:rPr>
                      <w:rFonts w:hint="default" w:ascii="Times New Roman" w:hAnsi="Times New Roman" w:eastAsia="宋体" w:cs="Times New Roman"/>
                      <w:color w:val="auto"/>
                      <w:sz w:val="21"/>
                      <w:szCs w:val="21"/>
                      <w:highlight w:val="none"/>
                      <w:u w:val="none" w:color="auto"/>
                      <w:lang w:val="en-US" w:eastAsia="zh-CN"/>
                    </w:rPr>
                    <w:t>（1095t/a）</w:t>
                  </w:r>
                </w:p>
              </w:tc>
              <w:tc>
                <w:tcPr>
                  <w:tcW w:w="925" w:type="pct"/>
                  <w:tcBorders>
                    <w:top w:val="single" w:color="auto" w:sz="4" w:space="0"/>
                    <w:left w:val="single" w:color="auto" w:sz="4" w:space="0"/>
                    <w:bottom w:val="single" w:color="auto" w:sz="4" w:space="0"/>
                    <w:right w:val="single" w:color="auto" w:sz="4" w:space="0"/>
                  </w:tcBorders>
                  <w:noWrap w:val="0"/>
                  <w:vAlign w:val="center"/>
                </w:tcPr>
                <w:p w14:paraId="3E17C1BF">
                  <w:pPr>
                    <w:keepNext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不合格病肉</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47B3F0D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en-US"/>
                    </w:rPr>
                  </w:pPr>
                  <w:r>
                    <w:rPr>
                      <w:rFonts w:hint="default" w:ascii="Times New Roman" w:hAnsi="Times New Roman" w:eastAsia="宋体" w:cs="Times New Roman"/>
                      <w:color w:val="auto"/>
                      <w:sz w:val="21"/>
                      <w:szCs w:val="21"/>
                      <w:highlight w:val="none"/>
                      <w:u w:val="none" w:color="auto"/>
                      <w:lang w:eastAsia="en-US"/>
                    </w:rPr>
                    <w:t>t/a</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1382544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432.525</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731157C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769DA18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432.525</w:t>
                  </w:r>
                </w:p>
              </w:tc>
            </w:tr>
            <w:tr w14:paraId="5574D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tcBorders>
                    <w:left w:val="single" w:color="auto" w:sz="4" w:space="0"/>
                    <w:right w:val="single" w:color="auto" w:sz="4" w:space="0"/>
                  </w:tcBorders>
                  <w:noWrap w:val="0"/>
                  <w:vAlign w:val="center"/>
                </w:tcPr>
                <w:p w14:paraId="04DDCF2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924" w:type="pct"/>
                  <w:vMerge w:val="continue"/>
                  <w:tcBorders>
                    <w:left w:val="single" w:color="auto" w:sz="4" w:space="0"/>
                    <w:right w:val="single" w:color="auto" w:sz="4" w:space="0"/>
                  </w:tcBorders>
                  <w:noWrap w:val="0"/>
                  <w:vAlign w:val="center"/>
                </w:tcPr>
                <w:p w14:paraId="00FCA804">
                  <w:pPr>
                    <w:keepNext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p>
              </w:tc>
              <w:tc>
                <w:tcPr>
                  <w:tcW w:w="925" w:type="pct"/>
                  <w:tcBorders>
                    <w:top w:val="single" w:color="auto" w:sz="4" w:space="0"/>
                    <w:left w:val="single" w:color="auto" w:sz="4" w:space="0"/>
                    <w:bottom w:val="single" w:color="auto" w:sz="4" w:space="0"/>
                    <w:right w:val="single" w:color="auto" w:sz="4" w:space="0"/>
                  </w:tcBorders>
                  <w:noWrap w:val="0"/>
                  <w:vAlign w:val="center"/>
                </w:tcPr>
                <w:p w14:paraId="5681E9AF">
                  <w:pPr>
                    <w:keepNext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病死猪</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1771554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en-US"/>
                    </w:rPr>
                  </w:pPr>
                  <w:r>
                    <w:rPr>
                      <w:rFonts w:hint="default" w:ascii="Times New Roman" w:hAnsi="Times New Roman" w:eastAsia="宋体" w:cs="Times New Roman"/>
                      <w:color w:val="auto"/>
                      <w:sz w:val="21"/>
                      <w:szCs w:val="21"/>
                      <w:highlight w:val="none"/>
                      <w:u w:val="none" w:color="auto"/>
                      <w:lang w:eastAsia="en-US"/>
                    </w:rPr>
                    <w:t>t/a</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3212A27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5.475</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7EFF850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0D5FE1B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5.475</w:t>
                  </w:r>
                </w:p>
              </w:tc>
            </w:tr>
            <w:tr w14:paraId="5AE13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tcBorders>
                    <w:left w:val="single" w:color="auto" w:sz="4" w:space="0"/>
                    <w:right w:val="single" w:color="auto" w:sz="4" w:space="0"/>
                  </w:tcBorders>
                  <w:noWrap w:val="0"/>
                  <w:vAlign w:val="center"/>
                </w:tcPr>
                <w:p w14:paraId="05F929F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924" w:type="pct"/>
                  <w:vMerge w:val="continue"/>
                  <w:tcBorders>
                    <w:left w:val="single" w:color="auto" w:sz="4" w:space="0"/>
                    <w:right w:val="single" w:color="auto" w:sz="4" w:space="0"/>
                  </w:tcBorders>
                  <w:noWrap w:val="0"/>
                  <w:vAlign w:val="center"/>
                </w:tcPr>
                <w:p w14:paraId="1FD0B5F6">
                  <w:pPr>
                    <w:keepNext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p>
              </w:tc>
              <w:tc>
                <w:tcPr>
                  <w:tcW w:w="925" w:type="pct"/>
                  <w:tcBorders>
                    <w:top w:val="single" w:color="auto" w:sz="4" w:space="0"/>
                    <w:left w:val="single" w:color="auto" w:sz="4" w:space="0"/>
                    <w:bottom w:val="single" w:color="auto" w:sz="4" w:space="0"/>
                    <w:right w:val="single" w:color="auto" w:sz="4" w:space="0"/>
                  </w:tcBorders>
                  <w:noWrap w:val="0"/>
                  <w:vAlign w:val="center"/>
                </w:tcPr>
                <w:p w14:paraId="7DB55BC4">
                  <w:pPr>
                    <w:keepNext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肠胃内容物</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7E28225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en-US"/>
                    </w:rPr>
                  </w:pPr>
                  <w:r>
                    <w:rPr>
                      <w:rFonts w:hint="default" w:ascii="Times New Roman" w:hAnsi="Times New Roman" w:eastAsia="宋体" w:cs="Times New Roman"/>
                      <w:color w:val="auto"/>
                      <w:sz w:val="21"/>
                      <w:szCs w:val="21"/>
                      <w:highlight w:val="none"/>
                      <w:u w:val="none" w:color="auto"/>
                      <w:lang w:eastAsia="en-US"/>
                    </w:rPr>
                    <w:t>t/a</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1220243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547.5</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680FF83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6E4E2F4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547.5</w:t>
                  </w:r>
                </w:p>
              </w:tc>
            </w:tr>
            <w:tr w14:paraId="635BD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tcBorders>
                    <w:left w:val="single" w:color="auto" w:sz="4" w:space="0"/>
                    <w:right w:val="single" w:color="auto" w:sz="4" w:space="0"/>
                  </w:tcBorders>
                  <w:noWrap w:val="0"/>
                  <w:vAlign w:val="center"/>
                </w:tcPr>
                <w:p w14:paraId="6AAFCB2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924" w:type="pct"/>
                  <w:vMerge w:val="continue"/>
                  <w:tcBorders>
                    <w:left w:val="single" w:color="auto" w:sz="4" w:space="0"/>
                    <w:bottom w:val="single" w:color="auto" w:sz="4" w:space="0"/>
                    <w:right w:val="single" w:color="auto" w:sz="4" w:space="0"/>
                  </w:tcBorders>
                  <w:noWrap w:val="0"/>
                  <w:vAlign w:val="center"/>
                </w:tcPr>
                <w:p w14:paraId="52D32DDB">
                  <w:pPr>
                    <w:keepNext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p>
              </w:tc>
              <w:tc>
                <w:tcPr>
                  <w:tcW w:w="925" w:type="pct"/>
                  <w:tcBorders>
                    <w:top w:val="single" w:color="auto" w:sz="4" w:space="0"/>
                    <w:left w:val="single" w:color="auto" w:sz="4" w:space="0"/>
                    <w:bottom w:val="single" w:color="auto" w:sz="4" w:space="0"/>
                    <w:right w:val="single" w:color="auto" w:sz="4" w:space="0"/>
                  </w:tcBorders>
                  <w:noWrap w:val="0"/>
                  <w:vAlign w:val="center"/>
                </w:tcPr>
                <w:p w14:paraId="345F63BE">
                  <w:pPr>
                    <w:keepNext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猪粪</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39620DF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en-US"/>
                    </w:rPr>
                  </w:pPr>
                  <w:r>
                    <w:rPr>
                      <w:rFonts w:hint="default" w:ascii="Times New Roman" w:hAnsi="Times New Roman" w:eastAsia="宋体" w:cs="Times New Roman"/>
                      <w:color w:val="auto"/>
                      <w:sz w:val="21"/>
                      <w:szCs w:val="21"/>
                      <w:highlight w:val="none"/>
                      <w:u w:val="none" w:color="auto"/>
                      <w:lang w:eastAsia="en-US"/>
                    </w:rPr>
                    <w:t>t/a</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26C32B1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109.5</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164AFB3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6B00678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109.5</w:t>
                  </w:r>
                </w:p>
              </w:tc>
            </w:tr>
            <w:tr w14:paraId="7F46E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tcBorders>
                    <w:left w:val="single" w:color="auto" w:sz="4" w:space="0"/>
                    <w:right w:val="single" w:color="auto" w:sz="4" w:space="0"/>
                  </w:tcBorders>
                  <w:noWrap w:val="0"/>
                  <w:vAlign w:val="center"/>
                </w:tcPr>
                <w:p w14:paraId="7DD8607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tcBorders>
                    <w:top w:val="single" w:color="auto" w:sz="4" w:space="0"/>
                    <w:left w:val="single" w:color="auto" w:sz="4" w:space="0"/>
                    <w:bottom w:val="single" w:color="auto" w:sz="4" w:space="0"/>
                    <w:right w:val="single" w:color="auto" w:sz="4" w:space="0"/>
                  </w:tcBorders>
                  <w:noWrap w:val="0"/>
                  <w:vAlign w:val="center"/>
                </w:tcPr>
                <w:p w14:paraId="6E4563A5">
                  <w:pPr>
                    <w:keepNext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栅渣</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7031ADD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en-US"/>
                    </w:rPr>
                  </w:pPr>
                  <w:r>
                    <w:rPr>
                      <w:rFonts w:hint="default" w:ascii="Times New Roman" w:hAnsi="Times New Roman" w:eastAsia="宋体" w:cs="Times New Roman"/>
                      <w:color w:val="auto"/>
                      <w:sz w:val="21"/>
                      <w:szCs w:val="21"/>
                      <w:highlight w:val="none"/>
                      <w:u w:val="none" w:color="auto"/>
                      <w:lang w:eastAsia="en-US"/>
                    </w:rPr>
                    <w:t>t/a</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7B6710F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3.6</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5ED3AC2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25C79AD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3.6</w:t>
                  </w:r>
                </w:p>
              </w:tc>
            </w:tr>
            <w:tr w14:paraId="7AD68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6" w:type="pct"/>
                  <w:vMerge w:val="continue"/>
                  <w:tcBorders>
                    <w:left w:val="single" w:color="auto" w:sz="4" w:space="0"/>
                    <w:right w:val="single" w:color="auto" w:sz="4" w:space="0"/>
                  </w:tcBorders>
                  <w:noWrap w:val="0"/>
                  <w:vAlign w:val="center"/>
                </w:tcPr>
                <w:p w14:paraId="6E91020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849" w:type="pct"/>
                  <w:gridSpan w:val="2"/>
                  <w:tcBorders>
                    <w:top w:val="single" w:color="auto" w:sz="4" w:space="0"/>
                    <w:left w:val="single" w:color="auto" w:sz="4" w:space="0"/>
                    <w:bottom w:val="single" w:color="auto" w:sz="4" w:space="0"/>
                    <w:right w:val="single" w:color="auto" w:sz="4" w:space="0"/>
                  </w:tcBorders>
                  <w:noWrap w:val="0"/>
                  <w:vAlign w:val="center"/>
                </w:tcPr>
                <w:p w14:paraId="5B1720FF">
                  <w:pPr>
                    <w:keepNext w:val="0"/>
                    <w:pageBreakBefore w:val="0"/>
                    <w:widowControl/>
                    <w:kinsoku/>
                    <w:wordWrap/>
                    <w:overflowPunct/>
                    <w:topLinePunct w:val="0"/>
                    <w:autoSpaceDE/>
                    <w:autoSpaceDN/>
                    <w:bidi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泥饼</w:t>
                  </w:r>
                </w:p>
              </w:tc>
              <w:tc>
                <w:tcPr>
                  <w:tcW w:w="346" w:type="pct"/>
                  <w:tcBorders>
                    <w:top w:val="single" w:color="auto" w:sz="4" w:space="0"/>
                    <w:left w:val="single" w:color="auto" w:sz="4" w:space="0"/>
                    <w:bottom w:val="single" w:color="auto" w:sz="4" w:space="0"/>
                    <w:right w:val="single" w:color="auto" w:sz="4" w:space="0"/>
                  </w:tcBorders>
                  <w:noWrap w:val="0"/>
                  <w:vAlign w:val="center"/>
                </w:tcPr>
                <w:p w14:paraId="37E647C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eastAsia="en-US"/>
                    </w:rPr>
                  </w:pPr>
                  <w:r>
                    <w:rPr>
                      <w:rFonts w:hint="default" w:ascii="Times New Roman" w:hAnsi="Times New Roman" w:eastAsia="宋体" w:cs="Times New Roman"/>
                      <w:color w:val="auto"/>
                      <w:sz w:val="21"/>
                      <w:szCs w:val="21"/>
                      <w:highlight w:val="none"/>
                      <w:u w:val="none" w:color="auto"/>
                      <w:lang w:eastAsia="en-US"/>
                    </w:rPr>
                    <w:t>t/a</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7C47D2C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1.5098</w:t>
                  </w:r>
                </w:p>
              </w:tc>
              <w:tc>
                <w:tcPr>
                  <w:tcW w:w="634" w:type="pct"/>
                  <w:tcBorders>
                    <w:top w:val="single" w:color="auto" w:sz="4" w:space="0"/>
                    <w:left w:val="single" w:color="auto" w:sz="4" w:space="0"/>
                    <w:bottom w:val="single" w:color="auto" w:sz="4" w:space="0"/>
                    <w:right w:val="single" w:color="auto" w:sz="4" w:space="0"/>
                  </w:tcBorders>
                  <w:noWrap w:val="0"/>
                  <w:vAlign w:val="center"/>
                </w:tcPr>
                <w:p w14:paraId="5285686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w:t>
                  </w:r>
                </w:p>
              </w:tc>
              <w:tc>
                <w:tcPr>
                  <w:tcW w:w="568" w:type="pct"/>
                  <w:tcBorders>
                    <w:top w:val="single" w:color="auto" w:sz="4" w:space="0"/>
                    <w:left w:val="single" w:color="auto" w:sz="4" w:space="0"/>
                    <w:bottom w:val="single" w:color="auto" w:sz="4" w:space="0"/>
                    <w:right w:val="single" w:color="auto" w:sz="4" w:space="0"/>
                  </w:tcBorders>
                  <w:noWrap w:val="0"/>
                  <w:vAlign w:val="center"/>
                </w:tcPr>
                <w:p w14:paraId="5F2AF0D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1.5098</w:t>
                  </w:r>
                </w:p>
              </w:tc>
            </w:tr>
          </w:tbl>
          <w:p w14:paraId="761B4B7B">
            <w:pPr>
              <w:widowControl w:val="0"/>
              <w:numPr>
                <w:ilvl w:val="0"/>
                <w:numId w:val="0"/>
              </w:numPr>
              <w:spacing w:line="360" w:lineRule="auto"/>
              <w:ind w:firstLine="482" w:firstLineChars="200"/>
              <w:jc w:val="left"/>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十、</w:t>
            </w:r>
            <w:r>
              <w:rPr>
                <w:rFonts w:hint="default" w:ascii="Times New Roman" w:hAnsi="Times New Roman" w:eastAsia="宋体" w:cs="Times New Roman"/>
                <w:b/>
                <w:bCs/>
                <w:kern w:val="2"/>
                <w:sz w:val="24"/>
                <w:szCs w:val="24"/>
                <w:lang w:val="en-US" w:eastAsia="zh-CN" w:bidi="ar-SA"/>
              </w:rPr>
              <w:t>环保投资估算</w:t>
            </w:r>
          </w:p>
          <w:p w14:paraId="5FAEFC3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本项目环保投资35万元，占工程总投资的1.7%。环保投资具体见表</w:t>
            </w:r>
            <w:r>
              <w:rPr>
                <w:rFonts w:hint="eastAsia" w:ascii="Times New Roman" w:hAnsi="Times New Roman" w:eastAsia="宋体" w:cs="Times New Roman"/>
                <w:kern w:val="2"/>
                <w:sz w:val="24"/>
                <w:szCs w:val="24"/>
                <w:lang w:val="en-US" w:eastAsia="zh-CN" w:bidi="ar-SA"/>
              </w:rPr>
              <w:t>4-2</w:t>
            </w:r>
            <w:r>
              <w:rPr>
                <w:rFonts w:hint="eastAsia" w:cs="Times New Roman"/>
                <w:kern w:val="2"/>
                <w:sz w:val="24"/>
                <w:szCs w:val="24"/>
                <w:lang w:val="en-US" w:eastAsia="zh-CN" w:bidi="ar-SA"/>
              </w:rPr>
              <w:t>1</w:t>
            </w:r>
            <w:r>
              <w:rPr>
                <w:rFonts w:hint="default" w:ascii="Times New Roman" w:hAnsi="Times New Roman" w:eastAsia="宋体" w:cs="Times New Roman"/>
                <w:kern w:val="2"/>
                <w:sz w:val="24"/>
                <w:szCs w:val="24"/>
                <w:lang w:val="en-US" w:eastAsia="zh-CN" w:bidi="ar-SA"/>
              </w:rPr>
              <w:t>：</w:t>
            </w:r>
          </w:p>
          <w:p w14:paraId="278BC31F">
            <w:pPr>
              <w:widowControl w:val="0"/>
              <w:numPr>
                <w:ilvl w:val="0"/>
                <w:numId w:val="0"/>
              </w:numPr>
              <w:spacing w:line="360" w:lineRule="auto"/>
              <w:ind w:firstLine="422" w:firstLineChars="200"/>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表</w:t>
            </w:r>
            <w:r>
              <w:rPr>
                <w:rFonts w:hint="eastAsia" w:ascii="Times New Roman" w:hAnsi="Times New Roman" w:eastAsia="宋体" w:cs="Times New Roman"/>
                <w:b/>
                <w:bCs/>
                <w:kern w:val="2"/>
                <w:sz w:val="21"/>
                <w:szCs w:val="21"/>
                <w:lang w:val="en-US" w:eastAsia="zh-CN" w:bidi="ar-SA"/>
              </w:rPr>
              <w:t>4-2</w:t>
            </w:r>
            <w:r>
              <w:rPr>
                <w:rFonts w:hint="eastAsia" w:cs="Times New Roman"/>
                <w:b/>
                <w:bCs/>
                <w:kern w:val="2"/>
                <w:sz w:val="21"/>
                <w:szCs w:val="21"/>
                <w:lang w:val="en-US" w:eastAsia="zh-CN" w:bidi="ar-SA"/>
              </w:rPr>
              <w:t>1</w:t>
            </w:r>
            <w:r>
              <w:rPr>
                <w:rFonts w:hint="default" w:ascii="Times New Roman" w:hAnsi="Times New Roman" w:eastAsia="宋体" w:cs="Times New Roman"/>
                <w:b/>
                <w:bCs/>
                <w:kern w:val="2"/>
                <w:sz w:val="21"/>
                <w:szCs w:val="21"/>
                <w:lang w:val="en-US" w:eastAsia="zh-CN" w:bidi="ar-SA"/>
              </w:rPr>
              <w:t xml:space="preserve"> 环保投资一览表</w:t>
            </w:r>
          </w:p>
          <w:tbl>
            <w:tblPr>
              <w:tblStyle w:val="21"/>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966"/>
              <w:gridCol w:w="4283"/>
              <w:gridCol w:w="809"/>
              <w:gridCol w:w="1413"/>
            </w:tblGrid>
            <w:tr w14:paraId="216F4C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70" w:type="pct"/>
                  <w:gridSpan w:val="2"/>
                  <w:noWrap w:val="0"/>
                  <w:vAlign w:val="center"/>
                </w:tcPr>
                <w:p w14:paraId="3B07AAE1">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项目</w:t>
                  </w:r>
                </w:p>
              </w:tc>
              <w:tc>
                <w:tcPr>
                  <w:tcW w:w="2715" w:type="pct"/>
                  <w:noWrap w:val="0"/>
                  <w:vAlign w:val="center"/>
                </w:tcPr>
                <w:p w14:paraId="2F2A428B">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环保措施</w:t>
                  </w:r>
                </w:p>
              </w:tc>
              <w:tc>
                <w:tcPr>
                  <w:tcW w:w="516" w:type="pct"/>
                  <w:noWrap w:val="0"/>
                  <w:vAlign w:val="center"/>
                </w:tcPr>
                <w:p w14:paraId="7BB619DE">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投资额</w:t>
                  </w:r>
                </w:p>
              </w:tc>
              <w:tc>
                <w:tcPr>
                  <w:tcW w:w="898" w:type="pct"/>
                  <w:noWrap w:val="0"/>
                  <w:vAlign w:val="center"/>
                </w:tcPr>
                <w:p w14:paraId="131721FA">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备注</w:t>
                  </w:r>
                </w:p>
              </w:tc>
            </w:tr>
            <w:tr w14:paraId="60402F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4" w:type="pct"/>
                  <w:vMerge w:val="restart"/>
                  <w:noWrap w:val="0"/>
                  <w:vAlign w:val="center"/>
                </w:tcPr>
                <w:p w14:paraId="5A300C7E">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施工期</w:t>
                  </w:r>
                </w:p>
              </w:tc>
              <w:tc>
                <w:tcPr>
                  <w:tcW w:w="615" w:type="pct"/>
                  <w:noWrap w:val="0"/>
                  <w:vAlign w:val="center"/>
                </w:tcPr>
                <w:p w14:paraId="6B49A33D">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废气</w:t>
                  </w:r>
                </w:p>
              </w:tc>
              <w:tc>
                <w:tcPr>
                  <w:tcW w:w="2715" w:type="pct"/>
                  <w:noWrap w:val="0"/>
                  <w:vAlign w:val="center"/>
                </w:tcPr>
                <w:p w14:paraId="14ED4D39">
                  <w:pPr>
                    <w:keepNext w:val="0"/>
                    <w:keepLines w:val="0"/>
                    <w:pageBreakBefore w:val="0"/>
                    <w:widowControl w:val="0"/>
                    <w:kinsoku/>
                    <w:wordWrap/>
                    <w:overflowPunct w:val="0"/>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lang w:val="en-US" w:eastAsia="zh-CN" w:bidi="ar-SA"/>
                    </w:rPr>
                    <w:t>洒水、围挡、防治扬尘措施等</w:t>
                  </w:r>
                </w:p>
              </w:tc>
              <w:tc>
                <w:tcPr>
                  <w:tcW w:w="516" w:type="pct"/>
                  <w:noWrap w:val="0"/>
                  <w:vAlign w:val="center"/>
                </w:tcPr>
                <w:p w14:paraId="4950A05D">
                  <w:pPr>
                    <w:keepNext w:val="0"/>
                    <w:keepLines w:val="0"/>
                    <w:pageBreakBefore w:val="0"/>
                    <w:widowControl w:val="0"/>
                    <w:kinsoku/>
                    <w:wordWrap/>
                    <w:overflowPunct w:val="0"/>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lang w:val="en-US" w:eastAsia="zh-CN" w:bidi="ar-SA"/>
                    </w:rPr>
                    <w:t>2</w:t>
                  </w:r>
                </w:p>
              </w:tc>
              <w:tc>
                <w:tcPr>
                  <w:tcW w:w="898" w:type="pct"/>
                  <w:noWrap w:val="0"/>
                  <w:vAlign w:val="center"/>
                </w:tcPr>
                <w:p w14:paraId="657F5DB0">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w:t>
                  </w:r>
                </w:p>
              </w:tc>
            </w:tr>
            <w:tr w14:paraId="539709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4" w:type="pct"/>
                  <w:vMerge w:val="continue"/>
                  <w:noWrap w:val="0"/>
                  <w:vAlign w:val="center"/>
                </w:tcPr>
                <w:p w14:paraId="32145C4B">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noWrap w:val="0"/>
                  <w:vAlign w:val="center"/>
                </w:tcPr>
                <w:p w14:paraId="64D7DEB7">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废水</w:t>
                  </w:r>
                </w:p>
              </w:tc>
              <w:tc>
                <w:tcPr>
                  <w:tcW w:w="2715" w:type="pct"/>
                  <w:noWrap w:val="0"/>
                  <w:vAlign w:val="center"/>
                </w:tcPr>
                <w:p w14:paraId="3C298B1D">
                  <w:pPr>
                    <w:keepNext w:val="0"/>
                    <w:keepLines w:val="0"/>
                    <w:pageBreakBefore w:val="0"/>
                    <w:widowControl w:val="0"/>
                    <w:kinsoku/>
                    <w:wordWrap/>
                    <w:overflowPunct w:val="0"/>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lang w:val="en-US" w:eastAsia="zh-CN" w:bidi="ar-SA"/>
                    </w:rPr>
                    <w:t>临时排水沟、沉淀池</w:t>
                  </w:r>
                </w:p>
              </w:tc>
              <w:tc>
                <w:tcPr>
                  <w:tcW w:w="516" w:type="pct"/>
                  <w:noWrap w:val="0"/>
                  <w:vAlign w:val="center"/>
                </w:tcPr>
                <w:p w14:paraId="5670F942">
                  <w:pPr>
                    <w:keepNext w:val="0"/>
                    <w:keepLines w:val="0"/>
                    <w:pageBreakBefore w:val="0"/>
                    <w:widowControl w:val="0"/>
                    <w:kinsoku/>
                    <w:wordWrap/>
                    <w:overflowPunct w:val="0"/>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lang w:val="en-US" w:eastAsia="zh-CN" w:bidi="ar-SA"/>
                    </w:rPr>
                    <w:t>1.5</w:t>
                  </w:r>
                </w:p>
              </w:tc>
              <w:tc>
                <w:tcPr>
                  <w:tcW w:w="898" w:type="pct"/>
                  <w:noWrap w:val="0"/>
                  <w:vAlign w:val="center"/>
                </w:tcPr>
                <w:p w14:paraId="581323CF">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w:t>
                  </w:r>
                </w:p>
              </w:tc>
            </w:tr>
            <w:tr w14:paraId="246E2A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4" w:type="pct"/>
                  <w:vMerge w:val="continue"/>
                  <w:noWrap w:val="0"/>
                  <w:vAlign w:val="center"/>
                </w:tcPr>
                <w:p w14:paraId="2E840E38">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noWrap w:val="0"/>
                  <w:vAlign w:val="center"/>
                </w:tcPr>
                <w:p w14:paraId="5804482B">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噪声</w:t>
                  </w:r>
                </w:p>
              </w:tc>
              <w:tc>
                <w:tcPr>
                  <w:tcW w:w="2715" w:type="pct"/>
                  <w:noWrap w:val="0"/>
                  <w:vAlign w:val="center"/>
                </w:tcPr>
                <w:p w14:paraId="50A7DC33">
                  <w:pPr>
                    <w:keepNext w:val="0"/>
                    <w:keepLines w:val="0"/>
                    <w:pageBreakBefore w:val="0"/>
                    <w:widowControl w:val="0"/>
                    <w:kinsoku/>
                    <w:wordWrap/>
                    <w:overflowPunct w:val="0"/>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lang w:val="en-US" w:eastAsia="zh-CN" w:bidi="ar-SA"/>
                    </w:rPr>
                    <w:t>围墙、隔声、减振措施</w:t>
                  </w:r>
                </w:p>
              </w:tc>
              <w:tc>
                <w:tcPr>
                  <w:tcW w:w="516" w:type="pct"/>
                  <w:noWrap w:val="0"/>
                  <w:vAlign w:val="center"/>
                </w:tcPr>
                <w:p w14:paraId="49DC5C97">
                  <w:pPr>
                    <w:keepNext w:val="0"/>
                    <w:keepLines w:val="0"/>
                    <w:pageBreakBefore w:val="0"/>
                    <w:widowControl w:val="0"/>
                    <w:kinsoku/>
                    <w:wordWrap/>
                    <w:overflowPunct w:val="0"/>
                    <w:topLinePunct w:val="0"/>
                    <w:autoSpaceDE/>
                    <w:autoSpaceDN/>
                    <w:bidi w:val="0"/>
                    <w:adjustRightInd w:val="0"/>
                    <w:spacing w:line="240" w:lineRule="auto"/>
                    <w:ind w:firstLine="0" w:firstLineChars="0"/>
                    <w:jc w:val="center"/>
                    <w:textAlignment w:val="baseline"/>
                    <w:rPr>
                      <w:rFonts w:hint="default"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lang w:val="en-US" w:eastAsia="zh-CN" w:bidi="ar-SA"/>
                    </w:rPr>
                    <w:t>1</w:t>
                  </w:r>
                </w:p>
              </w:tc>
              <w:tc>
                <w:tcPr>
                  <w:tcW w:w="898" w:type="pct"/>
                  <w:noWrap w:val="0"/>
                  <w:vAlign w:val="center"/>
                </w:tcPr>
                <w:p w14:paraId="589E21D7">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w:t>
                  </w:r>
                </w:p>
              </w:tc>
            </w:tr>
            <w:tr w14:paraId="4799D0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4" w:type="pct"/>
                  <w:vMerge w:val="continue"/>
                  <w:noWrap w:val="0"/>
                  <w:vAlign w:val="center"/>
                </w:tcPr>
                <w:p w14:paraId="38853FFB">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noWrap w:val="0"/>
                  <w:vAlign w:val="center"/>
                </w:tcPr>
                <w:p w14:paraId="36194247">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固废</w:t>
                  </w:r>
                </w:p>
              </w:tc>
              <w:tc>
                <w:tcPr>
                  <w:tcW w:w="2715" w:type="pct"/>
                  <w:noWrap w:val="0"/>
                  <w:vAlign w:val="center"/>
                </w:tcPr>
                <w:p w14:paraId="44F6ABFD">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临时堆场</w:t>
                  </w:r>
                </w:p>
              </w:tc>
              <w:tc>
                <w:tcPr>
                  <w:tcW w:w="516" w:type="pct"/>
                  <w:noWrap w:val="0"/>
                  <w:vAlign w:val="center"/>
                </w:tcPr>
                <w:p w14:paraId="117F4927">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0.5</w:t>
                  </w:r>
                </w:p>
              </w:tc>
              <w:tc>
                <w:tcPr>
                  <w:tcW w:w="898" w:type="pct"/>
                  <w:noWrap w:val="0"/>
                  <w:vAlign w:val="center"/>
                </w:tcPr>
                <w:p w14:paraId="31FED7F5">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w:t>
                  </w:r>
                </w:p>
              </w:tc>
            </w:tr>
            <w:tr w14:paraId="2DFB2C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4" w:type="pct"/>
                  <w:vMerge w:val="restart"/>
                  <w:noWrap w:val="0"/>
                  <w:vAlign w:val="center"/>
                </w:tcPr>
                <w:p w14:paraId="6744920C">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营运期</w:t>
                  </w:r>
                </w:p>
              </w:tc>
              <w:tc>
                <w:tcPr>
                  <w:tcW w:w="615" w:type="pct"/>
                  <w:noWrap w:val="0"/>
                  <w:vAlign w:val="center"/>
                </w:tcPr>
                <w:p w14:paraId="3664F32D">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废气</w:t>
                  </w:r>
                </w:p>
              </w:tc>
              <w:tc>
                <w:tcPr>
                  <w:tcW w:w="2715" w:type="pct"/>
                  <w:noWrap w:val="0"/>
                  <w:vAlign w:val="center"/>
                </w:tcPr>
                <w:p w14:paraId="26A6D6AE">
                  <w:pPr>
                    <w:keepNext w:val="0"/>
                    <w:keepLines w:val="0"/>
                    <w:pageBreakBefore w:val="0"/>
                    <w:widowControl/>
                    <w:kinsoku/>
                    <w:wordWrap/>
                    <w:topLinePunct w:val="0"/>
                    <w:autoSpaceDE/>
                    <w:autoSpaceDN/>
                    <w:bidi w:val="0"/>
                    <w:spacing w:line="240" w:lineRule="auto"/>
                    <w:ind w:firstLine="0" w:firstLineChars="0"/>
                    <w:jc w:val="center"/>
                    <w:rPr>
                      <w:rFonts w:hint="default" w:ascii="Times New Roman" w:hAnsi="Times New Roman" w:eastAsia="宋体" w:cs="Times New Roman"/>
                      <w:sz w:val="21"/>
                      <w:szCs w:val="21"/>
                      <w:u w:val="none"/>
                    </w:rPr>
                  </w:pPr>
                  <w:r>
                    <w:rPr>
                      <w:rFonts w:hint="default" w:ascii="Times New Roman" w:hAnsi="Times New Roman" w:eastAsia="宋体" w:cs="Times New Roman"/>
                      <w:color w:val="000000"/>
                      <w:sz w:val="21"/>
                      <w:szCs w:val="21"/>
                      <w:u w:val="none"/>
                    </w:rPr>
                    <w:t>消毒、喷洒天然植物提取液；通风装置</w:t>
                  </w:r>
                </w:p>
              </w:tc>
              <w:tc>
                <w:tcPr>
                  <w:tcW w:w="516" w:type="pct"/>
                  <w:noWrap w:val="0"/>
                  <w:vAlign w:val="center"/>
                </w:tcPr>
                <w:p w14:paraId="7A3A085D">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2</w:t>
                  </w:r>
                </w:p>
              </w:tc>
              <w:tc>
                <w:tcPr>
                  <w:tcW w:w="898" w:type="pct"/>
                  <w:noWrap w:val="0"/>
                  <w:vAlign w:val="center"/>
                </w:tcPr>
                <w:p w14:paraId="3A199B17">
                  <w:pPr>
                    <w:keepNext w:val="0"/>
                    <w:keepLines w:val="0"/>
                    <w:pageBreakBefore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u w:val="none"/>
                    </w:rPr>
                  </w:pPr>
                  <w:r>
                    <w:rPr>
                      <w:rFonts w:hint="default" w:ascii="Times New Roman" w:hAnsi="Times New Roman" w:eastAsia="宋体" w:cs="Times New Roman"/>
                      <w:color w:val="000000"/>
                      <w:sz w:val="21"/>
                      <w:szCs w:val="21"/>
                      <w:u w:val="none"/>
                    </w:rPr>
                    <w:t>/</w:t>
                  </w:r>
                </w:p>
              </w:tc>
            </w:tr>
            <w:tr w14:paraId="0EE96F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4" w:type="pct"/>
                  <w:vMerge w:val="continue"/>
                  <w:noWrap w:val="0"/>
                  <w:vAlign w:val="center"/>
                </w:tcPr>
                <w:p w14:paraId="7C722B4B">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noWrap w:val="0"/>
                  <w:vAlign w:val="center"/>
                </w:tcPr>
                <w:p w14:paraId="4A1AC4FC">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废水</w:t>
                  </w:r>
                </w:p>
              </w:tc>
              <w:tc>
                <w:tcPr>
                  <w:tcW w:w="2715" w:type="pct"/>
                  <w:noWrap w:val="0"/>
                  <w:vAlign w:val="center"/>
                </w:tcPr>
                <w:p w14:paraId="0FF85E26">
                  <w:pPr>
                    <w:keepNext w:val="0"/>
                    <w:keepLines w:val="0"/>
                    <w:pageBreakBefore w:val="0"/>
                    <w:widowControl/>
                    <w:kinsoku/>
                    <w:wordWrap/>
                    <w:topLinePunct w:val="0"/>
                    <w:autoSpaceDE/>
                    <w:autoSpaceDN/>
                    <w:bidi w:val="0"/>
                    <w:spacing w:line="240" w:lineRule="auto"/>
                    <w:ind w:firstLine="0" w:firstLineChars="0"/>
                    <w:jc w:val="center"/>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槽罐车、化粪池、</w:t>
                  </w:r>
                  <w:r>
                    <w:rPr>
                      <w:rFonts w:hint="default" w:ascii="Times New Roman" w:hAnsi="Times New Roman" w:eastAsia="宋体" w:cs="Times New Roman"/>
                      <w:color w:val="000000"/>
                      <w:sz w:val="21"/>
                      <w:szCs w:val="21"/>
                      <w:u w:val="none"/>
                      <w:lang w:val="en-US" w:eastAsia="zh-CN"/>
                    </w:rPr>
                    <w:t>污水处理设施</w:t>
                  </w:r>
                  <w:r>
                    <w:rPr>
                      <w:rFonts w:hint="default" w:ascii="Times New Roman" w:hAnsi="Times New Roman" w:eastAsia="宋体" w:cs="Times New Roman"/>
                      <w:color w:val="000000"/>
                      <w:sz w:val="21"/>
                      <w:szCs w:val="21"/>
                      <w:u w:val="none"/>
                    </w:rPr>
                    <w:t>（</w:t>
                  </w:r>
                  <w:r>
                    <w:rPr>
                      <w:rFonts w:hint="eastAsia" w:ascii="宋体" w:hAnsi="宋体" w:eastAsia="宋体" w:cs="宋体"/>
                      <w:color w:val="000000"/>
                      <w:sz w:val="21"/>
                      <w:szCs w:val="21"/>
                      <w:u w:val="none"/>
                    </w:rPr>
                    <w:t>“格栅-隔油-调节池-气浮-厌氧处理（水解酸化）”</w:t>
                  </w:r>
                  <w:r>
                    <w:rPr>
                      <w:rFonts w:hint="default" w:ascii="Times New Roman" w:hAnsi="Times New Roman" w:eastAsia="宋体" w:cs="Times New Roman"/>
                      <w:color w:val="000000"/>
                      <w:sz w:val="21"/>
                      <w:szCs w:val="21"/>
                      <w:u w:val="none"/>
                    </w:rPr>
                    <w:t>）</w:t>
                  </w:r>
                </w:p>
              </w:tc>
              <w:tc>
                <w:tcPr>
                  <w:tcW w:w="516" w:type="pct"/>
                  <w:noWrap w:val="0"/>
                  <w:vAlign w:val="center"/>
                </w:tcPr>
                <w:p w14:paraId="5D810AB6">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20</w:t>
                  </w:r>
                </w:p>
              </w:tc>
              <w:tc>
                <w:tcPr>
                  <w:tcW w:w="898" w:type="pct"/>
                  <w:noWrap w:val="0"/>
                  <w:vAlign w:val="center"/>
                </w:tcPr>
                <w:p w14:paraId="272A41E1">
                  <w:pPr>
                    <w:keepNext w:val="0"/>
                    <w:keepLines w:val="0"/>
                    <w:pageBreakBefore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w:t>
                  </w:r>
                </w:p>
              </w:tc>
            </w:tr>
            <w:tr w14:paraId="6711AD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54" w:type="pct"/>
                  <w:vMerge w:val="continue"/>
                  <w:noWrap w:val="0"/>
                  <w:vAlign w:val="center"/>
                </w:tcPr>
                <w:p w14:paraId="5C379651">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noWrap w:val="0"/>
                  <w:vAlign w:val="center"/>
                </w:tcPr>
                <w:p w14:paraId="075B7EA7">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噪声</w:t>
                  </w:r>
                </w:p>
              </w:tc>
              <w:tc>
                <w:tcPr>
                  <w:tcW w:w="2715" w:type="pct"/>
                  <w:noWrap w:val="0"/>
                  <w:vAlign w:val="center"/>
                </w:tcPr>
                <w:p w14:paraId="3B7DA2D0">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隔声、消声、减振措施</w:t>
                  </w:r>
                </w:p>
              </w:tc>
              <w:tc>
                <w:tcPr>
                  <w:tcW w:w="516" w:type="pct"/>
                  <w:noWrap w:val="0"/>
                  <w:vAlign w:val="center"/>
                </w:tcPr>
                <w:p w14:paraId="19E3CE73">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3</w:t>
                  </w:r>
                </w:p>
              </w:tc>
              <w:tc>
                <w:tcPr>
                  <w:tcW w:w="898" w:type="pct"/>
                  <w:noWrap w:val="0"/>
                  <w:vAlign w:val="center"/>
                </w:tcPr>
                <w:p w14:paraId="79E479D8">
                  <w:pPr>
                    <w:keepNext w:val="0"/>
                    <w:keepLines w:val="0"/>
                    <w:pageBreakBefore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w:t>
                  </w:r>
                </w:p>
              </w:tc>
            </w:tr>
            <w:tr w14:paraId="4232CB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4" w:type="pct"/>
                  <w:vMerge w:val="continue"/>
                  <w:noWrap w:val="0"/>
                  <w:vAlign w:val="center"/>
                </w:tcPr>
                <w:p w14:paraId="5DADDB7F">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vMerge w:val="restart"/>
                  <w:noWrap w:val="0"/>
                  <w:vAlign w:val="center"/>
                </w:tcPr>
                <w:p w14:paraId="1554B8E6">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固体</w:t>
                  </w:r>
                </w:p>
                <w:p w14:paraId="17D8EF88">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废物</w:t>
                  </w:r>
                </w:p>
              </w:tc>
              <w:tc>
                <w:tcPr>
                  <w:tcW w:w="2715" w:type="pct"/>
                  <w:noWrap w:val="0"/>
                  <w:vAlign w:val="center"/>
                </w:tcPr>
                <w:p w14:paraId="421FD24A">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生活垃圾：垃圾桶</w:t>
                  </w:r>
                </w:p>
              </w:tc>
              <w:tc>
                <w:tcPr>
                  <w:tcW w:w="516" w:type="pct"/>
                  <w:vMerge w:val="restart"/>
                  <w:noWrap w:val="0"/>
                  <w:vAlign w:val="center"/>
                </w:tcPr>
                <w:p w14:paraId="04DE4D3F">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1</w:t>
                  </w:r>
                </w:p>
              </w:tc>
              <w:tc>
                <w:tcPr>
                  <w:tcW w:w="898" w:type="pct"/>
                  <w:vMerge w:val="restart"/>
                  <w:noWrap w:val="0"/>
                  <w:vAlign w:val="center"/>
                </w:tcPr>
                <w:p w14:paraId="212B0FA0">
                  <w:pPr>
                    <w:keepNext w:val="0"/>
                    <w:keepLines w:val="0"/>
                    <w:pageBreakBefore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w:t>
                  </w:r>
                </w:p>
              </w:tc>
            </w:tr>
            <w:tr w14:paraId="423B59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4" w:type="pct"/>
                  <w:vMerge w:val="continue"/>
                  <w:noWrap w:val="0"/>
                  <w:vAlign w:val="center"/>
                </w:tcPr>
                <w:p w14:paraId="6DAC16B6">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vMerge w:val="continue"/>
                  <w:noWrap w:val="0"/>
                  <w:vAlign w:val="center"/>
                </w:tcPr>
                <w:p w14:paraId="0F1C6FDF">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2715" w:type="pct"/>
                  <w:noWrap w:val="0"/>
                  <w:vAlign w:val="center"/>
                </w:tcPr>
                <w:p w14:paraId="159E5811">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一般固废：一般固废暂存</w:t>
                  </w:r>
                  <w:r>
                    <w:rPr>
                      <w:rFonts w:hint="default" w:ascii="Times New Roman" w:hAnsi="Times New Roman" w:eastAsia="宋体" w:cs="Times New Roman"/>
                      <w:bCs/>
                      <w:color w:val="000000"/>
                      <w:kern w:val="0"/>
                      <w:sz w:val="21"/>
                      <w:szCs w:val="21"/>
                      <w:u w:val="none"/>
                      <w:lang w:val="en-US" w:eastAsia="zh-CN" w:bidi="ar"/>
                    </w:rPr>
                    <w:t>间及收集设施</w:t>
                  </w:r>
                  <w:r>
                    <w:rPr>
                      <w:rFonts w:hint="default" w:ascii="Times New Roman" w:hAnsi="Times New Roman" w:eastAsia="宋体" w:cs="Times New Roman"/>
                      <w:bCs/>
                      <w:color w:val="000000"/>
                      <w:kern w:val="0"/>
                      <w:sz w:val="21"/>
                      <w:szCs w:val="21"/>
                      <w:u w:val="none"/>
                      <w:lang w:val="en-US" w:eastAsia="zh-CN" w:bidi="ar-SA"/>
                    </w:rPr>
                    <w:t>（防渗漏、防雨淋、防扬尘）</w:t>
                  </w:r>
                </w:p>
              </w:tc>
              <w:tc>
                <w:tcPr>
                  <w:tcW w:w="516" w:type="pct"/>
                  <w:vMerge w:val="continue"/>
                  <w:noWrap w:val="0"/>
                  <w:vAlign w:val="center"/>
                </w:tcPr>
                <w:p w14:paraId="54C72A7A">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898" w:type="pct"/>
                  <w:vMerge w:val="continue"/>
                  <w:noWrap w:val="0"/>
                  <w:vAlign w:val="center"/>
                </w:tcPr>
                <w:p w14:paraId="5CC65BF6">
                  <w:pPr>
                    <w:keepNext w:val="0"/>
                    <w:keepLines w:val="0"/>
                    <w:pageBreakBefore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sz w:val="21"/>
                      <w:szCs w:val="21"/>
                      <w:u w:val="none"/>
                    </w:rPr>
                  </w:pPr>
                </w:p>
              </w:tc>
            </w:tr>
            <w:tr w14:paraId="0A24F9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4" w:type="pct"/>
                  <w:vMerge w:val="continue"/>
                  <w:noWrap w:val="0"/>
                  <w:vAlign w:val="center"/>
                </w:tcPr>
                <w:p w14:paraId="61ABAA2C">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vMerge w:val="continue"/>
                  <w:noWrap w:val="0"/>
                  <w:vAlign w:val="center"/>
                </w:tcPr>
                <w:p w14:paraId="2A83BB2C">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2715" w:type="pct"/>
                  <w:noWrap w:val="0"/>
                  <w:vAlign w:val="center"/>
                </w:tcPr>
                <w:p w14:paraId="249D2344">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急宰间（病死猪</w:t>
                  </w:r>
                  <w:r>
                    <w:rPr>
                      <w:rFonts w:hint="eastAsia" w:cs="Times New Roman"/>
                      <w:bCs/>
                      <w:color w:val="000000"/>
                      <w:kern w:val="0"/>
                      <w:sz w:val="21"/>
                      <w:szCs w:val="21"/>
                      <w:u w:val="none"/>
                      <w:lang w:val="en-US" w:eastAsia="zh-CN" w:bidi="ar-SA"/>
                    </w:rPr>
                    <w:t>、不合格病肉</w:t>
                  </w:r>
                  <w:r>
                    <w:rPr>
                      <w:rFonts w:hint="default" w:ascii="Times New Roman" w:hAnsi="Times New Roman" w:eastAsia="宋体" w:cs="Times New Roman"/>
                      <w:bCs/>
                      <w:color w:val="000000"/>
                      <w:kern w:val="0"/>
                      <w:sz w:val="21"/>
                      <w:szCs w:val="21"/>
                      <w:u w:val="none"/>
                      <w:lang w:val="en-US" w:eastAsia="zh-CN" w:bidi="ar-SA"/>
                    </w:rPr>
                    <w:t>暂存）</w:t>
                  </w:r>
                </w:p>
              </w:tc>
              <w:tc>
                <w:tcPr>
                  <w:tcW w:w="516" w:type="pct"/>
                  <w:noWrap w:val="0"/>
                  <w:vAlign w:val="center"/>
                </w:tcPr>
                <w:p w14:paraId="67E01351">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2</w:t>
                  </w:r>
                </w:p>
              </w:tc>
              <w:tc>
                <w:tcPr>
                  <w:tcW w:w="898" w:type="pct"/>
                  <w:noWrap w:val="0"/>
                  <w:vAlign w:val="center"/>
                </w:tcPr>
                <w:p w14:paraId="3F5A1D55">
                  <w:pPr>
                    <w:keepNext w:val="0"/>
                    <w:keepLines w:val="0"/>
                    <w:pageBreakBefore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sz w:val="21"/>
                      <w:szCs w:val="21"/>
                      <w:u w:val="none"/>
                      <w:lang w:val="en-US" w:eastAsia="zh-CN"/>
                    </w:rPr>
                  </w:pPr>
                  <w:r>
                    <w:rPr>
                      <w:rFonts w:hint="default" w:ascii="Times New Roman" w:hAnsi="Times New Roman" w:eastAsia="宋体" w:cs="Times New Roman"/>
                      <w:color w:val="000000"/>
                      <w:sz w:val="21"/>
                      <w:szCs w:val="21"/>
                      <w:u w:val="none"/>
                      <w:lang w:val="en-US" w:eastAsia="zh-CN"/>
                    </w:rPr>
                    <w:t>/</w:t>
                  </w:r>
                </w:p>
              </w:tc>
            </w:tr>
            <w:tr w14:paraId="7ED428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54" w:type="pct"/>
                  <w:vMerge w:val="continue"/>
                  <w:noWrap w:val="0"/>
                  <w:vAlign w:val="center"/>
                </w:tcPr>
                <w:p w14:paraId="39745BDF">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p>
              </w:tc>
              <w:tc>
                <w:tcPr>
                  <w:tcW w:w="615" w:type="pct"/>
                  <w:noWrap w:val="0"/>
                  <w:vAlign w:val="center"/>
                </w:tcPr>
                <w:p w14:paraId="31620D62">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生态</w:t>
                  </w:r>
                </w:p>
              </w:tc>
              <w:tc>
                <w:tcPr>
                  <w:tcW w:w="2715" w:type="pct"/>
                  <w:noWrap w:val="0"/>
                  <w:vAlign w:val="center"/>
                </w:tcPr>
                <w:p w14:paraId="3CD682A4">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绿化植被</w:t>
                  </w:r>
                </w:p>
              </w:tc>
              <w:tc>
                <w:tcPr>
                  <w:tcW w:w="516" w:type="pct"/>
                  <w:noWrap w:val="0"/>
                  <w:vAlign w:val="center"/>
                </w:tcPr>
                <w:p w14:paraId="58901291">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2</w:t>
                  </w:r>
                </w:p>
              </w:tc>
              <w:tc>
                <w:tcPr>
                  <w:tcW w:w="898" w:type="pct"/>
                  <w:noWrap w:val="0"/>
                  <w:vAlign w:val="center"/>
                </w:tcPr>
                <w:p w14:paraId="5C1F2480">
                  <w:pPr>
                    <w:keepNext w:val="0"/>
                    <w:keepLines w:val="0"/>
                    <w:pageBreakBefore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w:t>
                  </w:r>
                </w:p>
              </w:tc>
            </w:tr>
            <w:tr w14:paraId="528002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585" w:type="pct"/>
                  <w:gridSpan w:val="3"/>
                  <w:noWrap w:val="0"/>
                  <w:vAlign w:val="center"/>
                </w:tcPr>
                <w:p w14:paraId="16B6AA0E">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合计</w:t>
                  </w:r>
                </w:p>
              </w:tc>
              <w:tc>
                <w:tcPr>
                  <w:tcW w:w="516" w:type="pct"/>
                  <w:noWrap w:val="0"/>
                  <w:vAlign w:val="center"/>
                </w:tcPr>
                <w:p w14:paraId="599430C6">
                  <w:pPr>
                    <w:keepNext w:val="0"/>
                    <w:keepLines w:val="0"/>
                    <w:pageBreakBefore w:val="0"/>
                    <w:widowControl w:val="0"/>
                    <w:kinsoku/>
                    <w:wordWrap/>
                    <w:topLinePunct w:val="0"/>
                    <w:autoSpaceDE/>
                    <w:autoSpaceDN/>
                    <w:bidi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35</w:t>
                  </w:r>
                </w:p>
              </w:tc>
              <w:tc>
                <w:tcPr>
                  <w:tcW w:w="898" w:type="pct"/>
                  <w:noWrap w:val="0"/>
                  <w:vAlign w:val="center"/>
                </w:tcPr>
                <w:p w14:paraId="3B844FDF">
                  <w:pPr>
                    <w:keepNext w:val="0"/>
                    <w:keepLines w:val="0"/>
                    <w:pageBreakBefore w:val="0"/>
                    <w:widowControl w:val="0"/>
                    <w:kinsoku/>
                    <w:wordWrap/>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Cs/>
                      <w:color w:val="000000"/>
                      <w:kern w:val="0"/>
                      <w:sz w:val="21"/>
                      <w:szCs w:val="21"/>
                      <w:u w:val="none"/>
                      <w:lang w:val="en-US" w:eastAsia="zh-CN" w:bidi="ar-SA"/>
                    </w:rPr>
                  </w:pPr>
                  <w:r>
                    <w:rPr>
                      <w:rFonts w:hint="default" w:ascii="Times New Roman" w:hAnsi="Times New Roman" w:eastAsia="宋体" w:cs="Times New Roman"/>
                      <w:bCs/>
                      <w:color w:val="000000"/>
                      <w:kern w:val="0"/>
                      <w:sz w:val="21"/>
                      <w:szCs w:val="21"/>
                      <w:u w:val="none"/>
                      <w:lang w:val="en-US" w:eastAsia="zh-CN" w:bidi="ar-SA"/>
                    </w:rPr>
                    <w:t>/</w:t>
                  </w:r>
                </w:p>
              </w:tc>
            </w:tr>
          </w:tbl>
          <w:p w14:paraId="6896ABA1">
            <w:pPr>
              <w:pStyle w:val="32"/>
              <w:ind w:left="0" w:leftChars="0" w:firstLine="0" w:firstLineChars="0"/>
              <w:rPr>
                <w:rFonts w:hint="default"/>
                <w:lang w:val="en-US" w:eastAsia="zh-CN"/>
              </w:rPr>
            </w:pPr>
          </w:p>
        </w:tc>
      </w:tr>
    </w:tbl>
    <w:p w14:paraId="4D7ECBEA">
      <w:pPr>
        <w:rPr>
          <w:rFonts w:hint="default" w:ascii="Times New Roman" w:hAnsi="Times New Roman" w:eastAsia="宋体" w:cs="Times New Roman"/>
          <w:b/>
          <w:bCs/>
          <w:snapToGrid w:val="0"/>
          <w:color w:val="FF0000"/>
          <w:sz w:val="30"/>
          <w:szCs w:val="30"/>
        </w:rPr>
      </w:pPr>
      <w:bookmarkStart w:id="26" w:name="_Toc7376"/>
      <w:r>
        <w:rPr>
          <w:rFonts w:hint="default" w:ascii="Times New Roman" w:hAnsi="Times New Roman" w:eastAsia="宋体" w:cs="Times New Roman"/>
          <w:b/>
          <w:bCs/>
          <w:snapToGrid w:val="0"/>
          <w:color w:val="FF0000"/>
          <w:sz w:val="30"/>
          <w:szCs w:val="30"/>
        </w:rPr>
        <w:br w:type="page"/>
      </w:r>
    </w:p>
    <w:p w14:paraId="57A9ACCC">
      <w:pPr>
        <w:pStyle w:val="19"/>
        <w:pageBreakBefore w:val="0"/>
        <w:wordWrap/>
        <w:overflowPunct/>
        <w:spacing w:before="0" w:beforeAutospacing="0" w:after="0" w:afterAutospacing="0" w:line="360" w:lineRule="auto"/>
        <w:ind w:left="0" w:leftChars="0" w:right="0"/>
        <w:jc w:val="center"/>
        <w:outlineLvl w:val="0"/>
        <w:rPr>
          <w:rFonts w:hint="default" w:ascii="Times New Roman" w:hAnsi="Times New Roman" w:eastAsia="宋体" w:cs="Times New Roman"/>
          <w:b/>
          <w:bCs/>
          <w:snapToGrid w:val="0"/>
          <w:color w:val="FF0000"/>
          <w:sz w:val="30"/>
          <w:szCs w:val="30"/>
        </w:rPr>
      </w:pPr>
      <w:bookmarkStart w:id="27" w:name="_Toc24853"/>
      <w:bookmarkStart w:id="28" w:name="_Toc1542"/>
      <w:bookmarkStart w:id="29" w:name="_Toc10864"/>
      <w:r>
        <w:rPr>
          <w:rFonts w:hint="default" w:ascii="Times New Roman" w:hAnsi="Times New Roman" w:eastAsia="宋体" w:cs="Times New Roman"/>
          <w:b/>
          <w:bCs/>
          <w:snapToGrid w:val="0"/>
          <w:color w:val="FF0000"/>
          <w:sz w:val="30"/>
          <w:szCs w:val="30"/>
        </w:rPr>
        <w:t>五、</w:t>
      </w:r>
      <w:bookmarkStart w:id="30" w:name="_Hlk54167917"/>
      <w:r>
        <w:rPr>
          <w:rFonts w:hint="default" w:ascii="Times New Roman" w:hAnsi="Times New Roman" w:eastAsia="宋体" w:cs="Times New Roman"/>
          <w:b/>
          <w:bCs/>
          <w:snapToGrid w:val="0"/>
          <w:color w:val="FF0000"/>
          <w:sz w:val="30"/>
          <w:szCs w:val="30"/>
        </w:rPr>
        <w:t>环境保护措施监督检查清单</w:t>
      </w:r>
      <w:bookmarkEnd w:id="26"/>
      <w:bookmarkEnd w:id="27"/>
      <w:bookmarkEnd w:id="28"/>
      <w:bookmarkEnd w:id="29"/>
      <w:bookmarkEnd w:id="30"/>
    </w:p>
    <w:tbl>
      <w:tblPr>
        <w:tblStyle w:val="21"/>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4"/>
        <w:gridCol w:w="1941"/>
        <w:gridCol w:w="1800"/>
        <w:gridCol w:w="2250"/>
        <w:gridCol w:w="1925"/>
      </w:tblGrid>
      <w:tr w14:paraId="252EE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4" w:type="dxa"/>
            <w:tcBorders>
              <w:tl2br w:val="single" w:color="auto" w:sz="4" w:space="0"/>
            </w:tcBorders>
            <w:noWrap w:val="0"/>
            <w:vAlign w:val="top"/>
          </w:tcPr>
          <w:p w14:paraId="47B13042">
            <w:pPr>
              <w:pageBreakBefore w:val="0"/>
              <w:wordWrap/>
              <w:overflowPunct/>
              <w:adjustRightInd w:val="0"/>
              <w:snapToGrid w:val="0"/>
              <w:spacing w:beforeAutospacing="0" w:afterAutospacing="0" w:line="360" w:lineRule="auto"/>
              <w:ind w:left="0" w:leftChars="0" w:right="0" w:firstLine="240" w:firstLineChars="100"/>
              <w:jc w:val="right"/>
              <w:rPr>
                <w:rFonts w:hint="default" w:ascii="Times New Roman" w:hAnsi="Times New Roman" w:eastAsia="宋体" w:cs="Times New Roman"/>
                <w:szCs w:val="21"/>
              </w:rPr>
            </w:pPr>
            <w:r>
              <w:rPr>
                <w:rFonts w:hint="default" w:ascii="Times New Roman" w:hAnsi="Times New Roman" w:eastAsia="宋体" w:cs="Times New Roman"/>
                <w:szCs w:val="21"/>
              </w:rPr>
              <w:t>内容</w:t>
            </w:r>
          </w:p>
          <w:p w14:paraId="04A50A9E">
            <w:pPr>
              <w:pageBreakBefore w:val="0"/>
              <w:wordWrap/>
              <w:overflowPunct/>
              <w:adjustRightInd w:val="0"/>
              <w:snapToGrid w:val="0"/>
              <w:spacing w:beforeAutospacing="0" w:afterAutospacing="0" w:line="360" w:lineRule="auto"/>
              <w:ind w:left="0" w:leftChars="0" w:right="0"/>
              <w:rPr>
                <w:rFonts w:hint="default" w:ascii="Times New Roman" w:hAnsi="Times New Roman" w:eastAsia="宋体" w:cs="Times New Roman"/>
                <w:szCs w:val="21"/>
              </w:rPr>
            </w:pPr>
            <w:r>
              <w:rPr>
                <w:rFonts w:hint="default" w:ascii="Times New Roman" w:hAnsi="Times New Roman" w:eastAsia="宋体" w:cs="Times New Roman"/>
                <w:szCs w:val="21"/>
              </w:rPr>
              <w:t>要素</w:t>
            </w:r>
          </w:p>
        </w:tc>
        <w:tc>
          <w:tcPr>
            <w:tcW w:w="1941" w:type="dxa"/>
            <w:noWrap w:val="0"/>
            <w:vAlign w:val="center"/>
          </w:tcPr>
          <w:p w14:paraId="7397064E">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排放口(编号、名称)/污染源</w:t>
            </w:r>
          </w:p>
        </w:tc>
        <w:tc>
          <w:tcPr>
            <w:tcW w:w="1800" w:type="dxa"/>
            <w:noWrap w:val="0"/>
            <w:vAlign w:val="center"/>
          </w:tcPr>
          <w:p w14:paraId="33185713">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污染物项目</w:t>
            </w:r>
          </w:p>
        </w:tc>
        <w:tc>
          <w:tcPr>
            <w:tcW w:w="2250" w:type="dxa"/>
            <w:noWrap w:val="0"/>
            <w:vAlign w:val="center"/>
          </w:tcPr>
          <w:p w14:paraId="5CBAAFC8">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环境保护措施</w:t>
            </w:r>
          </w:p>
        </w:tc>
        <w:tc>
          <w:tcPr>
            <w:tcW w:w="1925" w:type="dxa"/>
            <w:noWrap w:val="0"/>
            <w:vAlign w:val="center"/>
          </w:tcPr>
          <w:p w14:paraId="7E646AA7">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执行标准</w:t>
            </w:r>
          </w:p>
        </w:tc>
      </w:tr>
      <w:tr w14:paraId="6D49A3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4" w:type="dxa"/>
            <w:noWrap w:val="0"/>
            <w:vAlign w:val="center"/>
          </w:tcPr>
          <w:p w14:paraId="3F8CB64F">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大气环境</w:t>
            </w:r>
          </w:p>
        </w:tc>
        <w:tc>
          <w:tcPr>
            <w:tcW w:w="1941" w:type="dxa"/>
            <w:noWrap w:val="0"/>
            <w:vAlign w:val="center"/>
          </w:tcPr>
          <w:p w14:paraId="2840985C">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存栏舍、屠宰车间、污水处理设施</w:t>
            </w:r>
          </w:p>
        </w:tc>
        <w:tc>
          <w:tcPr>
            <w:tcW w:w="1800" w:type="dxa"/>
            <w:noWrap w:val="0"/>
            <w:vAlign w:val="center"/>
          </w:tcPr>
          <w:p w14:paraId="5CD8DDB6">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 w:val="24"/>
                <w:szCs w:val="24"/>
                <w:lang w:val="en-US"/>
              </w:rPr>
            </w:pPr>
            <w:r>
              <w:rPr>
                <w:rFonts w:hint="default" w:ascii="Times New Roman" w:hAnsi="Times New Roman" w:cs="Times New Roman"/>
                <w:b w:val="0"/>
                <w:bCs/>
                <w:kern w:val="0"/>
                <w:sz w:val="24"/>
                <w:szCs w:val="24"/>
                <w:u w:val="none"/>
                <w:lang w:val="en-US" w:eastAsia="zh-CN"/>
              </w:rPr>
              <w:t>NH</w:t>
            </w:r>
            <w:r>
              <w:rPr>
                <w:rFonts w:hint="default" w:ascii="Times New Roman" w:hAnsi="Times New Roman" w:cs="Times New Roman"/>
                <w:b w:val="0"/>
                <w:bCs/>
                <w:kern w:val="0"/>
                <w:sz w:val="24"/>
                <w:szCs w:val="24"/>
                <w:u w:val="none"/>
                <w:vertAlign w:val="subscript"/>
                <w:lang w:val="en-US" w:eastAsia="zh-CN"/>
              </w:rPr>
              <w:t>3</w:t>
            </w:r>
            <w:r>
              <w:rPr>
                <w:rFonts w:hint="default" w:ascii="Times New Roman" w:hAnsi="Times New Roman" w:cs="Times New Roman"/>
                <w:b w:val="0"/>
                <w:bCs/>
                <w:kern w:val="0"/>
                <w:sz w:val="24"/>
                <w:szCs w:val="24"/>
                <w:u w:val="none"/>
                <w:lang w:val="en-US" w:eastAsia="zh-CN"/>
              </w:rPr>
              <w:t>、H</w:t>
            </w:r>
            <w:r>
              <w:rPr>
                <w:rFonts w:hint="default" w:ascii="Times New Roman" w:hAnsi="Times New Roman" w:cs="Times New Roman"/>
                <w:b w:val="0"/>
                <w:bCs/>
                <w:kern w:val="0"/>
                <w:sz w:val="24"/>
                <w:szCs w:val="24"/>
                <w:u w:val="none"/>
                <w:vertAlign w:val="subscript"/>
                <w:lang w:val="en-US" w:eastAsia="zh-CN"/>
              </w:rPr>
              <w:t>2</w:t>
            </w:r>
            <w:r>
              <w:rPr>
                <w:rFonts w:hint="default" w:ascii="Times New Roman" w:hAnsi="Times New Roman" w:cs="Times New Roman"/>
                <w:b w:val="0"/>
                <w:bCs/>
                <w:kern w:val="0"/>
                <w:sz w:val="24"/>
                <w:szCs w:val="24"/>
                <w:u w:val="none"/>
                <w:lang w:val="en-US" w:eastAsia="zh-CN"/>
              </w:rPr>
              <w:t>S、臭气浓度</w:t>
            </w:r>
          </w:p>
        </w:tc>
        <w:tc>
          <w:tcPr>
            <w:tcW w:w="2250" w:type="dxa"/>
            <w:noWrap w:val="0"/>
            <w:vAlign w:val="center"/>
          </w:tcPr>
          <w:p w14:paraId="43BF5B46">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Cs w:val="21"/>
                <w:lang w:val="en-US"/>
              </w:rPr>
            </w:pPr>
            <w:r>
              <w:rPr>
                <w:rFonts w:hint="default" w:ascii="Times New Roman" w:hAnsi="Times New Roman" w:eastAsia="宋体" w:cs="Times New Roman"/>
                <w:color w:val="000000"/>
                <w:sz w:val="24"/>
                <w:szCs w:val="24"/>
                <w:u w:val="none"/>
                <w:lang w:val="en-US" w:eastAsia="zh-CN"/>
              </w:rPr>
              <w:t>加强管理，减少无组织排放，加强车间通风</w:t>
            </w:r>
            <w:r>
              <w:rPr>
                <w:rFonts w:hint="default" w:ascii="Times New Roman" w:hAnsi="Times New Roman" w:cs="Times New Roman"/>
                <w:color w:val="000000"/>
                <w:sz w:val="24"/>
                <w:szCs w:val="24"/>
                <w:u w:val="none"/>
                <w:lang w:val="en-US" w:eastAsia="zh-CN"/>
              </w:rPr>
              <w:t>，喷洒除臭剂、污水处理设施加盖</w:t>
            </w:r>
          </w:p>
        </w:tc>
        <w:tc>
          <w:tcPr>
            <w:tcW w:w="1925" w:type="dxa"/>
            <w:noWrap w:val="0"/>
            <w:vAlign w:val="center"/>
          </w:tcPr>
          <w:p w14:paraId="68193B7B">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 w:val="24"/>
                <w:szCs w:val="24"/>
              </w:rPr>
            </w:pPr>
            <w:r>
              <w:rPr>
                <w:rFonts w:hint="default" w:ascii="Times New Roman" w:hAnsi="Times New Roman" w:cs="Times New Roman"/>
              </w:rPr>
              <w:t>《恶臭污染物排放标准》（GB14554-93）表 1 恶臭污染物厂界二级标准及表2中排放限值要求</w:t>
            </w:r>
            <w:r>
              <w:rPr>
                <w:rFonts w:hint="default" w:ascii="Times New Roman" w:hAnsi="Times New Roman" w:cs="Times New Roman"/>
                <w:lang w:eastAsia="zh-CN"/>
              </w:rPr>
              <w:t>。</w:t>
            </w:r>
          </w:p>
        </w:tc>
      </w:tr>
      <w:tr w14:paraId="0E2E39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6" w:hRule="atLeast"/>
          <w:jc w:val="center"/>
        </w:trPr>
        <w:tc>
          <w:tcPr>
            <w:tcW w:w="884" w:type="dxa"/>
            <w:vMerge w:val="restart"/>
            <w:noWrap w:val="0"/>
            <w:vAlign w:val="center"/>
          </w:tcPr>
          <w:p w14:paraId="195407EF">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地表水</w:t>
            </w:r>
          </w:p>
          <w:p w14:paraId="2431B33C">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环境</w:t>
            </w:r>
          </w:p>
        </w:tc>
        <w:tc>
          <w:tcPr>
            <w:tcW w:w="1941" w:type="dxa"/>
            <w:noWrap w:val="0"/>
            <w:vAlign w:val="center"/>
          </w:tcPr>
          <w:p w14:paraId="0420A507">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u w:val="none"/>
              </w:rPr>
              <w:t>生活污水</w:t>
            </w:r>
          </w:p>
        </w:tc>
        <w:tc>
          <w:tcPr>
            <w:tcW w:w="1800" w:type="dxa"/>
            <w:noWrap w:val="0"/>
            <w:vAlign w:val="center"/>
          </w:tcPr>
          <w:p w14:paraId="02DBEC9B">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 w:val="24"/>
                <w:szCs w:val="24"/>
                <w:lang w:val="en-US"/>
              </w:rPr>
            </w:pPr>
            <w:r>
              <w:rPr>
                <w:rFonts w:hint="default" w:ascii="Times New Roman" w:hAnsi="Times New Roman" w:eastAsia="宋体" w:cs="Times New Roman"/>
                <w:color w:val="000000"/>
                <w:sz w:val="24"/>
                <w:szCs w:val="24"/>
                <w:u w:val="none"/>
              </w:rPr>
              <w:t>COD</w:t>
            </w:r>
            <w:r>
              <w:rPr>
                <w:rFonts w:hint="default" w:ascii="Times New Roman" w:hAnsi="Times New Roman" w:eastAsia="宋体" w:cs="Times New Roman"/>
                <w:color w:val="000000"/>
                <w:sz w:val="24"/>
                <w:szCs w:val="24"/>
                <w:u w:val="none"/>
                <w:lang w:eastAsia="zh-CN"/>
              </w:rPr>
              <w:t>、</w:t>
            </w:r>
            <w:r>
              <w:rPr>
                <w:rFonts w:hint="default" w:ascii="Times New Roman" w:hAnsi="Times New Roman" w:eastAsia="宋体" w:cs="Times New Roman"/>
                <w:color w:val="000000"/>
                <w:sz w:val="24"/>
                <w:szCs w:val="24"/>
                <w:u w:val="none"/>
              </w:rPr>
              <w:t>BOD</w:t>
            </w:r>
            <w:r>
              <w:rPr>
                <w:rFonts w:hint="default" w:ascii="Times New Roman" w:hAnsi="Times New Roman" w:cs="Times New Roman"/>
                <w:color w:val="000000"/>
                <w:sz w:val="24"/>
                <w:szCs w:val="24"/>
                <w:u w:val="none"/>
                <w:vertAlign w:val="subscript"/>
                <w:lang w:val="en-US" w:eastAsia="zh-CN"/>
              </w:rPr>
              <w:t>5</w:t>
            </w:r>
            <w:r>
              <w:rPr>
                <w:rFonts w:hint="default" w:ascii="Times New Roman" w:hAnsi="Times New Roman" w:eastAsia="宋体" w:cs="Times New Roman"/>
                <w:color w:val="000000"/>
                <w:sz w:val="24"/>
                <w:szCs w:val="24"/>
                <w:u w:val="none"/>
                <w:lang w:eastAsia="zh-CN"/>
              </w:rPr>
              <w:t>、</w:t>
            </w:r>
            <w:r>
              <w:rPr>
                <w:rFonts w:hint="default" w:ascii="Times New Roman" w:hAnsi="Times New Roman" w:eastAsia="宋体" w:cs="Times New Roman"/>
                <w:color w:val="000000"/>
                <w:sz w:val="24"/>
                <w:szCs w:val="24"/>
                <w:u w:val="none"/>
              </w:rPr>
              <w:t>SS</w:t>
            </w:r>
            <w:r>
              <w:rPr>
                <w:rFonts w:hint="default" w:ascii="Times New Roman" w:hAnsi="Times New Roman" w:eastAsia="宋体" w:cs="Times New Roman"/>
                <w:color w:val="000000"/>
                <w:sz w:val="24"/>
                <w:szCs w:val="24"/>
                <w:u w:val="none"/>
                <w:lang w:eastAsia="zh-CN"/>
              </w:rPr>
              <w:t>、</w:t>
            </w:r>
            <w:r>
              <w:rPr>
                <w:rFonts w:hint="default" w:ascii="Times New Roman" w:hAnsi="Times New Roman" w:eastAsia="宋体" w:cs="Times New Roman"/>
                <w:color w:val="000000"/>
                <w:sz w:val="24"/>
                <w:szCs w:val="24"/>
                <w:u w:val="none"/>
              </w:rPr>
              <w:t>氨氮</w:t>
            </w:r>
          </w:p>
        </w:tc>
        <w:tc>
          <w:tcPr>
            <w:tcW w:w="2250" w:type="dxa"/>
            <w:vMerge w:val="restart"/>
            <w:noWrap w:val="0"/>
            <w:vAlign w:val="center"/>
          </w:tcPr>
          <w:p w14:paraId="51BAAD17">
            <w:pPr>
              <w:pageBreakBefore w:val="0"/>
              <w:wordWrap/>
              <w:overflowPunct/>
              <w:spacing w:beforeAutospacing="0" w:afterAutospacing="0" w:line="360" w:lineRule="auto"/>
              <w:ind w:left="0" w:leftChars="0" w:right="0"/>
              <w:jc w:val="center"/>
              <w:rPr>
                <w:rFonts w:hint="default" w:ascii="Times New Roman" w:hAnsi="Times New Roman" w:eastAsia="宋体" w:cs="Times New Roman"/>
                <w:color w:val="000000"/>
                <w:sz w:val="24"/>
                <w:szCs w:val="24"/>
                <w:u w:val="none"/>
                <w:lang w:val="en-US" w:eastAsia="zh-CN"/>
              </w:rPr>
            </w:pPr>
            <w:r>
              <w:rPr>
                <w:rFonts w:hint="eastAsia" w:cs="Times New Roman"/>
                <w:color w:val="000000"/>
                <w:sz w:val="24"/>
                <w:szCs w:val="24"/>
                <w:u w:val="none"/>
                <w:lang w:val="en-US" w:eastAsia="zh-CN"/>
              </w:rPr>
              <w:t>生活污水</w:t>
            </w:r>
            <w:r>
              <w:rPr>
                <w:rFonts w:hint="default" w:ascii="Times New Roman" w:hAnsi="Times New Roman" w:cs="Times New Roman"/>
                <w:color w:val="000000"/>
                <w:sz w:val="24"/>
                <w:szCs w:val="24"/>
                <w:u w:val="none"/>
                <w:lang w:val="en-US" w:eastAsia="zh-CN"/>
              </w:rPr>
              <w:t>经化粪池处理后与生产废水一同经污水处理设施预处理，在污水管网铺设完成前通过槽罐车运输，铺设完成后排入污水管网进入南岳区污水处理厂处理。</w:t>
            </w:r>
          </w:p>
        </w:tc>
        <w:tc>
          <w:tcPr>
            <w:tcW w:w="1925" w:type="dxa"/>
            <w:vMerge w:val="restart"/>
            <w:noWrap w:val="0"/>
            <w:vAlign w:val="center"/>
          </w:tcPr>
          <w:p w14:paraId="53100EEE">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《肉类加工工业水污染物排放标准》（GB13457-92）表3中畜类屠宰加工三级排放标准及南岳区污水处理厂纳管标准</w:t>
            </w:r>
            <w:r>
              <w:rPr>
                <w:rFonts w:hint="default" w:ascii="Times New Roman" w:hAnsi="Times New Roman" w:cs="Times New Roman"/>
                <w:sz w:val="24"/>
                <w:szCs w:val="24"/>
                <w:lang w:val="en-US" w:eastAsia="zh-CN"/>
              </w:rPr>
              <w:t>对比执行较严格的一种。</w:t>
            </w:r>
          </w:p>
        </w:tc>
      </w:tr>
      <w:tr w14:paraId="157FBF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884" w:type="dxa"/>
            <w:vMerge w:val="continue"/>
            <w:noWrap w:val="0"/>
            <w:vAlign w:val="center"/>
          </w:tcPr>
          <w:p w14:paraId="58F790F5">
            <w:pPr>
              <w:pageBreakBefore w:val="0"/>
              <w:wordWrap/>
              <w:overflowPunct/>
              <w:spacing w:beforeAutospacing="0" w:afterAutospacing="0" w:line="360" w:lineRule="auto"/>
              <w:ind w:left="0" w:leftChars="0" w:right="0"/>
              <w:jc w:val="center"/>
              <w:rPr>
                <w:rFonts w:hint="default" w:ascii="Times New Roman" w:hAnsi="Times New Roman" w:cs="Times New Roman"/>
              </w:rPr>
            </w:pPr>
          </w:p>
        </w:tc>
        <w:tc>
          <w:tcPr>
            <w:tcW w:w="1941" w:type="dxa"/>
            <w:noWrap w:val="0"/>
            <w:vAlign w:val="center"/>
          </w:tcPr>
          <w:p w14:paraId="679E5ABF">
            <w:pPr>
              <w:pageBreakBefore w:val="0"/>
              <w:wordWrap/>
              <w:overflowPunct/>
              <w:spacing w:beforeAutospacing="0" w:afterAutospacing="0" w:line="360" w:lineRule="auto"/>
              <w:ind w:left="0" w:leftChars="0" w:right="0"/>
              <w:jc w:val="center"/>
              <w:rPr>
                <w:rFonts w:hint="default" w:ascii="Times New Roman" w:hAnsi="Times New Roman" w:eastAsia="宋体" w:cs="Times New Roman"/>
                <w:color w:val="000000"/>
                <w:sz w:val="24"/>
                <w:szCs w:val="24"/>
                <w:u w:val="none"/>
                <w:lang w:val="en-US" w:eastAsia="zh-CN"/>
              </w:rPr>
            </w:pPr>
            <w:r>
              <w:rPr>
                <w:rFonts w:hint="default" w:ascii="Times New Roman" w:hAnsi="Times New Roman" w:cs="Times New Roman"/>
                <w:color w:val="000000"/>
                <w:sz w:val="24"/>
                <w:szCs w:val="24"/>
                <w:u w:val="none"/>
                <w:lang w:val="en-US" w:eastAsia="zh-CN"/>
              </w:rPr>
              <w:t>生产废水</w:t>
            </w:r>
          </w:p>
        </w:tc>
        <w:tc>
          <w:tcPr>
            <w:tcW w:w="1800" w:type="dxa"/>
            <w:noWrap w:val="0"/>
            <w:vAlign w:val="center"/>
          </w:tcPr>
          <w:p w14:paraId="3120B44B">
            <w:pPr>
              <w:pageBreakBefore w:val="0"/>
              <w:wordWrap/>
              <w:overflowPunct/>
              <w:spacing w:beforeAutospacing="0" w:afterAutospacing="0" w:line="360" w:lineRule="auto"/>
              <w:ind w:left="0" w:leftChars="0" w:right="0"/>
              <w:jc w:val="center"/>
              <w:rPr>
                <w:rFonts w:hint="default" w:ascii="Times New Roman" w:hAnsi="Times New Roman" w:eastAsia="宋体" w:cs="Times New Roman"/>
                <w:color w:val="000000"/>
                <w:sz w:val="24"/>
                <w:szCs w:val="24"/>
                <w:u w:val="none"/>
                <w:lang w:val="en-US" w:eastAsia="zh-CN"/>
              </w:rPr>
            </w:pPr>
            <w:r>
              <w:rPr>
                <w:rFonts w:hint="default" w:ascii="Times New Roman" w:hAnsi="Times New Roman" w:cs="Times New Roman"/>
                <w:color w:val="000000"/>
                <w:sz w:val="24"/>
                <w:szCs w:val="24"/>
                <w:u w:val="none"/>
                <w:lang w:val="en-US" w:eastAsia="zh-CN"/>
              </w:rPr>
              <w:t>COD、BOD</w:t>
            </w:r>
            <w:r>
              <w:rPr>
                <w:rFonts w:hint="default" w:ascii="Times New Roman" w:hAnsi="Times New Roman" w:cs="Times New Roman"/>
                <w:color w:val="000000"/>
                <w:sz w:val="24"/>
                <w:szCs w:val="24"/>
                <w:u w:val="none"/>
                <w:vertAlign w:val="subscript"/>
                <w:lang w:val="en-US" w:eastAsia="zh-CN"/>
              </w:rPr>
              <w:t>5</w:t>
            </w:r>
            <w:r>
              <w:rPr>
                <w:rFonts w:hint="default" w:ascii="Times New Roman" w:hAnsi="Times New Roman" w:cs="Times New Roman"/>
                <w:color w:val="000000"/>
                <w:sz w:val="24"/>
                <w:szCs w:val="24"/>
                <w:u w:val="none"/>
                <w:lang w:val="en-US" w:eastAsia="zh-CN"/>
              </w:rPr>
              <w:t>、SS、动植物油、总氮、总磷</w:t>
            </w:r>
          </w:p>
        </w:tc>
        <w:tc>
          <w:tcPr>
            <w:tcW w:w="2250" w:type="dxa"/>
            <w:vMerge w:val="continue"/>
            <w:noWrap w:val="0"/>
            <w:vAlign w:val="center"/>
          </w:tcPr>
          <w:p w14:paraId="318DA053">
            <w:pPr>
              <w:pageBreakBefore w:val="0"/>
              <w:wordWrap/>
              <w:overflowPunct/>
              <w:spacing w:beforeAutospacing="0" w:afterAutospacing="0" w:line="360" w:lineRule="auto"/>
              <w:ind w:left="0" w:leftChars="0" w:right="0"/>
              <w:jc w:val="center"/>
              <w:rPr>
                <w:rFonts w:hint="default" w:ascii="Times New Roman" w:hAnsi="Times New Roman" w:eastAsia="宋体" w:cs="Times New Roman"/>
                <w:color w:val="000000"/>
                <w:sz w:val="24"/>
                <w:szCs w:val="24"/>
                <w:u w:val="none"/>
                <w:lang w:val="en-US" w:eastAsia="zh-CN"/>
              </w:rPr>
            </w:pPr>
          </w:p>
        </w:tc>
        <w:tc>
          <w:tcPr>
            <w:tcW w:w="1925" w:type="dxa"/>
            <w:vMerge w:val="continue"/>
            <w:noWrap w:val="0"/>
            <w:vAlign w:val="center"/>
          </w:tcPr>
          <w:p w14:paraId="3866892F">
            <w:pPr>
              <w:pageBreakBefore w:val="0"/>
              <w:wordWrap/>
              <w:overflowPunct/>
              <w:spacing w:beforeAutospacing="0" w:afterAutospacing="0" w:line="360" w:lineRule="auto"/>
              <w:ind w:left="0" w:leftChars="0" w:right="0"/>
              <w:jc w:val="center"/>
              <w:rPr>
                <w:rFonts w:hint="default" w:ascii="Times New Roman" w:hAnsi="Times New Roman" w:eastAsia="宋体" w:cs="Times New Roman"/>
                <w:color w:val="000000"/>
                <w:sz w:val="21"/>
                <w:szCs w:val="21"/>
                <w:u w:val="none"/>
              </w:rPr>
            </w:pPr>
          </w:p>
        </w:tc>
      </w:tr>
      <w:tr w14:paraId="57320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4" w:type="dxa"/>
            <w:noWrap w:val="0"/>
            <w:vAlign w:val="center"/>
          </w:tcPr>
          <w:p w14:paraId="6F73D4D1">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声环境</w:t>
            </w:r>
          </w:p>
        </w:tc>
        <w:tc>
          <w:tcPr>
            <w:tcW w:w="1941" w:type="dxa"/>
            <w:noWrap w:val="0"/>
            <w:vAlign w:val="center"/>
          </w:tcPr>
          <w:p w14:paraId="5B184093">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u w:val="none"/>
              </w:rPr>
              <w:t>生产设备</w:t>
            </w:r>
          </w:p>
        </w:tc>
        <w:tc>
          <w:tcPr>
            <w:tcW w:w="1800" w:type="dxa"/>
            <w:noWrap w:val="0"/>
            <w:vAlign w:val="center"/>
          </w:tcPr>
          <w:p w14:paraId="7323F2DF">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设备噪声</w:t>
            </w:r>
          </w:p>
        </w:tc>
        <w:tc>
          <w:tcPr>
            <w:tcW w:w="2250" w:type="dxa"/>
            <w:noWrap w:val="0"/>
            <w:vAlign w:val="center"/>
          </w:tcPr>
          <w:p w14:paraId="4E8843C3">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u w:val="none"/>
                <w:lang w:val="en-US" w:eastAsia="zh-CN"/>
              </w:rPr>
              <w:t>选择</w:t>
            </w:r>
            <w:r>
              <w:rPr>
                <w:rFonts w:hint="default" w:ascii="Times New Roman" w:hAnsi="Times New Roman" w:eastAsia="宋体" w:cs="Times New Roman"/>
                <w:color w:val="000000"/>
                <w:sz w:val="24"/>
                <w:szCs w:val="24"/>
                <w:u w:val="none"/>
              </w:rPr>
              <w:t>低噪设备、</w:t>
            </w:r>
            <w:r>
              <w:rPr>
                <w:rFonts w:hint="default" w:ascii="Times New Roman" w:hAnsi="Times New Roman" w:eastAsia="宋体" w:cs="Times New Roman"/>
                <w:color w:val="000000"/>
                <w:sz w:val="24"/>
                <w:szCs w:val="24"/>
                <w:u w:val="none"/>
                <w:lang w:val="en-US" w:eastAsia="zh-CN"/>
              </w:rPr>
              <w:t>合理布局、</w:t>
            </w:r>
            <w:r>
              <w:rPr>
                <w:rFonts w:hint="default" w:ascii="Times New Roman" w:hAnsi="Times New Roman" w:eastAsia="宋体" w:cs="Times New Roman"/>
                <w:color w:val="000000"/>
                <w:sz w:val="24"/>
                <w:szCs w:val="24"/>
                <w:u w:val="none"/>
              </w:rPr>
              <w:t>减振降噪、厂房隔声、距离衰减等</w:t>
            </w:r>
          </w:p>
        </w:tc>
        <w:tc>
          <w:tcPr>
            <w:tcW w:w="1925" w:type="dxa"/>
            <w:noWrap w:val="0"/>
            <w:vAlign w:val="center"/>
          </w:tcPr>
          <w:p w14:paraId="4C6CBFBD">
            <w:pPr>
              <w:pageBreakBefore w:val="0"/>
              <w:wordWrap/>
              <w:overflowPunct/>
              <w:spacing w:beforeAutospacing="0" w:afterAutospacing="0" w:line="360" w:lineRule="auto"/>
              <w:ind w:left="0" w:leftChars="0" w:right="0"/>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color w:val="000000"/>
                <w:sz w:val="24"/>
                <w:szCs w:val="24"/>
                <w:u w:val="none"/>
              </w:rPr>
              <w:t>《工业企业厂界噪声排放标准》（GB12348-2008）</w:t>
            </w:r>
            <w:r>
              <w:rPr>
                <w:rFonts w:hint="default" w:ascii="Times New Roman" w:hAnsi="Times New Roman" w:cs="Times New Roman"/>
                <w:color w:val="000000"/>
                <w:sz w:val="24"/>
                <w:szCs w:val="24"/>
                <w:u w:val="none"/>
                <w:lang w:val="en-US" w:eastAsia="zh-CN"/>
              </w:rPr>
              <w:t>2</w:t>
            </w:r>
            <w:r>
              <w:rPr>
                <w:rFonts w:hint="default" w:ascii="Times New Roman" w:hAnsi="Times New Roman" w:eastAsia="宋体" w:cs="Times New Roman"/>
                <w:color w:val="000000"/>
                <w:sz w:val="24"/>
                <w:szCs w:val="24"/>
                <w:u w:val="none"/>
                <w:lang w:val="en-US" w:eastAsia="zh-CN"/>
              </w:rPr>
              <w:t>类</w:t>
            </w:r>
            <w:r>
              <w:rPr>
                <w:rFonts w:hint="default" w:ascii="Times New Roman" w:hAnsi="Times New Roman" w:eastAsia="宋体" w:cs="Times New Roman"/>
                <w:color w:val="000000"/>
                <w:sz w:val="24"/>
                <w:szCs w:val="24"/>
                <w:u w:val="none"/>
              </w:rPr>
              <w:t>标准</w:t>
            </w:r>
            <w:r>
              <w:rPr>
                <w:rFonts w:hint="default" w:ascii="Times New Roman" w:hAnsi="Times New Roman" w:cs="Times New Roman"/>
                <w:color w:val="000000"/>
                <w:sz w:val="24"/>
                <w:szCs w:val="24"/>
                <w:u w:val="none"/>
                <w:lang w:eastAsia="zh-CN"/>
              </w:rPr>
              <w:t>。</w:t>
            </w:r>
          </w:p>
        </w:tc>
      </w:tr>
      <w:tr w14:paraId="61F42A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84" w:type="dxa"/>
            <w:noWrap w:val="0"/>
            <w:vAlign w:val="center"/>
          </w:tcPr>
          <w:p w14:paraId="52534DF0">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固体</w:t>
            </w:r>
          </w:p>
          <w:p w14:paraId="49CBF17B">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废物</w:t>
            </w:r>
          </w:p>
        </w:tc>
        <w:tc>
          <w:tcPr>
            <w:tcW w:w="7916" w:type="dxa"/>
            <w:gridSpan w:val="4"/>
            <w:noWrap w:val="0"/>
            <w:vAlign w:val="center"/>
          </w:tcPr>
          <w:p w14:paraId="4A1B69E9">
            <w:pPr>
              <w:pageBreakBefore w:val="0"/>
              <w:wordWrap/>
              <w:overflowPunct/>
              <w:adjustRightInd w:val="0"/>
              <w:snapToGrid w:val="0"/>
              <w:spacing w:beforeAutospacing="0" w:afterAutospacing="0" w:line="360" w:lineRule="auto"/>
              <w:ind w:left="0" w:leftChars="0" w:right="0" w:firstLine="480" w:firstLineChars="200"/>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生活垃圾收集后定期清运交由环保部门处理；病死猪和不合格产品交由当地无害化处理企业回收处理，一般固废（猪粪、栅渣、泥饼、猪副产品)外售处理。</w:t>
            </w:r>
          </w:p>
        </w:tc>
      </w:tr>
      <w:tr w14:paraId="4E2952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84" w:type="dxa"/>
            <w:noWrap w:val="0"/>
            <w:vAlign w:val="center"/>
          </w:tcPr>
          <w:p w14:paraId="1500ACC6">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土壤及地下水污染防治措施</w:t>
            </w:r>
          </w:p>
        </w:tc>
        <w:tc>
          <w:tcPr>
            <w:tcW w:w="7916" w:type="dxa"/>
            <w:gridSpan w:val="4"/>
            <w:noWrap w:val="0"/>
            <w:vAlign w:val="center"/>
          </w:tcPr>
          <w:p w14:paraId="1705B6B0">
            <w:pPr>
              <w:pageBreakBefore w:val="0"/>
              <w:wordWrap/>
              <w:overflowPunct/>
              <w:adjustRightInd w:val="0"/>
              <w:snapToGrid w:val="0"/>
              <w:spacing w:beforeAutospacing="0" w:afterAutospacing="0" w:line="360" w:lineRule="auto"/>
              <w:ind w:left="0" w:leftChars="0" w:right="0" w:firstLine="480" w:firstLineChars="200"/>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排水管道、污水处理设施各构筑物与屠宰车间地面应做好防渗防漏处理；各类固废应做到日产日清，屠宰车间、存栏处产生的固废采用防渗封闭容器及时清运售卖，固废暂存处应采取得当的防渗措施。本项目生产区域全部做硬化处理，因此本项目对土壤与地下水环境影响极小。</w:t>
            </w:r>
          </w:p>
        </w:tc>
      </w:tr>
      <w:tr w14:paraId="5C9708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84" w:type="dxa"/>
            <w:noWrap w:val="0"/>
            <w:vAlign w:val="center"/>
          </w:tcPr>
          <w:p w14:paraId="0C094ABA">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生态保护措施</w:t>
            </w:r>
          </w:p>
        </w:tc>
        <w:tc>
          <w:tcPr>
            <w:tcW w:w="7916" w:type="dxa"/>
            <w:gridSpan w:val="4"/>
            <w:noWrap w:val="0"/>
            <w:vAlign w:val="center"/>
          </w:tcPr>
          <w:p w14:paraId="5B461DFF">
            <w:pPr>
              <w:pStyle w:val="35"/>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480" w:firstLineChars="200"/>
              <w:jc w:val="left"/>
              <w:textAlignment w:val="auto"/>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本项目</w:t>
            </w:r>
            <w:r>
              <w:rPr>
                <w:rFonts w:hint="default" w:ascii="Times New Roman" w:hAnsi="Times New Roman" w:cs="Times New Roman"/>
                <w:spacing w:val="-1"/>
                <w:lang w:val="en-US" w:eastAsia="zh-CN"/>
              </w:rPr>
              <w:t>施工期间</w:t>
            </w:r>
            <w:r>
              <w:rPr>
                <w:rFonts w:hint="default" w:ascii="Times New Roman" w:hAnsi="Times New Roman" w:cs="Times New Roman"/>
                <w:spacing w:val="-1"/>
              </w:rPr>
              <w:t>，通过合理安排施工计划、施工程序，协调好各个施工步</w:t>
            </w:r>
            <w:r>
              <w:rPr>
                <w:rFonts w:hint="default" w:ascii="Times New Roman" w:hAnsi="Times New Roman" w:cs="Times New Roman"/>
                <w:spacing w:val="-2"/>
              </w:rPr>
              <w:t>骤，</w:t>
            </w:r>
            <w:r>
              <w:rPr>
                <w:rFonts w:hint="default" w:ascii="Times New Roman" w:hAnsi="Times New Roman" w:cs="Times New Roman"/>
                <w:spacing w:val="-1"/>
              </w:rPr>
              <w:t>尽量减少开挖，</w:t>
            </w:r>
            <w:r>
              <w:rPr>
                <w:rFonts w:hint="default" w:ascii="Times New Roman" w:hAnsi="Times New Roman" w:cs="Times New Roman"/>
                <w:spacing w:val="-1"/>
                <w:lang w:val="en-US" w:eastAsia="zh-CN"/>
              </w:rPr>
              <w:t>土方回填</w:t>
            </w:r>
            <w:r>
              <w:rPr>
                <w:rFonts w:hint="default" w:ascii="Times New Roman" w:hAnsi="Times New Roman" w:cs="Times New Roman"/>
                <w:spacing w:val="-1"/>
              </w:rPr>
              <w:t>，减少堆土裸土的暴露时间，以避免受降雨</w:t>
            </w:r>
            <w:r>
              <w:rPr>
                <w:rFonts w:hint="default" w:ascii="Times New Roman" w:hAnsi="Times New Roman" w:cs="Times New Roman"/>
                <w:spacing w:val="2"/>
              </w:rPr>
              <w:t xml:space="preserve"> </w:t>
            </w:r>
            <w:r>
              <w:rPr>
                <w:rFonts w:hint="default" w:ascii="Times New Roman" w:hAnsi="Times New Roman" w:cs="Times New Roman"/>
                <w:spacing w:val="-1"/>
              </w:rPr>
              <w:t>的直接冲刷和水土流失。项目建成后，及时恢复地域</w:t>
            </w:r>
            <w:r>
              <w:rPr>
                <w:rFonts w:hint="default" w:ascii="Times New Roman" w:hAnsi="Times New Roman" w:cs="Times New Roman"/>
                <w:spacing w:val="-1"/>
                <w:lang w:val="en-US" w:eastAsia="zh-CN"/>
              </w:rPr>
              <w:t>环境</w:t>
            </w:r>
            <w:r>
              <w:rPr>
                <w:rFonts w:hint="default" w:ascii="Times New Roman" w:hAnsi="Times New Roman" w:cs="Times New Roman"/>
                <w:spacing w:val="-1"/>
              </w:rPr>
              <w:t>，</w:t>
            </w:r>
            <w:r>
              <w:rPr>
                <w:rFonts w:hint="default" w:ascii="Times New Roman" w:hAnsi="Times New Roman" w:cs="Times New Roman"/>
                <w:spacing w:val="-1"/>
                <w:lang w:val="en-US" w:eastAsia="zh-CN"/>
              </w:rPr>
              <w:t>厂区生态修复</w:t>
            </w:r>
            <w:r>
              <w:rPr>
                <w:rFonts w:hint="default" w:ascii="Times New Roman" w:hAnsi="Times New Roman" w:cs="Times New Roman"/>
                <w:spacing w:val="-1"/>
              </w:rPr>
              <w:t>，</w:t>
            </w:r>
            <w:r>
              <w:rPr>
                <w:rFonts w:hint="default" w:ascii="Times New Roman" w:hAnsi="Times New Roman" w:cs="Times New Roman"/>
                <w:spacing w:val="-1"/>
                <w:lang w:val="en-US" w:eastAsia="zh-CN"/>
              </w:rPr>
              <w:t>增加绿化面积，</w:t>
            </w:r>
            <w:r>
              <w:rPr>
                <w:rFonts w:hint="default" w:ascii="Times New Roman" w:hAnsi="Times New Roman" w:cs="Times New Roman"/>
                <w:spacing w:val="-1"/>
              </w:rPr>
              <w:t>减少水土流失。对恢复植被与生态建设呈正面影响，不会对区域环境产生影响。</w:t>
            </w:r>
          </w:p>
        </w:tc>
      </w:tr>
      <w:tr w14:paraId="21F277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84" w:type="dxa"/>
            <w:noWrap w:val="0"/>
            <w:vAlign w:val="center"/>
          </w:tcPr>
          <w:p w14:paraId="235AB9D1">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pacing w:val="-8"/>
                <w:szCs w:val="21"/>
              </w:rPr>
            </w:pPr>
            <w:r>
              <w:rPr>
                <w:rFonts w:hint="default" w:ascii="Times New Roman" w:hAnsi="Times New Roman" w:eastAsia="宋体" w:cs="Times New Roman"/>
                <w:spacing w:val="-8"/>
                <w:szCs w:val="21"/>
              </w:rPr>
              <w:t>环境风险防范措施</w:t>
            </w:r>
          </w:p>
        </w:tc>
        <w:tc>
          <w:tcPr>
            <w:tcW w:w="7916" w:type="dxa"/>
            <w:gridSpan w:val="4"/>
            <w:noWrap w:val="0"/>
            <w:vAlign w:val="center"/>
          </w:tcPr>
          <w:p w14:paraId="38557059">
            <w:pPr>
              <w:pStyle w:val="3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highlight w:val="none"/>
                <w:u w:val="none" w:color="auto"/>
                <w:lang w:val="en-US" w:eastAsia="zh-CN"/>
              </w:rPr>
            </w:pPr>
            <w:r>
              <w:rPr>
                <w:rFonts w:hint="default" w:ascii="Times New Roman" w:hAnsi="Times New Roman" w:eastAsia="宋体" w:cs="Times New Roman"/>
                <w:b w:val="0"/>
                <w:bCs w:val="0"/>
                <w:color w:val="auto"/>
                <w:sz w:val="24"/>
                <w:szCs w:val="24"/>
                <w:highlight w:val="none"/>
                <w:u w:val="none" w:color="auto"/>
                <w:lang w:val="en-US" w:eastAsia="zh-CN"/>
              </w:rPr>
              <w:t>（1）</w:t>
            </w:r>
            <w:r>
              <w:rPr>
                <w:rFonts w:hint="default" w:ascii="Times New Roman" w:hAnsi="Times New Roman" w:cs="Times New Roman"/>
                <w:b w:val="0"/>
                <w:bCs w:val="0"/>
                <w:color w:val="auto"/>
                <w:sz w:val="24"/>
                <w:szCs w:val="24"/>
                <w:highlight w:val="none"/>
                <w:u w:val="none" w:color="auto"/>
                <w:lang w:val="en-US" w:eastAsia="zh-CN"/>
              </w:rPr>
              <w:t>厂区消防器材配备完善，严格防火管理，全部人员接受过防火演练和培训</w:t>
            </w:r>
            <w:r>
              <w:rPr>
                <w:rFonts w:hint="default" w:ascii="Times New Roman" w:hAnsi="Times New Roman" w:eastAsia="宋体" w:cs="Times New Roman"/>
                <w:b w:val="0"/>
                <w:bCs w:val="0"/>
                <w:color w:val="auto"/>
                <w:sz w:val="24"/>
                <w:szCs w:val="24"/>
                <w:highlight w:val="none"/>
                <w:u w:val="none" w:color="auto"/>
                <w:vertAlign w:val="baseline"/>
                <w:lang w:eastAsia="zh-CN"/>
              </w:rPr>
              <w:t>；</w:t>
            </w:r>
          </w:p>
          <w:p w14:paraId="786AB801">
            <w:pPr>
              <w:pStyle w:val="36"/>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highlight w:val="none"/>
                <w:u w:val="none" w:color="auto"/>
                <w:lang w:eastAsia="zh-CN"/>
              </w:rPr>
            </w:pPr>
            <w:r>
              <w:rPr>
                <w:rFonts w:hint="default" w:ascii="Times New Roman" w:hAnsi="Times New Roman" w:eastAsia="宋体"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lang w:val="en-US" w:eastAsia="zh-CN"/>
              </w:rPr>
              <w:t>2</w:t>
            </w:r>
            <w:r>
              <w:rPr>
                <w:rFonts w:hint="default" w:ascii="Times New Roman" w:hAnsi="Times New Roman" w:eastAsia="宋体" w:cs="Times New Roman"/>
                <w:b w:val="0"/>
                <w:bCs w:val="0"/>
                <w:color w:val="auto"/>
                <w:sz w:val="24"/>
                <w:szCs w:val="24"/>
                <w:highlight w:val="none"/>
                <w:u w:val="none" w:color="auto"/>
                <w:lang w:eastAsia="zh-CN"/>
              </w:rPr>
              <w:t>）车间地面硬化，危废暂存间采取重点防渗措施，设置防渗托盘</w:t>
            </w:r>
            <w:r>
              <w:rPr>
                <w:rFonts w:hint="default" w:ascii="Times New Roman" w:hAnsi="Times New Roman" w:eastAsia="宋体" w:cs="Times New Roman"/>
                <w:b w:val="0"/>
                <w:bCs w:val="0"/>
                <w:color w:val="auto"/>
                <w:sz w:val="24"/>
                <w:szCs w:val="24"/>
                <w:highlight w:val="none"/>
                <w:u w:val="none" w:color="auto"/>
                <w:lang w:val="en-US" w:eastAsia="zh-CN"/>
              </w:rPr>
              <w:t>或围堰</w:t>
            </w:r>
            <w:r>
              <w:rPr>
                <w:rFonts w:hint="default" w:ascii="Times New Roman" w:hAnsi="Times New Roman" w:eastAsia="宋体" w:cs="Times New Roman"/>
                <w:b w:val="0"/>
                <w:bCs w:val="0"/>
                <w:color w:val="auto"/>
                <w:sz w:val="24"/>
                <w:szCs w:val="24"/>
                <w:highlight w:val="none"/>
                <w:u w:val="none" w:color="auto"/>
                <w:lang w:eastAsia="zh-CN"/>
              </w:rPr>
              <w:t>，加强巡视管理，可确保化学品</w:t>
            </w:r>
            <w:r>
              <w:rPr>
                <w:rFonts w:hint="eastAsia" w:cs="Times New Roman"/>
                <w:b w:val="0"/>
                <w:bCs w:val="0"/>
                <w:color w:val="auto"/>
                <w:sz w:val="24"/>
                <w:szCs w:val="24"/>
                <w:highlight w:val="none"/>
                <w:u w:val="none" w:color="auto"/>
                <w:lang w:eastAsia="zh-CN"/>
              </w:rPr>
              <w:t>泄漏</w:t>
            </w:r>
            <w:r>
              <w:rPr>
                <w:rFonts w:hint="default" w:ascii="Times New Roman" w:hAnsi="Times New Roman" w:eastAsia="宋体" w:cs="Times New Roman"/>
                <w:b w:val="0"/>
                <w:bCs w:val="0"/>
                <w:color w:val="auto"/>
                <w:sz w:val="24"/>
                <w:szCs w:val="24"/>
                <w:highlight w:val="none"/>
                <w:u w:val="none" w:color="auto"/>
                <w:lang w:eastAsia="zh-CN"/>
              </w:rPr>
              <w:t>可被完全收集</w:t>
            </w:r>
            <w:r>
              <w:rPr>
                <w:rFonts w:hint="default" w:ascii="Times New Roman" w:hAnsi="Times New Roman" w:eastAsia="宋体" w:cs="Times New Roman"/>
                <w:b w:val="0"/>
                <w:bCs w:val="0"/>
                <w:color w:val="auto"/>
                <w:sz w:val="24"/>
                <w:szCs w:val="24"/>
                <w:highlight w:val="none"/>
                <w:u w:val="none" w:color="auto"/>
                <w:vertAlign w:val="baseline"/>
                <w:lang w:eastAsia="zh-CN"/>
              </w:rPr>
              <w:t>；</w:t>
            </w:r>
          </w:p>
          <w:p w14:paraId="7081DEA7">
            <w:pPr>
              <w:keepNext w:val="0"/>
              <w:keepLines w:val="0"/>
              <w:pageBreakBefore w:val="0"/>
              <w:widowControl w:val="0"/>
              <w:kinsoku/>
              <w:wordWrap/>
              <w:overflowPunct/>
              <w:topLinePunct w:val="0"/>
              <w:bidi w:val="0"/>
              <w:adjustRightInd/>
              <w:snapToGrid/>
              <w:spacing w:beforeAutospacing="0" w:afterAutospacing="0" w:line="360" w:lineRule="auto"/>
              <w:ind w:left="0" w:leftChars="0" w:right="0" w:firstLine="480" w:firstLineChars="200"/>
              <w:jc w:val="both"/>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lang w:val="en-US" w:eastAsia="zh-CN"/>
              </w:rPr>
              <w:t>3</w:t>
            </w:r>
            <w:r>
              <w:rPr>
                <w:rFonts w:hint="default" w:ascii="Times New Roman" w:hAnsi="Times New Roman" w:eastAsia="宋体" w:cs="Times New Roman"/>
                <w:b w:val="0"/>
                <w:bCs w:val="0"/>
                <w:color w:val="auto"/>
                <w:sz w:val="24"/>
                <w:szCs w:val="24"/>
                <w:highlight w:val="none"/>
                <w:u w:val="none" w:color="auto"/>
                <w:lang w:eastAsia="zh-CN"/>
              </w:rPr>
              <w:t>）</w:t>
            </w:r>
            <w:r>
              <w:rPr>
                <w:rFonts w:hint="default" w:ascii="Times New Roman" w:hAnsi="Times New Roman" w:cs="Times New Roman"/>
                <w:b w:val="0"/>
                <w:bCs w:val="0"/>
                <w:color w:val="auto"/>
                <w:sz w:val="24"/>
                <w:szCs w:val="24"/>
                <w:highlight w:val="none"/>
                <w:u w:val="none" w:color="auto"/>
                <w:lang w:val="en-US" w:eastAsia="zh-CN"/>
              </w:rPr>
              <w:t>加强疾病检测，每年定期检疫，严格落实厂区防疫程序和防疫措施，杜绝疫情发生</w:t>
            </w:r>
            <w:r>
              <w:rPr>
                <w:rFonts w:hint="default" w:ascii="Times New Roman" w:hAnsi="Times New Roman" w:eastAsia="宋体" w:cs="Times New Roman"/>
                <w:b w:val="0"/>
                <w:bCs w:val="0"/>
                <w:color w:val="auto"/>
                <w:sz w:val="24"/>
                <w:szCs w:val="24"/>
                <w:lang w:eastAsia="zh-CN"/>
              </w:rPr>
              <w:t>；</w:t>
            </w:r>
          </w:p>
          <w:p w14:paraId="114B55DB">
            <w:pPr>
              <w:pStyle w:val="5"/>
              <w:pageBreakBefore w:val="0"/>
              <w:widowControl w:val="0"/>
              <w:kinsoku/>
              <w:wordWrap/>
              <w:overflowPunct/>
              <w:topLinePunct w:val="0"/>
              <w:bidi w:val="0"/>
              <w:adjustRightInd/>
              <w:snapToGrid/>
              <w:spacing w:beforeLines="0" w:beforeAutospacing="0" w:afterLines="0" w:afterAutospacing="0" w:line="360" w:lineRule="auto"/>
              <w:ind w:left="0" w:leftChars="0" w:right="0" w:firstLine="480" w:firstLineChars="200"/>
              <w:textAlignment w:val="auto"/>
              <w:rPr>
                <w:rFonts w:hint="default" w:ascii="Times New Roman" w:hAnsi="Times New Roman" w:cs="Times New Roman"/>
                <w:sz w:val="24"/>
                <w:szCs w:val="24"/>
                <w:lang w:val="en-US"/>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加强设备管理与维护，提高设备完好率，关键设备备品应齐全，一旦发生事故能够及时更换；</w:t>
            </w:r>
          </w:p>
          <w:p w14:paraId="43910D11">
            <w:pPr>
              <w:pStyle w:val="5"/>
              <w:pageBreakBefore w:val="0"/>
              <w:widowControl w:val="0"/>
              <w:kinsoku/>
              <w:wordWrap/>
              <w:overflowPunct/>
              <w:topLinePunct w:val="0"/>
              <w:bidi w:val="0"/>
              <w:adjustRightInd/>
              <w:snapToGrid/>
              <w:spacing w:beforeLines="0" w:beforeAutospacing="0" w:afterLines="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5</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建设单位应准备充足的应急物资，保证发生突发环境事件时，能够有物资控制事故；</w:t>
            </w:r>
          </w:p>
          <w:p w14:paraId="46D8F510">
            <w:pPr>
              <w:keepNext/>
              <w:keepLines/>
              <w:pageBreakBefore w:val="0"/>
              <w:widowControl w:val="0"/>
              <w:kinsoku/>
              <w:wordWrap/>
              <w:overflowPunct/>
              <w:topLinePunct w:val="0"/>
              <w:bidi w:val="0"/>
              <w:adjustRightInd w:val="0"/>
              <w:snapToGrid w:val="0"/>
              <w:spacing w:beforeAutospacing="0" w:afterAutospacing="0" w:line="360" w:lineRule="auto"/>
              <w:ind w:left="0" w:leftChars="0" w:right="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eastAsiaTheme="majorEastAsia"/>
                <w:b w:val="0"/>
                <w:bCs w:val="0"/>
                <w:color w:val="auto"/>
                <w:sz w:val="24"/>
                <w:szCs w:val="24"/>
                <w:lang w:eastAsia="zh-CN"/>
              </w:rPr>
              <w:t>（</w:t>
            </w:r>
            <w:r>
              <w:rPr>
                <w:rFonts w:hint="default" w:ascii="Times New Roman" w:hAnsi="Times New Roman" w:cs="Times New Roman" w:eastAsiaTheme="majorEastAsia"/>
                <w:b w:val="0"/>
                <w:bCs w:val="0"/>
                <w:color w:val="auto"/>
                <w:sz w:val="24"/>
                <w:szCs w:val="24"/>
                <w:lang w:val="en-US" w:eastAsia="zh-CN"/>
              </w:rPr>
              <w:t>6）</w:t>
            </w:r>
            <w:r>
              <w:rPr>
                <w:rFonts w:hint="default" w:ascii="Times New Roman" w:hAnsi="Times New Roman" w:eastAsia="宋体" w:cs="Times New Roman"/>
                <w:b w:val="0"/>
                <w:bCs w:val="0"/>
                <w:color w:val="auto"/>
                <w:sz w:val="24"/>
                <w:szCs w:val="24"/>
              </w:rPr>
              <w:t>编制</w:t>
            </w:r>
            <w:r>
              <w:rPr>
                <w:rFonts w:hint="default" w:ascii="Times New Roman" w:hAnsi="Times New Roman" w:eastAsia="宋体" w:cs="Times New Roman"/>
                <w:b w:val="0"/>
                <w:bCs w:val="0"/>
                <w:color w:val="auto"/>
                <w:sz w:val="24"/>
                <w:szCs w:val="24"/>
                <w:lang w:val="en-US" w:eastAsia="zh-CN"/>
              </w:rPr>
              <w:t>突发环境事件</w:t>
            </w:r>
            <w:r>
              <w:rPr>
                <w:rFonts w:hint="default" w:ascii="Times New Roman" w:hAnsi="Times New Roman" w:eastAsia="宋体" w:cs="Times New Roman"/>
                <w:b w:val="0"/>
                <w:bCs w:val="0"/>
                <w:color w:val="auto"/>
                <w:sz w:val="24"/>
                <w:szCs w:val="24"/>
              </w:rPr>
              <w:t>应急预案</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应定期进行环境突发事件演练，保证事故发生时，工作人员能够积极应对</w:t>
            </w:r>
            <w:r>
              <w:rPr>
                <w:rFonts w:hint="default" w:ascii="Times New Roman" w:hAnsi="Times New Roman" w:eastAsia="宋体" w:cs="Times New Roman"/>
                <w:b w:val="0"/>
                <w:bCs w:val="0"/>
                <w:color w:val="auto"/>
                <w:sz w:val="24"/>
                <w:szCs w:val="24"/>
                <w:lang w:eastAsia="zh-CN"/>
              </w:rPr>
              <w:t>。</w:t>
            </w:r>
          </w:p>
          <w:p w14:paraId="1EEF2AC9">
            <w:pPr>
              <w:pStyle w:val="35"/>
              <w:pageBreakBefore w:val="0"/>
              <w:widowControl w:val="0"/>
              <w:kinsoku/>
              <w:wordWrap/>
              <w:overflowPunct/>
              <w:topLinePunct w:val="0"/>
              <w:bidi w:val="0"/>
              <w:spacing w:beforeAutospacing="0" w:afterAutospacing="0" w:line="360" w:lineRule="auto"/>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Cs/>
                <w:kern w:val="0"/>
                <w:sz w:val="24"/>
                <w:szCs w:val="24"/>
                <w:u w:val="none"/>
              </w:rPr>
              <w:t>各项风险防范措施，降低风险事故的发生概率，减小环境风险事故造成的危害。</w:t>
            </w:r>
          </w:p>
        </w:tc>
      </w:tr>
      <w:tr w14:paraId="2E0EE9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884" w:type="dxa"/>
            <w:noWrap w:val="0"/>
            <w:vAlign w:val="center"/>
          </w:tcPr>
          <w:p w14:paraId="493EABB2">
            <w:pPr>
              <w:pageBreakBefore w:val="0"/>
              <w:wordWrap/>
              <w:overflowPunct/>
              <w:adjustRightInd w:val="0"/>
              <w:snapToGrid w:val="0"/>
              <w:spacing w:beforeAutospacing="0" w:afterAutospacing="0" w:line="360" w:lineRule="auto"/>
              <w:ind w:left="0" w:leftChars="0" w:right="0"/>
              <w:jc w:val="center"/>
              <w:rPr>
                <w:rFonts w:hint="default" w:ascii="Times New Roman" w:hAnsi="Times New Roman" w:eastAsia="宋体" w:cs="Times New Roman"/>
                <w:spacing w:val="-8"/>
                <w:szCs w:val="21"/>
              </w:rPr>
            </w:pPr>
            <w:r>
              <w:rPr>
                <w:rFonts w:hint="default" w:ascii="Times New Roman" w:hAnsi="Times New Roman" w:eastAsia="宋体" w:cs="Times New Roman"/>
                <w:spacing w:val="-8"/>
                <w:szCs w:val="21"/>
              </w:rPr>
              <w:t>其他环境管理要求</w:t>
            </w:r>
          </w:p>
        </w:tc>
        <w:tc>
          <w:tcPr>
            <w:tcW w:w="7916" w:type="dxa"/>
            <w:gridSpan w:val="4"/>
            <w:noWrap w:val="0"/>
            <w:vAlign w:val="center"/>
          </w:tcPr>
          <w:p w14:paraId="539AEEB8">
            <w:pPr>
              <w:pageBreakBefore w:val="0"/>
              <w:wordWrap/>
              <w:overflowPunct/>
              <w:snapToGrid w:val="0"/>
              <w:spacing w:beforeAutospacing="0" w:afterAutospacing="0" w:line="360" w:lineRule="auto"/>
              <w:ind w:left="0" w:leftChars="0" w:right="0" w:firstLine="480"/>
              <w:rPr>
                <w:rFonts w:hint="default" w:ascii="Times New Roman" w:hAnsi="Times New Roman" w:eastAsia="宋体" w:cs="Times New Roman"/>
                <w:b/>
                <w:bCs w:val="0"/>
                <w:sz w:val="24"/>
                <w:szCs w:val="24"/>
                <w:u w:val="none"/>
              </w:rPr>
            </w:pPr>
            <w:r>
              <w:rPr>
                <w:rFonts w:hint="default" w:ascii="Times New Roman" w:hAnsi="Times New Roman" w:eastAsia="宋体" w:cs="Times New Roman"/>
                <w:b/>
                <w:bCs w:val="0"/>
                <w:sz w:val="24"/>
                <w:szCs w:val="24"/>
                <w:u w:val="none"/>
              </w:rPr>
              <w:t>为减少项目营运期对环境的影响，特提出如下建议：</w:t>
            </w:r>
          </w:p>
          <w:p w14:paraId="10BD2165">
            <w:pPr>
              <w:pageBreakBefore w:val="0"/>
              <w:wordWrap/>
              <w:overflowPunct/>
              <w:snapToGrid w:val="0"/>
              <w:spacing w:beforeAutospacing="0" w:afterAutospacing="0" w:line="360" w:lineRule="auto"/>
              <w:ind w:left="0" w:leftChars="0" w:right="0" w:firstLine="480"/>
              <w:rPr>
                <w:rFonts w:hint="default" w:ascii="Times New Roman" w:hAnsi="Times New Roman" w:eastAsia="宋体" w:cs="Times New Roman"/>
                <w:bCs/>
                <w:sz w:val="24"/>
                <w:szCs w:val="24"/>
                <w:u w:val="none"/>
              </w:rPr>
            </w:pPr>
            <w:r>
              <w:rPr>
                <w:rFonts w:hint="default" w:ascii="Times New Roman" w:hAnsi="Times New Roman" w:eastAsia="宋体" w:cs="Times New Roman"/>
                <w:bCs/>
                <w:sz w:val="24"/>
                <w:szCs w:val="24"/>
                <w:u w:val="none"/>
              </w:rPr>
              <w:t>1、本次评价依照建设单位目前提供的资料、规模进行。若项目实际建设过程中发生变化，建设单位应按环保部门的要求另行申报。</w:t>
            </w:r>
          </w:p>
          <w:p w14:paraId="2820F5B7">
            <w:pPr>
              <w:pageBreakBefore w:val="0"/>
              <w:wordWrap/>
              <w:overflowPunct/>
              <w:snapToGrid w:val="0"/>
              <w:spacing w:beforeAutospacing="0" w:afterAutospacing="0" w:line="360" w:lineRule="auto"/>
              <w:ind w:left="0" w:leftChars="0" w:right="0" w:firstLine="480"/>
              <w:rPr>
                <w:rFonts w:hint="default" w:ascii="Times New Roman" w:hAnsi="Times New Roman" w:eastAsia="宋体" w:cs="Times New Roman"/>
                <w:bCs/>
                <w:sz w:val="24"/>
                <w:szCs w:val="24"/>
                <w:u w:val="none"/>
              </w:rPr>
            </w:pPr>
            <w:r>
              <w:rPr>
                <w:rFonts w:hint="default" w:ascii="Times New Roman" w:hAnsi="Times New Roman" w:eastAsia="宋体" w:cs="Times New Roman"/>
                <w:bCs/>
                <w:sz w:val="24"/>
                <w:szCs w:val="24"/>
                <w:u w:val="none"/>
              </w:rPr>
              <w:t>2、本项目的建设应严格执行“三同时”制度，切实落实废水、废气、噪声、固废防治措施。</w:t>
            </w:r>
          </w:p>
          <w:p w14:paraId="6B1E3BED">
            <w:pPr>
              <w:pageBreakBefore w:val="0"/>
              <w:wordWrap/>
              <w:overflowPunct/>
              <w:snapToGrid w:val="0"/>
              <w:spacing w:beforeAutospacing="0" w:afterAutospacing="0" w:line="360" w:lineRule="auto"/>
              <w:ind w:left="0" w:leftChars="0" w:right="0" w:firstLine="480"/>
              <w:rPr>
                <w:rFonts w:hint="default" w:ascii="Times New Roman" w:hAnsi="Times New Roman" w:eastAsia="宋体" w:cs="Times New Roman"/>
                <w:bCs/>
                <w:sz w:val="24"/>
                <w:szCs w:val="24"/>
                <w:u w:val="none"/>
              </w:rPr>
            </w:pPr>
            <w:r>
              <w:rPr>
                <w:rFonts w:hint="default" w:ascii="Times New Roman" w:hAnsi="Times New Roman" w:eastAsia="宋体" w:cs="Times New Roman"/>
                <w:bCs/>
                <w:sz w:val="24"/>
                <w:szCs w:val="24"/>
                <w:u w:val="none"/>
              </w:rPr>
              <w:t>3、建设单位应进一步合理计算企业各项环保措施所需经费，预留充足的环保资金，专款专用，确保项目各项环保措施按照设计及环评要求落实到位。</w:t>
            </w:r>
          </w:p>
          <w:p w14:paraId="2500966B">
            <w:pPr>
              <w:pageBreakBefore w:val="0"/>
              <w:wordWrap/>
              <w:overflowPunct/>
              <w:adjustRightInd w:val="0"/>
              <w:snapToGrid w:val="0"/>
              <w:spacing w:beforeAutospacing="0" w:afterAutospacing="0" w:line="360" w:lineRule="auto"/>
              <w:ind w:left="0" w:leftChars="0" w:right="0" w:firstLine="600" w:firstLineChars="250"/>
              <w:rPr>
                <w:rFonts w:hint="default" w:ascii="Times New Roman" w:hAnsi="Times New Roman" w:eastAsia="宋体" w:cs="Times New Roman"/>
                <w:sz w:val="24"/>
                <w:szCs w:val="24"/>
              </w:rPr>
            </w:pPr>
            <w:r>
              <w:rPr>
                <w:rFonts w:hint="default" w:ascii="Times New Roman" w:hAnsi="Times New Roman" w:eastAsia="宋体" w:cs="Times New Roman"/>
                <w:bCs/>
                <w:sz w:val="24"/>
                <w:szCs w:val="24"/>
                <w:u w:val="none"/>
              </w:rPr>
              <w:t>4、公司应加强环保宣传教育工作，强化公司的各项环境管理工作。自觉接受市、县环保主管部门对公司环保工作的监督指导</w:t>
            </w:r>
            <w:r>
              <w:rPr>
                <w:rFonts w:hint="default" w:ascii="Times New Roman" w:hAnsi="Times New Roman" w:eastAsia="宋体" w:cs="Times New Roman"/>
                <w:bCs/>
                <w:sz w:val="24"/>
                <w:szCs w:val="24"/>
                <w:u w:val="none"/>
                <w:lang w:eastAsia="zh-CN"/>
              </w:rPr>
              <w:t>。</w:t>
            </w:r>
          </w:p>
        </w:tc>
      </w:tr>
    </w:tbl>
    <w:p w14:paraId="05097749">
      <w:pPr>
        <w:pageBreakBefore w:val="0"/>
        <w:wordWrap/>
        <w:overflowPunct/>
        <w:spacing w:beforeAutospacing="0" w:afterAutospacing="0" w:line="360" w:lineRule="auto"/>
        <w:ind w:left="0" w:leftChars="0" w:right="0"/>
        <w:rPr>
          <w:rFonts w:hint="default" w:ascii="Times New Roman" w:hAnsi="Times New Roman" w:eastAsia="宋体" w:cs="Times New Roman"/>
          <w:b/>
          <w:bCs/>
          <w:snapToGrid w:val="0"/>
          <w:sz w:val="30"/>
          <w:szCs w:val="30"/>
        </w:rPr>
      </w:pPr>
      <w:bookmarkStart w:id="31" w:name="_Toc11385"/>
      <w:r>
        <w:rPr>
          <w:rFonts w:hint="default" w:ascii="Times New Roman" w:hAnsi="Times New Roman" w:eastAsia="宋体" w:cs="Times New Roman"/>
          <w:b/>
          <w:bCs/>
          <w:snapToGrid w:val="0"/>
          <w:sz w:val="30"/>
          <w:szCs w:val="30"/>
        </w:rPr>
        <w:br w:type="page"/>
      </w:r>
    </w:p>
    <w:p w14:paraId="2FD92042">
      <w:pPr>
        <w:pStyle w:val="19"/>
        <w:pageBreakBefore w:val="0"/>
        <w:wordWrap/>
        <w:overflowPunct/>
        <w:spacing w:before="0" w:beforeAutospacing="0" w:after="0" w:afterAutospacing="0" w:line="360" w:lineRule="auto"/>
        <w:ind w:left="0" w:leftChars="0" w:right="0"/>
        <w:jc w:val="center"/>
        <w:outlineLvl w:val="0"/>
        <w:rPr>
          <w:rFonts w:hint="default" w:ascii="Times New Roman" w:hAnsi="Times New Roman" w:eastAsia="宋体" w:cs="Times New Roman"/>
          <w:b/>
          <w:bCs/>
          <w:snapToGrid w:val="0"/>
          <w:sz w:val="30"/>
          <w:szCs w:val="30"/>
        </w:rPr>
      </w:pPr>
      <w:bookmarkStart w:id="32" w:name="_Toc22902"/>
      <w:bookmarkStart w:id="33" w:name="_Toc8044"/>
      <w:bookmarkStart w:id="34" w:name="_Toc18524"/>
      <w:r>
        <w:rPr>
          <w:rFonts w:hint="default" w:ascii="Times New Roman" w:hAnsi="Times New Roman" w:eastAsia="宋体" w:cs="Times New Roman"/>
          <w:b/>
          <w:bCs/>
          <w:snapToGrid w:val="0"/>
          <w:sz w:val="30"/>
          <w:szCs w:val="30"/>
        </w:rPr>
        <w:t>六、结论</w:t>
      </w:r>
      <w:bookmarkEnd w:id="31"/>
      <w:bookmarkEnd w:id="32"/>
      <w:bookmarkEnd w:id="33"/>
      <w:bookmarkEnd w:id="34"/>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965E4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7502C635">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经分析，本建设项目符合国家相关产业政策，项目对废气、废水、噪声和固体废物等污染物采取了妥善的处理处置措施，污染物排放总量较小，在落实各项规定的污染防治措施后，各污染物能达标排放，对周围的环境影响可控制在允许的范围内，周围环境质量能满足功能区划要求。在全面落实各项污染防范措施、</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rPr>
              <w:t>三同时</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rPr>
              <w:t>制度、保证安全生产的前提下，项目的建设整体上符合环境保护和社会可持续发展的要求，从环境保护角度分析，本项目是可行的。</w:t>
            </w:r>
          </w:p>
          <w:p w14:paraId="4EC6E09E">
            <w:pPr>
              <w:pStyle w:val="11"/>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lang w:eastAsia="zh-CN"/>
              </w:rPr>
            </w:pPr>
            <w:r>
              <w:rPr>
                <w:rFonts w:hint="default" w:ascii="Times New Roman" w:hAnsi="Times New Roman" w:eastAsia="宋体" w:cs="Times New Roman"/>
                <w:sz w:val="24"/>
                <w:szCs w:val="24"/>
              </w:rPr>
              <w:t>上述结论为企业提供的经营范围、规模及相应的排污情况的基础上作出的评价结论，如果新建项目经营范围、规模和排污情况有所变化，企业应按审批部门的要求另行申报审批</w:t>
            </w:r>
            <w:r>
              <w:rPr>
                <w:rFonts w:hint="eastAsia" w:cs="Times New Roman"/>
                <w:sz w:val="24"/>
                <w:szCs w:val="24"/>
                <w:lang w:eastAsia="zh-CN"/>
              </w:rPr>
              <w:t>。</w:t>
            </w:r>
            <w:bookmarkStart w:id="54" w:name="_GoBack"/>
            <w:bookmarkEnd w:id="54"/>
          </w:p>
        </w:tc>
      </w:tr>
    </w:tbl>
    <w:p w14:paraId="140B4380">
      <w:pPr>
        <w:keepNext w:val="0"/>
        <w:keepLines w:val="0"/>
        <w:pageBreakBefore w:val="0"/>
        <w:kinsoku/>
        <w:wordWrap/>
        <w:overflowPunct/>
        <w:topLinePunct w:val="0"/>
        <w:autoSpaceDE/>
        <w:autoSpaceDN/>
        <w:bidi w:val="0"/>
        <w:adjustRightInd/>
        <w:spacing w:beforeAutospacing="0" w:afterAutospacing="0" w:line="360" w:lineRule="auto"/>
        <w:ind w:left="0" w:leftChars="0" w:right="0"/>
        <w:textAlignment w:val="auto"/>
        <w:rPr>
          <w:rFonts w:hint="default" w:ascii="Times New Roman" w:hAnsi="Times New Roman" w:cs="Times New Roman"/>
          <w:sz w:val="32"/>
          <w:szCs w:val="32"/>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14:paraId="1AACC0B7">
      <w:pPr>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0" w:firstLineChars="0"/>
        <w:jc w:val="left"/>
        <w:textAlignment w:val="auto"/>
        <w:rPr>
          <w:rFonts w:hint="default" w:ascii="Times New Roman" w:hAnsi="Times New Roman" w:eastAsia="宋体" w:cs="Times New Roman"/>
          <w:kern w:val="0"/>
          <w:sz w:val="32"/>
          <w:szCs w:val="32"/>
          <w:lang w:val="en-US" w:eastAsia="zh-CN" w:bidi="ar-SA"/>
        </w:rPr>
      </w:pPr>
      <w:r>
        <w:rPr>
          <w:rFonts w:hint="eastAsia" w:ascii="Times New Roman" w:hAnsi="Times New Roman" w:eastAsia="宋体" w:cs="Times New Roman"/>
          <w:kern w:val="0"/>
          <w:sz w:val="32"/>
          <w:szCs w:val="32"/>
          <w:lang w:val="en-US" w:eastAsia="zh-CN" w:bidi="ar-SA"/>
        </w:rPr>
        <w:t>附表</w:t>
      </w:r>
    </w:p>
    <w:p w14:paraId="7FE6398B">
      <w:pPr>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0" w:firstLineChars="0"/>
        <w:jc w:val="center"/>
        <w:textAlignment w:val="auto"/>
        <w:outlineLvl w:val="0"/>
        <w:rPr>
          <w:rFonts w:hint="default" w:ascii="Times New Roman" w:hAnsi="Times New Roman" w:eastAsia="宋体" w:cs="Times New Roman"/>
          <w:kern w:val="0"/>
          <w:sz w:val="32"/>
          <w:szCs w:val="32"/>
          <w:vertAlign w:val="baseline"/>
          <w:lang w:val="en-US" w:eastAsia="zh-CN" w:bidi="ar-SA"/>
        </w:rPr>
      </w:pPr>
      <w:bookmarkStart w:id="35" w:name="_Toc10541"/>
      <w:r>
        <w:rPr>
          <w:rFonts w:hint="default" w:ascii="Times New Roman" w:hAnsi="Times New Roman" w:eastAsia="宋体" w:cs="Times New Roman"/>
          <w:kern w:val="0"/>
          <w:sz w:val="32"/>
          <w:szCs w:val="32"/>
          <w:lang w:val="en-US" w:eastAsia="zh-CN" w:bidi="ar-SA"/>
        </w:rPr>
        <w:t>建设项目污染物排放量汇总表</w:t>
      </w:r>
      <w:bookmarkEnd w:id="35"/>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317"/>
        <w:gridCol w:w="1725"/>
        <w:gridCol w:w="1203"/>
        <w:gridCol w:w="1867"/>
        <w:gridCol w:w="2018"/>
        <w:gridCol w:w="1796"/>
        <w:gridCol w:w="2406"/>
        <w:gridCol w:w="781"/>
      </w:tblGrid>
      <w:tr w14:paraId="37BE7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C727A7D">
            <w:pPr>
              <w:pageBreakBefore w:val="0"/>
              <w:widowControl/>
              <w:wordWrap/>
              <w:overflowPunct/>
              <w:snapToGrid w:val="0"/>
              <w:spacing w:before="0" w:beforeAutospacing="0" w:after="0" w:afterAutospacing="0" w:line="360" w:lineRule="auto"/>
              <w:ind w:left="0" w:leftChars="0" w:right="0" w:firstLine="0" w:firstLineChars="0"/>
              <w:jc w:val="center"/>
              <mc:AlternateContent>
                <mc:Choice Requires="wpsCustomData">
                  <wpsCustomData:diagonalParaType/>
                </mc:Choice>
              </mc:AlternateContent>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分类</w:t>
            </w:r>
          </w:p>
          <w:p w14:paraId="2D35261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项目</w:t>
            </w:r>
          </w:p>
        </w:tc>
        <w:tc>
          <w:tcPr>
            <w:tcW w:w="464" w:type="pct"/>
            <w:vAlign w:val="center"/>
          </w:tcPr>
          <w:p w14:paraId="3A217A2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污染物名称</w:t>
            </w:r>
          </w:p>
        </w:tc>
        <w:tc>
          <w:tcPr>
            <w:tcW w:w="608" w:type="pct"/>
            <w:vAlign w:val="center"/>
          </w:tcPr>
          <w:p w14:paraId="401C3B2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现有工程排放量（固体废物产生量）①</w:t>
            </w:r>
          </w:p>
        </w:tc>
        <w:tc>
          <w:tcPr>
            <w:tcW w:w="424" w:type="pct"/>
            <w:vAlign w:val="center"/>
          </w:tcPr>
          <w:p w14:paraId="3254904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现有工程许可排放量②</w:t>
            </w:r>
          </w:p>
        </w:tc>
        <w:tc>
          <w:tcPr>
            <w:tcW w:w="658" w:type="pct"/>
            <w:vAlign w:val="center"/>
          </w:tcPr>
          <w:p w14:paraId="22673C8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在建工程排放量（固体废物产生量）③</w:t>
            </w:r>
          </w:p>
        </w:tc>
        <w:tc>
          <w:tcPr>
            <w:tcW w:w="711" w:type="pct"/>
            <w:vAlign w:val="center"/>
          </w:tcPr>
          <w:p w14:paraId="49614BB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本项目排放量（固体废物产生量)④</w:t>
            </w:r>
          </w:p>
        </w:tc>
        <w:tc>
          <w:tcPr>
            <w:tcW w:w="633" w:type="pct"/>
            <w:vAlign w:val="center"/>
          </w:tcPr>
          <w:p w14:paraId="5050E34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以新带老削减量（新建项目不填）⑤</w:t>
            </w:r>
          </w:p>
        </w:tc>
        <w:tc>
          <w:tcPr>
            <w:tcW w:w="848" w:type="pct"/>
            <w:vAlign w:val="center"/>
          </w:tcPr>
          <w:p w14:paraId="6F86C1A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本项目建成后全厂排放量（固体废物产生量）⑥</w:t>
            </w:r>
          </w:p>
        </w:tc>
        <w:tc>
          <w:tcPr>
            <w:tcW w:w="275" w:type="pct"/>
            <w:vAlign w:val="center"/>
          </w:tcPr>
          <w:p w14:paraId="28DBB99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变化量⑦</w:t>
            </w:r>
          </w:p>
        </w:tc>
      </w:tr>
      <w:tr w14:paraId="16C2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restart"/>
            <w:vAlign w:val="center"/>
          </w:tcPr>
          <w:p w14:paraId="3391AC24">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废气</w:t>
            </w:r>
          </w:p>
        </w:tc>
        <w:tc>
          <w:tcPr>
            <w:tcW w:w="464" w:type="pct"/>
            <w:vAlign w:val="center"/>
          </w:tcPr>
          <w:p w14:paraId="7FA02A2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NH</w:t>
            </w:r>
            <w:r>
              <w:rPr>
                <w:rFonts w:hint="default" w:ascii="Times New Roman" w:hAnsi="Times New Roman" w:eastAsia="宋体" w:cs="Times New Roman"/>
                <w:kern w:val="0"/>
                <w:sz w:val="24"/>
                <w:szCs w:val="24"/>
                <w:vertAlign w:val="subscript"/>
                <w:lang w:val="en-US" w:eastAsia="zh-CN" w:bidi="ar-SA"/>
              </w:rPr>
              <w:t>3</w:t>
            </w:r>
          </w:p>
        </w:tc>
        <w:tc>
          <w:tcPr>
            <w:tcW w:w="608" w:type="pct"/>
            <w:vAlign w:val="center"/>
          </w:tcPr>
          <w:p w14:paraId="5B380D1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68A37D4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0DA394E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5C07A42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0.06485</w:t>
            </w:r>
          </w:p>
        </w:tc>
        <w:tc>
          <w:tcPr>
            <w:tcW w:w="633" w:type="pct"/>
            <w:vAlign w:val="center"/>
          </w:tcPr>
          <w:p w14:paraId="4DFFD79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5715DA24">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0.06485</w:t>
            </w:r>
          </w:p>
        </w:tc>
        <w:tc>
          <w:tcPr>
            <w:tcW w:w="275" w:type="pct"/>
            <w:vAlign w:val="center"/>
          </w:tcPr>
          <w:p w14:paraId="11602C5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0EB4A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4B468A5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p>
        </w:tc>
        <w:tc>
          <w:tcPr>
            <w:tcW w:w="464" w:type="pct"/>
            <w:vAlign w:val="center"/>
          </w:tcPr>
          <w:p w14:paraId="2BF9C76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H</w:t>
            </w:r>
            <w:r>
              <w:rPr>
                <w:rFonts w:hint="default" w:ascii="Times New Roman" w:hAnsi="Times New Roman" w:eastAsia="宋体" w:cs="Times New Roman"/>
                <w:kern w:val="0"/>
                <w:sz w:val="24"/>
                <w:szCs w:val="24"/>
                <w:vertAlign w:val="subscript"/>
                <w:lang w:val="en-US" w:eastAsia="zh-CN" w:bidi="ar-SA"/>
              </w:rPr>
              <w:t>2</w:t>
            </w:r>
            <w:r>
              <w:rPr>
                <w:rFonts w:hint="default" w:ascii="Times New Roman" w:hAnsi="Times New Roman" w:eastAsia="宋体" w:cs="Times New Roman"/>
                <w:kern w:val="0"/>
                <w:sz w:val="24"/>
                <w:szCs w:val="24"/>
                <w:vertAlign w:val="baseline"/>
                <w:lang w:val="en-US" w:eastAsia="zh-CN" w:bidi="ar-SA"/>
              </w:rPr>
              <w:t>S</w:t>
            </w:r>
          </w:p>
        </w:tc>
        <w:tc>
          <w:tcPr>
            <w:tcW w:w="608" w:type="pct"/>
            <w:vAlign w:val="center"/>
          </w:tcPr>
          <w:p w14:paraId="1CF8E18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1F93F308">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2C07159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4B0AF90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0.00318</w:t>
            </w:r>
          </w:p>
        </w:tc>
        <w:tc>
          <w:tcPr>
            <w:tcW w:w="633" w:type="pct"/>
            <w:vAlign w:val="center"/>
          </w:tcPr>
          <w:p w14:paraId="5AE8103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2C6AE2D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0.00318</w:t>
            </w:r>
          </w:p>
        </w:tc>
        <w:tc>
          <w:tcPr>
            <w:tcW w:w="275" w:type="pct"/>
            <w:vAlign w:val="center"/>
          </w:tcPr>
          <w:p w14:paraId="0A1A921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6BE31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restart"/>
            <w:vAlign w:val="center"/>
          </w:tcPr>
          <w:p w14:paraId="1940E3E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废水</w:t>
            </w:r>
          </w:p>
        </w:tc>
        <w:tc>
          <w:tcPr>
            <w:tcW w:w="464" w:type="pct"/>
            <w:vAlign w:val="center"/>
          </w:tcPr>
          <w:p w14:paraId="0DBF009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COD</w:t>
            </w:r>
          </w:p>
        </w:tc>
        <w:tc>
          <w:tcPr>
            <w:tcW w:w="608" w:type="pct"/>
            <w:vAlign w:val="center"/>
          </w:tcPr>
          <w:p w14:paraId="0B15287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3BA071D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584F265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0119B2D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1.</w:t>
            </w:r>
            <w:r>
              <w:rPr>
                <w:rFonts w:hint="eastAsia" w:cs="Times New Roman"/>
                <w:kern w:val="0"/>
                <w:sz w:val="24"/>
                <w:szCs w:val="24"/>
                <w:vertAlign w:val="baseline"/>
                <w:lang w:val="en-US" w:eastAsia="zh-CN" w:bidi="ar-SA"/>
              </w:rPr>
              <w:t>0821</w:t>
            </w:r>
          </w:p>
        </w:tc>
        <w:tc>
          <w:tcPr>
            <w:tcW w:w="633" w:type="pct"/>
            <w:vAlign w:val="center"/>
          </w:tcPr>
          <w:p w14:paraId="67E21C7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188D802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1.</w:t>
            </w:r>
            <w:r>
              <w:rPr>
                <w:rFonts w:hint="eastAsia" w:cs="Times New Roman"/>
                <w:kern w:val="0"/>
                <w:sz w:val="24"/>
                <w:szCs w:val="24"/>
                <w:vertAlign w:val="baseline"/>
                <w:lang w:val="en-US" w:eastAsia="zh-CN" w:bidi="ar-SA"/>
              </w:rPr>
              <w:t>0821</w:t>
            </w:r>
          </w:p>
        </w:tc>
        <w:tc>
          <w:tcPr>
            <w:tcW w:w="275" w:type="pct"/>
            <w:vAlign w:val="center"/>
          </w:tcPr>
          <w:p w14:paraId="609ACD7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5AE4E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1C94B114">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p>
        </w:tc>
        <w:tc>
          <w:tcPr>
            <w:tcW w:w="464" w:type="pct"/>
            <w:vAlign w:val="center"/>
          </w:tcPr>
          <w:p w14:paraId="52144F9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BOD</w:t>
            </w:r>
            <w:r>
              <w:rPr>
                <w:rFonts w:hint="default" w:ascii="Times New Roman" w:hAnsi="Times New Roman" w:eastAsia="宋体" w:cs="Times New Roman"/>
                <w:kern w:val="0"/>
                <w:sz w:val="24"/>
                <w:szCs w:val="24"/>
                <w:vertAlign w:val="subscript"/>
                <w:lang w:val="en-US" w:eastAsia="zh-CN" w:bidi="ar-SA"/>
              </w:rPr>
              <w:t>5</w:t>
            </w:r>
          </w:p>
        </w:tc>
        <w:tc>
          <w:tcPr>
            <w:tcW w:w="608" w:type="pct"/>
            <w:vAlign w:val="center"/>
          </w:tcPr>
          <w:p w14:paraId="7501A15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w:t>
            </w:r>
          </w:p>
        </w:tc>
        <w:tc>
          <w:tcPr>
            <w:tcW w:w="424" w:type="pct"/>
            <w:vAlign w:val="center"/>
          </w:tcPr>
          <w:p w14:paraId="605F85E5">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w:t>
            </w:r>
          </w:p>
        </w:tc>
        <w:tc>
          <w:tcPr>
            <w:tcW w:w="658" w:type="pct"/>
            <w:vAlign w:val="center"/>
          </w:tcPr>
          <w:p w14:paraId="3039F6F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w:t>
            </w:r>
          </w:p>
        </w:tc>
        <w:tc>
          <w:tcPr>
            <w:tcW w:w="711" w:type="pct"/>
            <w:vAlign w:val="center"/>
          </w:tcPr>
          <w:p w14:paraId="4880F92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0.</w:t>
            </w:r>
            <w:r>
              <w:rPr>
                <w:rFonts w:hint="eastAsia" w:cs="Times New Roman"/>
                <w:kern w:val="0"/>
                <w:sz w:val="24"/>
                <w:szCs w:val="24"/>
                <w:lang w:val="en-US" w:eastAsia="zh-CN" w:bidi="ar-SA"/>
              </w:rPr>
              <w:t>3607</w:t>
            </w:r>
          </w:p>
        </w:tc>
        <w:tc>
          <w:tcPr>
            <w:tcW w:w="633" w:type="pct"/>
            <w:vAlign w:val="center"/>
          </w:tcPr>
          <w:p w14:paraId="365C30A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w:t>
            </w:r>
          </w:p>
        </w:tc>
        <w:tc>
          <w:tcPr>
            <w:tcW w:w="848" w:type="pct"/>
            <w:vAlign w:val="center"/>
          </w:tcPr>
          <w:p w14:paraId="0F9505D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0.</w:t>
            </w:r>
            <w:r>
              <w:rPr>
                <w:rFonts w:hint="eastAsia" w:cs="Times New Roman"/>
                <w:kern w:val="0"/>
                <w:sz w:val="24"/>
                <w:szCs w:val="24"/>
                <w:lang w:val="en-US" w:eastAsia="zh-CN" w:bidi="ar-SA"/>
              </w:rPr>
              <w:t>3607</w:t>
            </w:r>
          </w:p>
        </w:tc>
        <w:tc>
          <w:tcPr>
            <w:tcW w:w="275" w:type="pct"/>
            <w:vAlign w:val="center"/>
          </w:tcPr>
          <w:p w14:paraId="09D8D6A8">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22748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18FE53B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263AF00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SS</w:t>
            </w:r>
          </w:p>
        </w:tc>
        <w:tc>
          <w:tcPr>
            <w:tcW w:w="608" w:type="pct"/>
            <w:vAlign w:val="center"/>
          </w:tcPr>
          <w:p w14:paraId="39C4EDC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5F7E7974">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2197F61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28BCD61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eastAsia" w:cs="Times New Roman"/>
                <w:kern w:val="0"/>
                <w:sz w:val="24"/>
                <w:szCs w:val="24"/>
                <w:vertAlign w:val="baseline"/>
                <w:lang w:val="en-US" w:eastAsia="zh-CN" w:bidi="ar-SA"/>
              </w:rPr>
              <w:t>0.3607</w:t>
            </w:r>
          </w:p>
        </w:tc>
        <w:tc>
          <w:tcPr>
            <w:tcW w:w="633" w:type="pct"/>
            <w:vAlign w:val="center"/>
          </w:tcPr>
          <w:p w14:paraId="344D0C8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133A727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w:t>
            </w:r>
            <w:r>
              <w:rPr>
                <w:rFonts w:hint="eastAsia" w:cs="Times New Roman"/>
                <w:kern w:val="0"/>
                <w:sz w:val="24"/>
                <w:szCs w:val="24"/>
                <w:vertAlign w:val="baseline"/>
                <w:lang w:val="en-US" w:eastAsia="zh-CN" w:bidi="ar-SA"/>
              </w:rPr>
              <w:t>3607</w:t>
            </w:r>
          </w:p>
        </w:tc>
        <w:tc>
          <w:tcPr>
            <w:tcW w:w="275" w:type="pct"/>
            <w:vAlign w:val="center"/>
          </w:tcPr>
          <w:p w14:paraId="3437DB4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1EB01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5845D82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52546DE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NH</w:t>
            </w:r>
            <w:r>
              <w:rPr>
                <w:rFonts w:hint="default" w:ascii="Times New Roman" w:hAnsi="Times New Roman" w:eastAsia="宋体" w:cs="Times New Roman"/>
                <w:kern w:val="0"/>
                <w:sz w:val="24"/>
                <w:szCs w:val="24"/>
                <w:vertAlign w:val="subscript"/>
                <w:lang w:val="en-US" w:eastAsia="zh-CN" w:bidi="ar-SA"/>
              </w:rPr>
              <w:t>3</w:t>
            </w:r>
            <w:r>
              <w:rPr>
                <w:rFonts w:hint="default" w:ascii="Times New Roman" w:hAnsi="Times New Roman" w:eastAsia="宋体" w:cs="Times New Roman"/>
                <w:kern w:val="0"/>
                <w:sz w:val="24"/>
                <w:szCs w:val="24"/>
                <w:vertAlign w:val="baseline"/>
                <w:lang w:val="en-US" w:eastAsia="zh-CN" w:bidi="ar-SA"/>
              </w:rPr>
              <w:t>-N</w:t>
            </w:r>
          </w:p>
        </w:tc>
        <w:tc>
          <w:tcPr>
            <w:tcW w:w="608" w:type="pct"/>
            <w:vAlign w:val="center"/>
          </w:tcPr>
          <w:p w14:paraId="2B9887E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201A9B5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6449496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103F42F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w:t>
            </w:r>
            <w:r>
              <w:rPr>
                <w:rFonts w:hint="eastAsia" w:ascii="Times New Roman" w:hAnsi="Times New Roman" w:eastAsia="宋体" w:cs="Times New Roman"/>
                <w:kern w:val="0"/>
                <w:sz w:val="24"/>
                <w:szCs w:val="24"/>
                <w:vertAlign w:val="baseline"/>
                <w:lang w:val="en-US" w:eastAsia="zh-CN" w:bidi="ar-SA"/>
              </w:rPr>
              <w:t>0</w:t>
            </w:r>
            <w:r>
              <w:rPr>
                <w:rFonts w:hint="eastAsia" w:cs="Times New Roman"/>
                <w:kern w:val="0"/>
                <w:sz w:val="24"/>
                <w:szCs w:val="24"/>
                <w:vertAlign w:val="baseline"/>
                <w:lang w:val="en-US" w:eastAsia="zh-CN" w:bidi="ar-SA"/>
              </w:rPr>
              <w:t>541</w:t>
            </w:r>
          </w:p>
        </w:tc>
        <w:tc>
          <w:tcPr>
            <w:tcW w:w="633" w:type="pct"/>
            <w:vAlign w:val="center"/>
          </w:tcPr>
          <w:p w14:paraId="6FE63F8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0D89E19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w:t>
            </w:r>
            <w:r>
              <w:rPr>
                <w:rFonts w:hint="eastAsia" w:cs="Times New Roman"/>
                <w:kern w:val="0"/>
                <w:sz w:val="24"/>
                <w:szCs w:val="24"/>
                <w:vertAlign w:val="baseline"/>
                <w:lang w:val="en-US" w:eastAsia="zh-CN" w:bidi="ar-SA"/>
              </w:rPr>
              <w:t>541</w:t>
            </w:r>
          </w:p>
        </w:tc>
        <w:tc>
          <w:tcPr>
            <w:tcW w:w="275" w:type="pct"/>
            <w:vAlign w:val="center"/>
          </w:tcPr>
          <w:p w14:paraId="5E64A23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6EAFA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703C6EA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1636DF4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动植物油</w:t>
            </w:r>
          </w:p>
        </w:tc>
        <w:tc>
          <w:tcPr>
            <w:tcW w:w="608" w:type="pct"/>
            <w:vAlign w:val="center"/>
          </w:tcPr>
          <w:p w14:paraId="17F7374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14F06A5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41BB445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36D2790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w:t>
            </w:r>
            <w:r>
              <w:rPr>
                <w:rFonts w:hint="eastAsia" w:cs="Times New Roman"/>
                <w:kern w:val="0"/>
                <w:sz w:val="24"/>
                <w:szCs w:val="24"/>
                <w:vertAlign w:val="baseline"/>
                <w:lang w:val="en-US" w:eastAsia="zh-CN" w:bidi="ar-SA"/>
              </w:rPr>
              <w:t>361</w:t>
            </w:r>
          </w:p>
        </w:tc>
        <w:tc>
          <w:tcPr>
            <w:tcW w:w="633" w:type="pct"/>
            <w:vAlign w:val="center"/>
          </w:tcPr>
          <w:p w14:paraId="2F00E6B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66B49018">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w:t>
            </w:r>
            <w:r>
              <w:rPr>
                <w:rFonts w:hint="eastAsia" w:cs="Times New Roman"/>
                <w:kern w:val="0"/>
                <w:sz w:val="24"/>
                <w:szCs w:val="24"/>
                <w:vertAlign w:val="baseline"/>
                <w:lang w:val="en-US" w:eastAsia="zh-CN" w:bidi="ar-SA"/>
              </w:rPr>
              <w:t>361</w:t>
            </w:r>
          </w:p>
        </w:tc>
        <w:tc>
          <w:tcPr>
            <w:tcW w:w="275" w:type="pct"/>
            <w:vAlign w:val="center"/>
          </w:tcPr>
          <w:p w14:paraId="21DC494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299D1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2E744C5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6C8B1128">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总氮</w:t>
            </w:r>
          </w:p>
        </w:tc>
        <w:tc>
          <w:tcPr>
            <w:tcW w:w="608" w:type="pct"/>
            <w:vAlign w:val="center"/>
          </w:tcPr>
          <w:p w14:paraId="48EE655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4ED2F84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0823856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09016008">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w:t>
            </w:r>
            <w:r>
              <w:rPr>
                <w:rFonts w:hint="eastAsia" w:cs="Times New Roman"/>
                <w:kern w:val="0"/>
                <w:sz w:val="24"/>
                <w:szCs w:val="24"/>
                <w:vertAlign w:val="baseline"/>
                <w:lang w:val="en-US" w:eastAsia="zh-CN" w:bidi="ar-SA"/>
              </w:rPr>
              <w:t>3607</w:t>
            </w:r>
          </w:p>
        </w:tc>
        <w:tc>
          <w:tcPr>
            <w:tcW w:w="633" w:type="pct"/>
            <w:vAlign w:val="center"/>
          </w:tcPr>
          <w:p w14:paraId="103BB65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06D8EEE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w:t>
            </w:r>
            <w:r>
              <w:rPr>
                <w:rFonts w:hint="eastAsia" w:cs="Times New Roman"/>
                <w:kern w:val="0"/>
                <w:sz w:val="24"/>
                <w:szCs w:val="24"/>
                <w:vertAlign w:val="baseline"/>
                <w:lang w:val="en-US" w:eastAsia="zh-CN" w:bidi="ar-SA"/>
              </w:rPr>
              <w:t>3607</w:t>
            </w:r>
          </w:p>
        </w:tc>
        <w:tc>
          <w:tcPr>
            <w:tcW w:w="275" w:type="pct"/>
            <w:vAlign w:val="center"/>
          </w:tcPr>
          <w:p w14:paraId="16A25C9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39DE8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0812B9D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70D5AD5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总磷</w:t>
            </w:r>
          </w:p>
        </w:tc>
        <w:tc>
          <w:tcPr>
            <w:tcW w:w="608" w:type="pct"/>
            <w:vAlign w:val="center"/>
          </w:tcPr>
          <w:p w14:paraId="5D7924C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45E98E2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7B47FA8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788E65E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w:t>
            </w:r>
            <w:r>
              <w:rPr>
                <w:rFonts w:hint="eastAsia" w:cs="Times New Roman"/>
                <w:kern w:val="0"/>
                <w:sz w:val="24"/>
                <w:szCs w:val="24"/>
                <w:vertAlign w:val="baseline"/>
                <w:lang w:val="en-US" w:eastAsia="zh-CN" w:bidi="ar-SA"/>
              </w:rPr>
              <w:t>108</w:t>
            </w:r>
          </w:p>
        </w:tc>
        <w:tc>
          <w:tcPr>
            <w:tcW w:w="633" w:type="pct"/>
            <w:vAlign w:val="center"/>
          </w:tcPr>
          <w:p w14:paraId="4648D4C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35E8D8E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0.01</w:t>
            </w:r>
            <w:r>
              <w:rPr>
                <w:rFonts w:hint="eastAsia" w:cs="Times New Roman"/>
                <w:kern w:val="0"/>
                <w:sz w:val="24"/>
                <w:szCs w:val="24"/>
                <w:vertAlign w:val="baseline"/>
                <w:lang w:val="en-US" w:eastAsia="zh-CN" w:bidi="ar-SA"/>
              </w:rPr>
              <w:t>08</w:t>
            </w:r>
          </w:p>
        </w:tc>
        <w:tc>
          <w:tcPr>
            <w:tcW w:w="275" w:type="pct"/>
            <w:vAlign w:val="center"/>
          </w:tcPr>
          <w:p w14:paraId="5259A36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18BB5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374" w:type="pct"/>
            <w:vMerge w:val="restart"/>
            <w:vAlign w:val="center"/>
          </w:tcPr>
          <w:p w14:paraId="1FC6E33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一般工业固体废物</w:t>
            </w:r>
          </w:p>
        </w:tc>
        <w:tc>
          <w:tcPr>
            <w:tcW w:w="464" w:type="pct"/>
            <w:vAlign w:val="center"/>
          </w:tcPr>
          <w:p w14:paraId="541237D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生活垃圾</w:t>
            </w:r>
          </w:p>
        </w:tc>
        <w:tc>
          <w:tcPr>
            <w:tcW w:w="608" w:type="pct"/>
            <w:vAlign w:val="center"/>
          </w:tcPr>
          <w:p w14:paraId="0BC7937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1964C7E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4D75A1A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20AA42F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2.25</w:t>
            </w:r>
          </w:p>
        </w:tc>
        <w:tc>
          <w:tcPr>
            <w:tcW w:w="633" w:type="pct"/>
            <w:vAlign w:val="center"/>
          </w:tcPr>
          <w:p w14:paraId="0BF4779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4E91FE1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2.25</w:t>
            </w:r>
          </w:p>
        </w:tc>
        <w:tc>
          <w:tcPr>
            <w:tcW w:w="275" w:type="pct"/>
            <w:vAlign w:val="center"/>
          </w:tcPr>
          <w:p w14:paraId="326F4CF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21A2A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7D4E54B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p>
        </w:tc>
        <w:tc>
          <w:tcPr>
            <w:tcW w:w="464" w:type="pct"/>
            <w:vAlign w:val="center"/>
          </w:tcPr>
          <w:p w14:paraId="4DE1390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栅渣</w:t>
            </w:r>
          </w:p>
        </w:tc>
        <w:tc>
          <w:tcPr>
            <w:tcW w:w="608" w:type="pct"/>
            <w:vAlign w:val="center"/>
          </w:tcPr>
          <w:p w14:paraId="5BAD8EB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1429D1F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1176155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049CCF9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eastAsia" w:cs="Times New Roman"/>
                <w:kern w:val="0"/>
                <w:sz w:val="24"/>
                <w:szCs w:val="24"/>
                <w:vertAlign w:val="baseline"/>
                <w:lang w:val="en-US" w:eastAsia="zh-CN" w:bidi="ar-SA"/>
              </w:rPr>
              <w:t>3.6</w:t>
            </w:r>
          </w:p>
        </w:tc>
        <w:tc>
          <w:tcPr>
            <w:tcW w:w="633" w:type="pct"/>
            <w:vAlign w:val="center"/>
          </w:tcPr>
          <w:p w14:paraId="01ACF03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73BDDD0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eastAsia" w:cs="Times New Roman"/>
                <w:kern w:val="0"/>
                <w:sz w:val="24"/>
                <w:szCs w:val="24"/>
                <w:vertAlign w:val="baseline"/>
                <w:lang w:val="en-US" w:eastAsia="zh-CN" w:bidi="ar-SA"/>
              </w:rPr>
              <w:t>3.6</w:t>
            </w:r>
          </w:p>
        </w:tc>
        <w:tc>
          <w:tcPr>
            <w:tcW w:w="275" w:type="pct"/>
            <w:vAlign w:val="center"/>
          </w:tcPr>
          <w:p w14:paraId="3CFEDF4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7295D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21E062A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5759863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泥饼</w:t>
            </w:r>
          </w:p>
        </w:tc>
        <w:tc>
          <w:tcPr>
            <w:tcW w:w="608" w:type="pct"/>
            <w:vAlign w:val="center"/>
          </w:tcPr>
          <w:p w14:paraId="5723B449">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383BC4D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65D40F5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302BD93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eastAsia" w:cs="Times New Roman"/>
                <w:kern w:val="0"/>
                <w:sz w:val="24"/>
                <w:szCs w:val="24"/>
                <w:vertAlign w:val="baseline"/>
                <w:lang w:val="en-US" w:eastAsia="zh-CN" w:bidi="ar-SA"/>
              </w:rPr>
              <w:t>1.5098</w:t>
            </w:r>
          </w:p>
        </w:tc>
        <w:tc>
          <w:tcPr>
            <w:tcW w:w="633" w:type="pct"/>
            <w:vAlign w:val="center"/>
          </w:tcPr>
          <w:p w14:paraId="313A5E7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473819E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eastAsia" w:cs="Times New Roman"/>
                <w:kern w:val="0"/>
                <w:sz w:val="24"/>
                <w:szCs w:val="24"/>
                <w:vertAlign w:val="baseline"/>
                <w:lang w:val="en-US" w:eastAsia="zh-CN" w:bidi="ar-SA"/>
              </w:rPr>
              <w:t>1.5098</w:t>
            </w:r>
          </w:p>
        </w:tc>
        <w:tc>
          <w:tcPr>
            <w:tcW w:w="275" w:type="pct"/>
            <w:vAlign w:val="center"/>
          </w:tcPr>
          <w:p w14:paraId="39828E2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1D699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3A46145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0BD16C5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猪粪</w:t>
            </w:r>
          </w:p>
        </w:tc>
        <w:tc>
          <w:tcPr>
            <w:tcW w:w="608" w:type="pct"/>
            <w:vAlign w:val="center"/>
          </w:tcPr>
          <w:p w14:paraId="098AE1D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18B8812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7DFFE65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7D2C3A44">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109.5</w:t>
            </w:r>
          </w:p>
        </w:tc>
        <w:tc>
          <w:tcPr>
            <w:tcW w:w="633" w:type="pct"/>
            <w:vAlign w:val="center"/>
          </w:tcPr>
          <w:p w14:paraId="31280FE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3D58F28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109.5</w:t>
            </w:r>
          </w:p>
        </w:tc>
        <w:tc>
          <w:tcPr>
            <w:tcW w:w="275" w:type="pct"/>
            <w:vAlign w:val="center"/>
          </w:tcPr>
          <w:p w14:paraId="5F587DC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2606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341CC888">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p>
        </w:tc>
        <w:tc>
          <w:tcPr>
            <w:tcW w:w="464" w:type="pct"/>
            <w:vAlign w:val="center"/>
          </w:tcPr>
          <w:p w14:paraId="1409B70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肠胃内容物</w:t>
            </w:r>
          </w:p>
        </w:tc>
        <w:tc>
          <w:tcPr>
            <w:tcW w:w="608" w:type="pct"/>
            <w:vAlign w:val="center"/>
          </w:tcPr>
          <w:p w14:paraId="7E79E172">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74D2E4F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031AF55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6E8A5BCB">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547.5</w:t>
            </w:r>
          </w:p>
        </w:tc>
        <w:tc>
          <w:tcPr>
            <w:tcW w:w="633" w:type="pct"/>
            <w:vAlign w:val="center"/>
          </w:tcPr>
          <w:p w14:paraId="6FEAAB6A">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74D3598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547.5</w:t>
            </w:r>
          </w:p>
        </w:tc>
        <w:tc>
          <w:tcPr>
            <w:tcW w:w="275" w:type="pct"/>
            <w:vAlign w:val="center"/>
          </w:tcPr>
          <w:p w14:paraId="5C737C80">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53242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restart"/>
            <w:vAlign w:val="center"/>
          </w:tcPr>
          <w:p w14:paraId="0E53B5DF">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病死猪</w:t>
            </w:r>
            <w:r>
              <w:rPr>
                <w:rFonts w:hint="eastAsia" w:cs="Times New Roman"/>
                <w:kern w:val="0"/>
                <w:sz w:val="24"/>
                <w:szCs w:val="24"/>
                <w:vertAlign w:val="baseline"/>
                <w:lang w:val="en-US" w:eastAsia="zh-CN" w:bidi="ar-SA"/>
              </w:rPr>
              <w:t>、不合格病肉等</w:t>
            </w:r>
          </w:p>
        </w:tc>
        <w:tc>
          <w:tcPr>
            <w:tcW w:w="464" w:type="pct"/>
            <w:vAlign w:val="center"/>
          </w:tcPr>
          <w:p w14:paraId="1CF18CA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病死猪</w:t>
            </w:r>
          </w:p>
        </w:tc>
        <w:tc>
          <w:tcPr>
            <w:tcW w:w="608" w:type="pct"/>
            <w:vAlign w:val="center"/>
          </w:tcPr>
          <w:p w14:paraId="7FDEA5D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4EA40478">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4F92492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02EE07A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5.475</w:t>
            </w:r>
          </w:p>
        </w:tc>
        <w:tc>
          <w:tcPr>
            <w:tcW w:w="633" w:type="pct"/>
            <w:vAlign w:val="center"/>
          </w:tcPr>
          <w:p w14:paraId="43518CA6">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046F9BDD">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5.475</w:t>
            </w:r>
          </w:p>
        </w:tc>
        <w:tc>
          <w:tcPr>
            <w:tcW w:w="275" w:type="pct"/>
            <w:vAlign w:val="center"/>
          </w:tcPr>
          <w:p w14:paraId="3F27C10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r w14:paraId="7AE83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4" w:type="pct"/>
            <w:vMerge w:val="continue"/>
            <w:vAlign w:val="center"/>
          </w:tcPr>
          <w:p w14:paraId="248D69F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lang w:val="en-US" w:eastAsia="zh-CN" w:bidi="ar-SA"/>
              </w:rPr>
            </w:pPr>
          </w:p>
        </w:tc>
        <w:tc>
          <w:tcPr>
            <w:tcW w:w="464" w:type="pct"/>
            <w:vAlign w:val="center"/>
          </w:tcPr>
          <w:p w14:paraId="05ADB31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不合格病肉等</w:t>
            </w:r>
          </w:p>
        </w:tc>
        <w:tc>
          <w:tcPr>
            <w:tcW w:w="608" w:type="pct"/>
            <w:vAlign w:val="center"/>
          </w:tcPr>
          <w:p w14:paraId="14B1E84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424" w:type="pct"/>
            <w:vAlign w:val="center"/>
          </w:tcPr>
          <w:p w14:paraId="76048621">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658" w:type="pct"/>
            <w:vAlign w:val="center"/>
          </w:tcPr>
          <w:p w14:paraId="5A7CE263">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711" w:type="pct"/>
            <w:vAlign w:val="center"/>
          </w:tcPr>
          <w:p w14:paraId="1C2DA6BE">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432.525</w:t>
            </w:r>
          </w:p>
        </w:tc>
        <w:tc>
          <w:tcPr>
            <w:tcW w:w="633" w:type="pct"/>
            <w:vAlign w:val="center"/>
          </w:tcPr>
          <w:p w14:paraId="5B626A4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c>
          <w:tcPr>
            <w:tcW w:w="848" w:type="pct"/>
            <w:vAlign w:val="center"/>
          </w:tcPr>
          <w:p w14:paraId="6B2003F7">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432.525</w:t>
            </w:r>
          </w:p>
        </w:tc>
        <w:tc>
          <w:tcPr>
            <w:tcW w:w="275" w:type="pct"/>
            <w:vAlign w:val="center"/>
          </w:tcPr>
          <w:p w14:paraId="03C6498C">
            <w:pPr>
              <w:pageBreakBefore w:val="0"/>
              <w:widowControl/>
              <w:wordWrap/>
              <w:overflowPunct/>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kern w:val="0"/>
                <w:sz w:val="24"/>
                <w:szCs w:val="24"/>
                <w:vertAlign w:val="baseline"/>
                <w:lang w:val="en-US" w:eastAsia="zh-CN" w:bidi="ar-SA"/>
              </w:rPr>
            </w:pPr>
            <w:r>
              <w:rPr>
                <w:rFonts w:hint="default" w:ascii="Times New Roman" w:hAnsi="Times New Roman" w:eastAsia="宋体" w:cs="Times New Roman"/>
                <w:kern w:val="0"/>
                <w:sz w:val="24"/>
                <w:szCs w:val="24"/>
                <w:vertAlign w:val="baseline"/>
                <w:lang w:val="en-US" w:eastAsia="zh-CN" w:bidi="ar-SA"/>
              </w:rPr>
              <w:t>/</w:t>
            </w:r>
          </w:p>
        </w:tc>
      </w:tr>
    </w:tbl>
    <w:p w14:paraId="06AA8FF1">
      <w:pPr>
        <w:keepNext w:val="0"/>
        <w:keepLines w:val="0"/>
        <w:pageBreakBefore w:val="0"/>
        <w:widowControl/>
        <w:kinsoku/>
        <w:wordWrap/>
        <w:overflowPunct/>
        <w:topLinePunct w:val="0"/>
        <w:autoSpaceDE/>
        <w:autoSpaceDN/>
        <w:bidi w:val="0"/>
        <w:adjustRightInd/>
        <w:snapToGrid w:val="0"/>
        <w:spacing w:before="0" w:beforeAutospacing="0" w:after="0" w:afterAutospacing="0" w:line="360" w:lineRule="auto"/>
        <w:ind w:left="0" w:leftChars="0" w:right="0" w:firstLine="0" w:firstLineChars="0"/>
        <w:jc w:val="left"/>
        <w:textAlignment w:val="auto"/>
        <w:rPr>
          <w:rFonts w:hint="default" w:ascii="Times New Roman" w:hAnsi="Times New Roman" w:cs="Times New Roman"/>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kern w:val="0"/>
          <w:sz w:val="24"/>
          <w:szCs w:val="24"/>
          <w:lang w:val="en-US" w:eastAsia="zh-CN" w:bidi="ar-SA"/>
        </w:rPr>
        <w:t>注：⑥=①+③+④-⑤;⑦=⑥-①</w:t>
      </w:r>
      <w:r>
        <w:rPr>
          <w:rFonts w:hint="eastAsia" w:ascii="Times New Roman" w:hAnsi="Times New Roman" w:eastAsia="宋体" w:cs="Times New Roman"/>
          <w:kern w:val="0"/>
          <w:sz w:val="24"/>
          <w:szCs w:val="24"/>
          <w:lang w:val="en-US" w:eastAsia="zh-CN" w:bidi="ar-SA"/>
        </w:rPr>
        <w:t>，表格单位为t/a</w:t>
      </w:r>
    </w:p>
    <w:p w14:paraId="04F1169C">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textAlignment w:val="auto"/>
        <w:outlineLvl w:val="0"/>
        <w:rPr>
          <w:rFonts w:hint="default" w:ascii="Times New Roman" w:hAnsi="Times New Roman" w:cs="Times New Roman"/>
          <w:sz w:val="24"/>
          <w:szCs w:val="24"/>
          <w:lang w:val="en-US" w:eastAsia="zh-CN"/>
        </w:rPr>
      </w:pPr>
      <w:bookmarkStart w:id="36" w:name="_Toc16333"/>
      <w:r>
        <w:rPr>
          <w:rFonts w:hint="default" w:ascii="Times New Roman" w:hAnsi="Times New Roman" w:cs="Times New Roman"/>
          <w:sz w:val="24"/>
        </w:rPr>
        <w:drawing>
          <wp:anchor distT="0" distB="0" distL="114300" distR="114300" simplePos="0" relativeHeight="251670528" behindDoc="0" locked="0" layoutInCell="1" allowOverlap="1">
            <wp:simplePos x="0" y="0"/>
            <wp:positionH relativeFrom="column">
              <wp:posOffset>8035925</wp:posOffset>
            </wp:positionH>
            <wp:positionV relativeFrom="paragraph">
              <wp:posOffset>325755</wp:posOffset>
            </wp:positionV>
            <wp:extent cx="659765" cy="1116330"/>
            <wp:effectExtent l="0" t="0" r="6985" b="7620"/>
            <wp:wrapNone/>
            <wp:docPr id="10" name="图片 10"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e8e39b692b65a258704f9f58e6b804"/>
                    <pic:cNvPicPr>
                      <a:picLocks noChangeAspect="1"/>
                    </pic:cNvPicPr>
                  </pic:nvPicPr>
                  <pic:blipFill>
                    <a:blip r:embed="rId22"/>
                    <a:stretch>
                      <a:fillRect/>
                    </a:stretch>
                  </pic:blipFill>
                  <pic:spPr>
                    <a:xfrm>
                      <a:off x="0" y="0"/>
                      <a:ext cx="659765" cy="1116330"/>
                    </a:xfrm>
                    <a:prstGeom prst="rect">
                      <a:avLst/>
                    </a:prstGeom>
                  </pic:spPr>
                </pic:pic>
              </a:graphicData>
            </a:graphic>
          </wp:anchor>
        </w:drawing>
      </w:r>
      <w:r>
        <w:rPr>
          <w:rFonts w:hint="default" w:ascii="Times New Roman" w:hAnsi="Times New Roman" w:cs="Times New Roman"/>
          <w:sz w:val="24"/>
          <w:szCs w:val="24"/>
          <w:lang w:val="en-US" w:eastAsia="zh-CN"/>
        </w:rPr>
        <w:t>附图1项目地理位置图</w:t>
      </w:r>
      <w:bookmarkEnd w:id="36"/>
    </w:p>
    <w:p w14:paraId="1BAC00C6">
      <w:pPr>
        <w:pStyle w:val="11"/>
        <w:keepNext w:val="0"/>
        <w:keepLines w:val="0"/>
        <w:pageBreakBefore w:val="0"/>
        <w:kinsoku/>
        <w:wordWrap/>
        <w:overflowPunct/>
        <w:topLinePunct w:val="0"/>
        <w:autoSpaceDE/>
        <w:autoSpaceDN/>
        <w:bidi w:val="0"/>
        <w:adjustRightInd/>
        <w:textAlignment w:val="auto"/>
        <w:outlineLvl w:val="9"/>
        <w:rPr>
          <w:rFonts w:hint="default" w:ascii="Times New Roman" w:hAnsi="Times New Roman" w:cs="Times New Roman"/>
          <w:lang w:val="en-US" w:eastAsia="zh-CN"/>
        </w:rPr>
      </w:pPr>
      <w:r>
        <w:rPr>
          <w:rFonts w:hint="default" w:ascii="Times New Roman" w:hAnsi="Times New Roman" w:cs="Times New Roman"/>
        </w:rPr>
        <w:drawing>
          <wp:inline distT="0" distB="0" distL="114300" distR="114300">
            <wp:extent cx="8635365" cy="4344035"/>
            <wp:effectExtent l="0" t="0" r="13335" b="1841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3"/>
                    <a:stretch>
                      <a:fillRect/>
                    </a:stretch>
                  </pic:blipFill>
                  <pic:spPr>
                    <a:xfrm>
                      <a:off x="0" y="0"/>
                      <a:ext cx="8635365" cy="4344035"/>
                    </a:xfrm>
                    <a:prstGeom prst="rect">
                      <a:avLst/>
                    </a:prstGeom>
                    <a:noFill/>
                    <a:ln>
                      <a:noFill/>
                    </a:ln>
                  </pic:spPr>
                </pic:pic>
              </a:graphicData>
            </a:graphic>
          </wp:inline>
        </w:drawing>
      </w:r>
    </w:p>
    <w:p w14:paraId="2D9B85AA">
      <w:pPr>
        <w:keepNext w:val="0"/>
        <w:keepLines w:val="0"/>
        <w:pageBreakBefore w:val="0"/>
        <w:kinsoku/>
        <w:wordWrap/>
        <w:overflowPunct/>
        <w:topLinePunct w:val="0"/>
        <w:autoSpaceDE/>
        <w:autoSpaceDN/>
        <w:bidi w:val="0"/>
        <w:adjustRightInd/>
        <w:jc w:val="center"/>
        <w:textAlignment w:val="auto"/>
        <w:outlineLvl w:val="9"/>
        <w:rPr>
          <w:rFonts w:hint="default" w:ascii="Times New Roman" w:hAnsi="Times New Roman" w:eastAsia="宋体" w:cs="Times New Roman"/>
          <w:sz w:val="24"/>
          <w:szCs w:val="24"/>
          <w:lang w:val="en-US" w:eastAsia="zh-CN"/>
        </w:rPr>
      </w:pPr>
    </w:p>
    <w:p w14:paraId="1A04C37A">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sz w:val="24"/>
          <w:szCs w:val="24"/>
          <w:lang w:val="en-US" w:eastAsia="zh-CN"/>
        </w:rPr>
      </w:pPr>
      <w:bookmarkStart w:id="37" w:name="_Toc28649"/>
      <w:r>
        <w:rPr>
          <w:rFonts w:hint="default" w:ascii="Times New Roman" w:hAnsi="Times New Roman" w:eastAsia="宋体" w:cs="Times New Roman"/>
          <w:sz w:val="24"/>
          <w:szCs w:val="24"/>
          <w:lang w:val="en-US" w:eastAsia="zh-CN"/>
        </w:rPr>
        <w:t>附</w:t>
      </w:r>
      <w:r>
        <w:rPr>
          <w:rFonts w:hint="default" w:ascii="Times New Roman" w:hAnsi="Times New Roman" w:cs="Times New Roman"/>
          <w:sz w:val="24"/>
          <w:szCs w:val="24"/>
          <w:lang w:val="en-US" w:eastAsia="zh-CN"/>
        </w:rPr>
        <w:t xml:space="preserve">图2 </w:t>
      </w:r>
      <w:r>
        <w:rPr>
          <w:rFonts w:hint="default" w:ascii="Times New Roman" w:hAnsi="Times New Roman" w:eastAsia="宋体" w:cs="Times New Roman"/>
          <w:sz w:val="24"/>
          <w:szCs w:val="24"/>
          <w:lang w:val="en-US" w:eastAsia="zh-CN"/>
        </w:rPr>
        <w:t>总平面布置图</w:t>
      </w:r>
      <w:bookmarkEnd w:id="37"/>
    </w:p>
    <w:p w14:paraId="1A6CB919">
      <w:pPr>
        <w:keepNext w:val="0"/>
        <w:keepLines w:val="0"/>
        <w:pageBreakBefore w:val="0"/>
        <w:kinsoku/>
        <w:wordWrap/>
        <w:overflowPunct/>
        <w:topLinePunct w:val="0"/>
        <w:autoSpaceDE/>
        <w:autoSpaceDN/>
        <w:bidi w:val="0"/>
        <w:adjustRightInd/>
        <w:jc w:val="center"/>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rPr>
        <w:drawing>
          <wp:anchor distT="0" distB="0" distL="114300" distR="114300" simplePos="0" relativeHeight="251662336" behindDoc="0" locked="0" layoutInCell="1" allowOverlap="1">
            <wp:simplePos x="0" y="0"/>
            <wp:positionH relativeFrom="column">
              <wp:posOffset>7538720</wp:posOffset>
            </wp:positionH>
            <wp:positionV relativeFrom="paragraph">
              <wp:posOffset>271780</wp:posOffset>
            </wp:positionV>
            <wp:extent cx="659765" cy="1116330"/>
            <wp:effectExtent l="0" t="0" r="6985" b="7620"/>
            <wp:wrapNone/>
            <wp:docPr id="40" name="图片 40"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6e8e39b692b65a258704f9f58e6b804"/>
                    <pic:cNvPicPr>
                      <a:picLocks noChangeAspect="1"/>
                    </pic:cNvPicPr>
                  </pic:nvPicPr>
                  <pic:blipFill>
                    <a:blip r:embed="rId22"/>
                    <a:stretch>
                      <a:fillRect/>
                    </a:stretch>
                  </pic:blipFill>
                  <pic:spPr>
                    <a:xfrm>
                      <a:off x="0" y="0"/>
                      <a:ext cx="659765" cy="1116330"/>
                    </a:xfrm>
                    <a:prstGeom prst="rect">
                      <a:avLst/>
                    </a:prstGeom>
                  </pic:spPr>
                </pic:pic>
              </a:graphicData>
            </a:graphic>
          </wp:anchor>
        </w:drawing>
      </w:r>
      <w:r>
        <w:rPr>
          <w:rFonts w:hint="default" w:ascii="Times New Roman" w:hAnsi="Times New Roman" w:eastAsia="宋体" w:cs="Times New Roman"/>
          <w:sz w:val="24"/>
          <w:szCs w:val="24"/>
          <w:lang w:val="en-US" w:eastAsia="zh-CN"/>
        </w:rPr>
        <w:drawing>
          <wp:inline distT="0" distB="0" distL="114300" distR="114300">
            <wp:extent cx="6991985" cy="4944110"/>
            <wp:effectExtent l="0" t="0" r="18415" b="8890"/>
            <wp:docPr id="30" name="图片 30" descr="规划平面图20241217报土地g-3.15_t3-Model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规划平面图20241217报土地g-3.15_t3-Model_00"/>
                    <pic:cNvPicPr>
                      <a:picLocks noChangeAspect="1"/>
                    </pic:cNvPicPr>
                  </pic:nvPicPr>
                  <pic:blipFill>
                    <a:blip r:embed="rId24"/>
                    <a:stretch>
                      <a:fillRect/>
                    </a:stretch>
                  </pic:blipFill>
                  <pic:spPr>
                    <a:xfrm>
                      <a:off x="0" y="0"/>
                      <a:ext cx="6991985" cy="4944110"/>
                    </a:xfrm>
                    <a:prstGeom prst="rect">
                      <a:avLst/>
                    </a:prstGeom>
                  </pic:spPr>
                </pic:pic>
              </a:graphicData>
            </a:graphic>
          </wp:inline>
        </w:drawing>
      </w:r>
      <w:r>
        <w:rPr>
          <w:rFonts w:hint="default" w:ascii="Times New Roman" w:hAnsi="Times New Roman" w:cs="Times New Roman"/>
          <w:sz w:val="24"/>
        </w:rPr>
        <mc:AlternateContent>
          <mc:Choice Requires="wps">
            <w:drawing>
              <wp:anchor distT="0" distB="0" distL="114300" distR="114300" simplePos="0" relativeHeight="251661312" behindDoc="0" locked="0" layoutInCell="1" allowOverlap="1">
                <wp:simplePos x="0" y="0"/>
                <wp:positionH relativeFrom="column">
                  <wp:posOffset>7414260</wp:posOffset>
                </wp:positionH>
                <wp:positionV relativeFrom="paragraph">
                  <wp:posOffset>2567940</wp:posOffset>
                </wp:positionV>
                <wp:extent cx="443865" cy="1278255"/>
                <wp:effectExtent l="0" t="0" r="0" b="0"/>
                <wp:wrapNone/>
                <wp:docPr id="31" name="文本框 31"/>
                <wp:cNvGraphicFramePr/>
                <a:graphic xmlns:a="http://schemas.openxmlformats.org/drawingml/2006/main">
                  <a:graphicData uri="http://schemas.microsoft.com/office/word/2010/wordprocessingShape">
                    <wps:wsp>
                      <wps:cNvSpPr txBox="1"/>
                      <wps:spPr>
                        <a:xfrm>
                          <a:off x="8510270" y="3740150"/>
                          <a:ext cx="443865" cy="1278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2B88D2">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湘江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3.8pt;margin-top:202.2pt;height:100.65pt;width:34.95pt;z-index:251661312;mso-width-relative:page;mso-height-relative:page;" filled="f" stroked="f" coordsize="21600,21600" o:gfxdata="UEsDBAoAAAAAAIdO4kAAAAAAAAAAAAAAAAAEAAAAZHJzL1BLAwQUAAAACACHTuJAndwOit0AAAAN&#10;AQAADwAAAGRycy9kb3ducmV2LnhtbE2Py07DMBBF90j8gzVI7KidkEcV4lQoUoWEYNHSDbtJ7CYR&#10;8TjE7gO+HndVlldzdO+ZcnU2Izvq2Q2WJEQLAUxTa9VAnYTdx/phCcx5JIWjJS3hRztYVbc3JRbK&#10;nmijj1vfsVBCrkAJvfdTwblre23QLeykKdz2djboQ5w7rmY8hXIz8liIjBscKCz0OOm61+3X9mAk&#10;vNbrd9w0sVn+jvXL2/55+t59plLe30XiCZjXZ3+F4aIf1KEKTo09kHJsDDnK8iywEhKRJMAuSPyY&#10;p8AaCZlIc+BVyf9/Uf0BUEsDBBQAAAAIAIdO4kBm39Y0RwIAAHQEAAAOAAAAZHJzL2Uyb0RvYy54&#10;bWytVEtu2zAQ3RfoHQjuG1n+xK5hOXBjpCgQNAHcomuaoiwB/JWkI6UHaG/QVTfd91w+Rx8lOXHT&#10;LrLohhrODN7MezPU4qJRktwJ5yujM5qeDSgRmpu80ruMfvxw9WpGiQ9M50waLTJ6Lzy9WL58sajt&#10;XAxNaWQuHAGI9vPaZrQMwc6TxPNSKObPjBUawcI4xQKubpfkjtVAVzIZDgbnSW1cbp3hwnt4112Q&#10;9ojuOYCmKCou1obvldChQ3VCsgBKvqysp8u226IQPNwUhReByIyCaWhPFIG9jWeyXLD5zjFbVrxv&#10;gT2nhSecFKs0ij5ArVlgZO+qv6BUxZ3xpghn3KikI9IqAhbp4Ik2m5JZ0XKB1N4+iO7/Hyx/f3fr&#10;SJVndJRSopnCxA/fvx1+/Dr8/Ergg0C19XPkbSwyQ/PGNFibo9/DGXk3hVPxC0YE8dkkHQynEPke&#10;wNPxIJ30UosmEI6E8Xg0O59QwpGQDqez4WQSIZNHJOt8eCuMItHIqMMoW4XZ3bUPXeoxJRbW5qqS&#10;sh2n1KTO6PkINf+IAFxq1Ih8ur6jFZpt05PcmvweHJ3p1sRbflWh+DXz4ZY57AUI4eWEGxyFNChi&#10;eouS0rgv//LHfIwLUUpq7FlG/ec9c4IS+U5jkK/T8TguZnsZT6ZDXNxpZHsa0Xt1abDKmBW6a82Y&#10;H+TRLJxRn/DAVrEqQkxz1M5oOJqXodt+PFAuVqs2CatoWbjWG8sjdCfaah9MUbVKR5k6bXr1sIzt&#10;rPqHE7f99N5mPf4sl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dwOit0AAAANAQAADwAAAAAA&#10;AAABACAAAAAiAAAAZHJzL2Rvd25yZXYueG1sUEsBAhQAFAAAAAgAh07iQGbf1jRHAgAAdAQAAA4A&#10;AAAAAAAAAQAgAAAALAEAAGRycy9lMm9Eb2MueG1sUEsFBgAAAAAGAAYAWQEAAOUFAAAAAA==&#10;">
                <v:fill on="f" focussize="0,0"/>
                <v:stroke on="f" weight="0.5pt"/>
                <v:imagedata o:title=""/>
                <o:lock v:ext="edit" aspectratio="f"/>
                <v:textbox>
                  <w:txbxContent>
                    <w:p w14:paraId="6F2B88D2">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湘江</w:t>
                      </w:r>
                    </w:p>
                  </w:txbxContent>
                </v:textbox>
              </v:shape>
            </w:pict>
          </mc:Fallback>
        </mc:AlternateContent>
      </w:r>
      <w:r>
        <w:rPr>
          <w:rFonts w:hint="default" w:ascii="Times New Roman" w:hAnsi="Times New Roman" w:cs="Times New Roman"/>
          <w:sz w:val="24"/>
          <w:szCs w:val="24"/>
          <w:lang w:val="en-US" w:eastAsia="zh-CN"/>
        </w:rPr>
        <w:br w:type="page"/>
      </w:r>
    </w:p>
    <w:p w14:paraId="526CD54B">
      <w:pPr>
        <w:keepNext w:val="0"/>
        <w:keepLines w:val="0"/>
        <w:pageBreakBefore w:val="0"/>
        <w:widowControl w:val="0"/>
        <w:kinsoku/>
        <w:wordWrap/>
        <w:overflowPunct/>
        <w:topLinePunct w:val="0"/>
        <w:autoSpaceDE/>
        <w:autoSpaceDN/>
        <w:bidi w:val="0"/>
        <w:adjustRightInd/>
        <w:snapToGrid/>
        <w:jc w:val="left"/>
        <w:textAlignment w:val="auto"/>
        <w:outlineLvl w:val="0"/>
        <w:rPr>
          <w:rFonts w:hint="default" w:ascii="Times New Roman" w:hAnsi="Times New Roman" w:eastAsia="宋体" w:cs="Times New Roman"/>
          <w:sz w:val="24"/>
          <w:szCs w:val="24"/>
          <w:lang w:val="en-US" w:eastAsia="zh-CN"/>
        </w:rPr>
      </w:pPr>
      <w:bookmarkStart w:id="38" w:name="_Toc28334"/>
      <w:r>
        <w:rPr>
          <w:rFonts w:hint="default" w:ascii="Times New Roman" w:hAnsi="Times New Roman" w:cs="Times New Roman"/>
          <w:sz w:val="24"/>
        </w:rPr>
        <w:drawing>
          <wp:anchor distT="0" distB="0" distL="114300" distR="114300" simplePos="0" relativeHeight="251669504" behindDoc="0" locked="0" layoutInCell="1" allowOverlap="1">
            <wp:simplePos x="0" y="0"/>
            <wp:positionH relativeFrom="column">
              <wp:posOffset>8275320</wp:posOffset>
            </wp:positionH>
            <wp:positionV relativeFrom="paragraph">
              <wp:posOffset>278130</wp:posOffset>
            </wp:positionV>
            <wp:extent cx="659765" cy="957580"/>
            <wp:effectExtent l="0" t="0" r="6985" b="13970"/>
            <wp:wrapNone/>
            <wp:docPr id="39" name="图片 39"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6e8e39b692b65a258704f9f58e6b804"/>
                    <pic:cNvPicPr>
                      <a:picLocks noChangeAspect="1"/>
                    </pic:cNvPicPr>
                  </pic:nvPicPr>
                  <pic:blipFill>
                    <a:blip r:embed="rId22"/>
                    <a:stretch>
                      <a:fillRect/>
                    </a:stretch>
                  </pic:blipFill>
                  <pic:spPr>
                    <a:xfrm>
                      <a:off x="0" y="0"/>
                      <a:ext cx="659765" cy="957580"/>
                    </a:xfrm>
                    <a:prstGeom prst="rect">
                      <a:avLst/>
                    </a:prstGeom>
                  </pic:spPr>
                </pic:pic>
              </a:graphicData>
            </a:graphic>
          </wp:anchor>
        </w:drawing>
      </w:r>
      <w:r>
        <w:rPr>
          <w:rFonts w:hint="default" w:ascii="Times New Roman" w:hAnsi="Times New Roman" w:eastAsia="宋体" w:cs="Times New Roman"/>
          <w:sz w:val="24"/>
          <w:szCs w:val="24"/>
          <w:lang w:val="en-US" w:eastAsia="zh-CN"/>
        </w:rPr>
        <w:t>附</w:t>
      </w:r>
      <w:r>
        <w:rPr>
          <w:rFonts w:hint="default" w:ascii="Times New Roman" w:hAnsi="Times New Roman" w:cs="Times New Roman"/>
          <w:sz w:val="24"/>
          <w:szCs w:val="24"/>
          <w:lang w:val="en-US" w:eastAsia="zh-CN"/>
        </w:rPr>
        <w:t>图3</w:t>
      </w:r>
      <w:r>
        <w:rPr>
          <w:rFonts w:hint="default" w:ascii="Times New Roman" w:hAnsi="Times New Roman" w:eastAsia="宋体" w:cs="Times New Roman"/>
          <w:sz w:val="24"/>
          <w:szCs w:val="24"/>
          <w:lang w:val="en-US" w:eastAsia="zh-CN"/>
        </w:rPr>
        <w:t xml:space="preserve"> </w:t>
      </w:r>
      <w:r>
        <w:rPr>
          <w:rFonts w:hint="default" w:ascii="Times New Roman" w:hAnsi="Times New Roman" w:cs="Times New Roman"/>
          <w:sz w:val="24"/>
          <w:szCs w:val="24"/>
          <w:lang w:val="en-US" w:eastAsia="zh-CN"/>
        </w:rPr>
        <w:t>环保目标</w:t>
      </w:r>
      <w:r>
        <w:rPr>
          <w:rFonts w:hint="default" w:ascii="Times New Roman" w:hAnsi="Times New Roman" w:eastAsia="宋体" w:cs="Times New Roman"/>
          <w:sz w:val="24"/>
          <w:szCs w:val="24"/>
          <w:lang w:val="en-US" w:eastAsia="zh-CN"/>
        </w:rPr>
        <w:t>图</w:t>
      </w:r>
      <w:bookmarkEnd w:id="38"/>
    </w:p>
    <w:p w14:paraId="3A4E0C9C">
      <w:pPr>
        <w:keepNext w:val="0"/>
        <w:keepLines w:val="0"/>
        <w:pageBreakBefore w:val="0"/>
        <w:widowControl w:val="0"/>
        <w:kinsoku/>
        <w:wordWrap/>
        <w:overflowPunct/>
        <w:topLinePunct w:val="0"/>
        <w:autoSpaceDE/>
        <w:autoSpaceDN/>
        <w:bidi w:val="0"/>
        <w:adjustRightInd/>
        <w:snapToGrid/>
        <w:jc w:val="left"/>
        <w:textAlignment w:val="auto"/>
        <w:outlineLvl w:val="9"/>
        <w:rPr>
          <w:rFonts w:hint="default" w:ascii="Times New Roman" w:hAnsi="Times New Roman" w:eastAsia="宋体" w:cs="Times New Roman"/>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8910320" cy="4338320"/>
            <wp:effectExtent l="0" t="0" r="5080" b="5080"/>
            <wp:docPr id="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
                    <pic:cNvPicPr>
                      <a:picLocks noChangeAspect="1"/>
                    </pic:cNvPicPr>
                  </pic:nvPicPr>
                  <pic:blipFill>
                    <a:blip r:embed="rId25"/>
                    <a:stretch>
                      <a:fillRect/>
                    </a:stretch>
                  </pic:blipFill>
                  <pic:spPr>
                    <a:xfrm>
                      <a:off x="0" y="0"/>
                      <a:ext cx="8910320" cy="4338320"/>
                    </a:xfrm>
                    <a:prstGeom prst="rect">
                      <a:avLst/>
                    </a:prstGeom>
                    <a:noFill/>
                    <a:ln>
                      <a:noFill/>
                    </a:ln>
                  </pic:spPr>
                </pic:pic>
              </a:graphicData>
            </a:graphic>
          </wp:inline>
        </w:drawing>
      </w:r>
      <w:r>
        <w:rPr>
          <w:rFonts w:hint="default" w:ascii="Times New Roman" w:hAnsi="Times New Roman" w:cs="Times New Roman"/>
          <w:sz w:val="24"/>
        </w:rPr>
        <mc:AlternateContent>
          <mc:Choice Requires="wps">
            <w:drawing>
              <wp:anchor distT="0" distB="0" distL="114300" distR="114300" simplePos="0" relativeHeight="251667456" behindDoc="0" locked="0" layoutInCell="1" allowOverlap="1">
                <wp:simplePos x="0" y="0"/>
                <wp:positionH relativeFrom="column">
                  <wp:posOffset>185420</wp:posOffset>
                </wp:positionH>
                <wp:positionV relativeFrom="paragraph">
                  <wp:posOffset>3320415</wp:posOffset>
                </wp:positionV>
                <wp:extent cx="394970" cy="152400"/>
                <wp:effectExtent l="0" t="0" r="5080" b="0"/>
                <wp:wrapNone/>
                <wp:docPr id="28" name="矩形 28"/>
                <wp:cNvGraphicFramePr/>
                <a:graphic xmlns:a="http://schemas.openxmlformats.org/drawingml/2006/main">
                  <a:graphicData uri="http://schemas.microsoft.com/office/word/2010/wordprocessingShape">
                    <wps:wsp>
                      <wps:cNvSpPr/>
                      <wps:spPr>
                        <a:xfrm>
                          <a:off x="8638540" y="4951730"/>
                          <a:ext cx="394970" cy="152400"/>
                        </a:xfrm>
                        <a:prstGeom prst="rect">
                          <a:avLst/>
                        </a:prstGeom>
                        <a:solidFill>
                          <a:srgbClr val="92D050">
                            <a:alpha val="46000"/>
                          </a:srgbClr>
                        </a:solidFill>
                        <a:ln w="25400" cap="flat" cmpd="sng" algn="ctr">
                          <a:noFill/>
                          <a:prstDash val="solid"/>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pt;margin-top:261.45pt;height:12pt;width:31.1pt;z-index:251667456;v-text-anchor:middle;mso-width-relative:page;mso-height-relative:page;" fillcolor="#92D050" filled="t" stroked="f" coordsize="21600,21600" o:gfxdata="UEsDBAoAAAAAAIdO4kAAAAAAAAAAAAAAAAAEAAAAZHJzL1BLAwQUAAAACACHTuJAaBzCi9UAAAAJ&#10;AQAADwAAAGRycy9kb3ducmV2LnhtbE2PPU/EMAyGdyT+Q2QkNi5pdFfR0vQGJBYEw/WA2deatqJx&#10;qib3wb/HTDDafvT6eavtxU/qREscAzvIVgYUcRu6kXsHb/unu3tQMSF3OAUmB98UYVtfX1VYduHM&#10;Ozo1qVcSwrFEB0NKc6l1bAfyGFdhJpbbZ1g8JhmXXncLniXcT9oak2uPI8uHAWd6HKj9ao7ewd7s&#10;XvPGakPP+BGzdvPy3nN07vYmMw+gEl3SHwy/+qIOtTgdwpG7qCYHtrBCOthYW4ASoMjWoA6yWOcF&#10;6LrS/xvUP1BLAwQUAAAACACHTuJAiXXqaIACAADwBAAADgAAAGRycy9lMm9Eb2MueG1srVRLbtsw&#10;EN0X6B0I7hvJtpzYhuXAiJGiQNAESIuuaYqyBPBXkracXqZAdz1Ej1P0Gn2klE/TLrLohprhjN7M&#10;vJnh8vyoJDkI51ujSzo6ySkRmpuq1buSfvxw+WZGiQ9MV0waLUp6Jzw9X71+tezsQoxNY2QlHAGI&#10;9ovOlrQJwS6yzPNGKOZPjBUaxto4xQJUt8sqxzqgK5mN8/w064yrrDNceI/bTW+kA6J7CaCp65aL&#10;jeF7JXToUZ2QLKAk37TW01XKtq4FD9d17UUgsqSoNKQTQSBv45mtlmyxc8w2LR9SYC9J4VlNirUa&#10;QR+gNiwwsnftX1Cq5c54U4cTblTWF5IYQRWj/Bk3tw2zItUCqr19IN3/P1j+/nDjSFuVdIy+a6bQ&#10;8V9fv//88Y3gAux01i/gdGtv3KB5iLHUY+1U/KIIcizp7HQymxbg9a6kxXw6OpsM7IpjIBwOk3kx&#10;P4Odw2E0HRd5smePQNb58FYYRaJQUofmJU7Z4coHBIfrvUuM641sq8tWyqS43fZCOnJgaPR8vMmn&#10;ef+vtA3rb4vT/CGk790T5h84UpMOXKCQmCnDfNeYK4jKgiOvd5QwucPi8OBSAG1iCmmMYnIb5ps+&#10;XIKNDCJtqWOOIs3jUEvktWcySltT3aEPzvQD6i2/bIF2xXy4YQ4TiWyws+EaRy0NUjSDRElj3Jd/&#10;3Ud/DAqslHSYcKT/ec+coES+0xih+aiI7QpJKaZnYyjuqWX71KL36sKA2xFeB8uTGP2DvBdrZ9Qn&#10;rPY6RoWJaY7YPVGDchH6zcPjwMV6ndywBpaFK31reQSPPGmz3gdTt6nnj+yAyahgERKnw9LGTXuq&#10;J6/Hh2r1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GgcwovVAAAACQEAAA8AAAAAAAAAAQAgAAAA&#10;IgAAAGRycy9kb3ducmV2LnhtbFBLAQIUABQAAAAIAIdO4kCJdepogAIAAPAEAAAOAAAAAAAAAAEA&#10;IAAAACQBAABkcnMvZTJvRG9jLnhtbFBLBQYAAAAABgAGAFkBAAAWBgAAAAA=&#10;">
                <v:fill on="t" opacity="30146f" focussize="0,0"/>
                <v:stroke on="f" weight="2pt"/>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68480" behindDoc="0" locked="0" layoutInCell="1" allowOverlap="1">
                <wp:simplePos x="0" y="0"/>
                <wp:positionH relativeFrom="column">
                  <wp:posOffset>194310</wp:posOffset>
                </wp:positionH>
                <wp:positionV relativeFrom="paragraph">
                  <wp:posOffset>3663315</wp:posOffset>
                </wp:positionV>
                <wp:extent cx="338455" cy="157480"/>
                <wp:effectExtent l="6350" t="6350" r="17145" b="7620"/>
                <wp:wrapNone/>
                <wp:docPr id="29" name="矩形 29"/>
                <wp:cNvGraphicFramePr/>
                <a:graphic xmlns:a="http://schemas.openxmlformats.org/drawingml/2006/main">
                  <a:graphicData uri="http://schemas.microsoft.com/office/word/2010/wordprocessingShape">
                    <wps:wsp>
                      <wps:cNvSpPr/>
                      <wps:spPr>
                        <a:xfrm>
                          <a:off x="8671560" y="5130800"/>
                          <a:ext cx="338455" cy="157480"/>
                        </a:xfrm>
                        <a:prstGeom prst="rect">
                          <a:avLst/>
                        </a:prstGeom>
                        <a:solidFill>
                          <a:srgbClr val="002060">
                            <a:alpha val="26000"/>
                          </a:srgbClr>
                        </a:solidFill>
                        <a:ln w="12700" cap="flat" cmpd="sng" algn="ctr">
                          <a:solidFill>
                            <a:srgbClr val="FF00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pt;margin-top:288.45pt;height:12.4pt;width:26.65pt;z-index:251668480;v-text-anchor:middle;mso-width-relative:page;mso-height-relative:page;" fillcolor="#002060" filled="t" stroked="t" coordsize="21600,21600" o:gfxdata="UEsDBAoAAAAAAIdO4kAAAAAAAAAAAAAAAAAEAAAAZHJzL1BLAwQUAAAACACHTuJAkCs6ENcAAAAJ&#10;AQAADwAAAGRycy9kb3ducmV2LnhtbE2PwU7DMAyG70i8Q2QkbiwpZd0odXdAcNgFiQ44Z41pKxKn&#10;atJ1vD3hBCfL8qff31/tzs6KE01h8IyQrRQI4tabgTuEt8PzzRZEiJqNtp4J4ZsC7OrLi0qXxi/8&#10;SqcmdiKFcCg1Qh/jWEoZ2p6cDis/Eqfbp5+cjmmdOmkmvaRwZ+WtUoV0euD0odcjPfbUfjWzQ7B7&#10;+/7R7RezbobmoJp8fnq5I8Trq0w9gIh0jn8w/OondaiT09HPbIKwCLkqEomw3hT3IBKwzdM8IhQq&#10;24CsK/m/Qf0DUEsDBBQAAAAIAIdO4kCcs3yMigIAABkFAAAOAAAAZHJzL2Uyb0RvYy54bWytVEtu&#10;2zAQ3RfoHQjuG0mOfzEiB0YMFwWCNkBadE1TlCWAv5K05fQyBbrrIXqcotfoI6V820UW3cgznPGb&#10;eY8zPL84KkkOwvnW6JIWJzklQnNTtXpX0k8fN2/mlPjAdMWk0aKkt8LTi+XrV+edXYiRaYyshCMA&#10;0X7R2ZI2IdhFlnneCMX8ibFCI1gbp1iA63ZZ5VgHdCWzUZ5Ps864yjrDhfc4XfdBOiC6lwCaum65&#10;WBu+V0KHHtUJyQIo+aa1ni5Tt3UtePhQ114EIksKpiF9UQT2Nn6z5Tlb7ByzTcuHFthLWnjGSbFW&#10;o+g91JoFRvau/QtKtdwZb+pwwo3KeiJJEbAo8mfa3DTMisQFUnt7L7r/f7D8/eHakbYq6eiMEs0U&#10;bvz3tx+/fn4nOIA6nfULJN3Yazd4Hmakeqydir8gQY4lnU9nxWQKXW9LOilO83k+qCuOgXAknJ7O&#10;x5MJJRwJxWQ2nqd49gBknQ9vhVEkGiV1uLykKTtc+YDiSL1LiXW9kW21aaVMjtttL6UjBxYvOh/l&#10;6CSeM2kb1p+OpnnfEnB8n54wn+BITTq0N5ohlXCG+a4xVzCVhUZe7yhhcofF4cGlAk/+PcD29TYb&#10;1Lvj+CQtslgz3/R5KRSlRl9Sx6ZFGtyBdLyAXvJobU11iwtzpp9kb/mmBdoV8+GaOYwu2sZyhw/4&#10;1NKAixksShrjvv7rPOZjohClpMMqgOeXPXOCEvlOY9bOivEYsCE548lsBMc9jmwfR/ReXRpcQoFn&#10;xPJkxvwg78zaGfUZb8AqVkWIaY7avaKDcxn6FcUrwsVqldKwL5aFK31jeQSPOmmz2gdTt2k4HtSB&#10;ktHBxiRNh+2OK/nYT1kPL9ry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JArOhDXAAAACQEAAA8A&#10;AAAAAAAAAQAgAAAAIgAAAGRycy9kb3ducmV2LnhtbFBLAQIUABQAAAAIAIdO4kCcs3yMigIAABkF&#10;AAAOAAAAAAAAAAEAIAAAACYBAABkcnMvZTJvRG9jLnhtbFBLBQYAAAAABgAGAFkBAAAiBgAAAAA=&#10;">
                <v:fill on="t" opacity="17039f" focussize="0,0"/>
                <v:stroke weight="1pt" color="#FF0000 [2404]" joinstyle="round"/>
                <v:imagedata o:title=""/>
                <o:lock v:ext="edit" aspectratio="f"/>
              </v:rect>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182880</wp:posOffset>
                </wp:positionH>
                <wp:positionV relativeFrom="paragraph">
                  <wp:posOffset>4048760</wp:posOffset>
                </wp:positionV>
                <wp:extent cx="339090" cy="155575"/>
                <wp:effectExtent l="6350" t="6350" r="16510" b="9525"/>
                <wp:wrapNone/>
                <wp:docPr id="67" name="矩形 67"/>
                <wp:cNvGraphicFramePr/>
                <a:graphic xmlns:a="http://schemas.openxmlformats.org/drawingml/2006/main">
                  <a:graphicData uri="http://schemas.microsoft.com/office/word/2010/wordprocessingShape">
                    <wps:wsp>
                      <wps:cNvSpPr/>
                      <wps:spPr>
                        <a:xfrm>
                          <a:off x="1076325" y="5357495"/>
                          <a:ext cx="339090" cy="155575"/>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pt;margin-top:318.8pt;height:12.25pt;width:26.7pt;z-index:251680768;v-text-anchor:middle;mso-width-relative:page;mso-height-relative:page;" filled="f" stroked="t" coordsize="21600,21600" o:gfxdata="UEsDBAoAAAAAAIdO4kAAAAAAAAAAAAAAAAAEAAAAZHJzL1BLAwQUAAAACACHTuJAPZuiwNYAAAAJ&#10;AQAADwAAAGRycy9kb3ducmV2LnhtbE2PzU7DMBCE70i8g7WVuFEnRkqjEKeHip44AKVSr9vYJFH9&#10;J9tpw9uznOC4s7Mz37bbxRp21TFN3kko1wUw7XqvJjdIOH7uH2tgKaNTaLzTEr51gm13f9dio/zN&#10;fejrIQ+MQlxqUMKYc2g4T/2oLaa1D9rR7stHi5nGOHAV8Ubh1nBRFBW3ODlqGDHo3aj7y2G2hBHM&#10;e1Dz2+V4Kpd9fFGvCYeNlA+rsngGlvWS/8zwi0830BHT2c9OJWYkiJrIs4TqaVMBI0MtBLAzCZUo&#10;gXct//9B9wNQSwMEFAAAAAgAh07iQGffSeFsAgAAwQQAAA4AAABkcnMvZTJvRG9jLnhtbK1US27b&#10;MBDdF+gdCO4byR/FtRE5MGK4KBA0AdKia5qiLAH8laQtp5cp0F0PkeMUvUYfKeXTtIss6gU9o3l6&#10;M/M4o7Pzo5LkIJxvjS7p6CSnRGhuqlbvSvrp4+bNW0p8YLpi0mhR0lvh6fny9auzzi7E2DRGVsIR&#10;kGi/6GxJmxDsIss8b4Ri/sRYoRGsjVMswHW7rHKsA7uS2TjPT7POuMo6w4X3eLrug3RgdC8hNHXd&#10;crE2fK+EDj2rE5IFtOSb1nq6TNXWteDhqq69CESWFJ2GdCIJ7G08s+UZW+wcs03LhxLYS0p41pNi&#10;rUbSB6o1C4zsXfsXlWq5M97U4YQblfWNJEXQxSh/ps1Nw6xIvUBqbx9E9/+Pln84XDvSViU9nVGi&#10;mcKN//r24+fdd4IHUKezfgHQjb12g+dhxlaPtVPxH02QIyYpn51OxgUltyUtJsVsOi96dcUxEA7A&#10;ZDLP59CdAzAqimKW4tkjkXU+vBNGkWiU1OHykqbscOkDkgN6D4l5tdm0UqYLlJp0IB3P8sjPMJU1&#10;pgGmsujM6x0lTO4w7jy4ROmNbKv4eiTybre9kI4cGIZks8nxi5Uj3R+wmHvNfNPjUmiASQ10FKqX&#10;JlpbU91CWGf6ifOWb1q8f8l8uGYOI4ZCsYThCkctDao3g0VJY9zXfz2PeNw8opR0GFl09mXPnKBE&#10;vteYifloOgVtSM60mI3huKeR7dOI3qsLg4ZHWHfLkxnxQd6btTPqM3Z1FbMixDRH7l7DwbkI/Sph&#10;27lYrRIMc21ZuNQ3lkfy/qZW+2DqNl3iozqDaJjsJPawhXF1nvoJ9fjlWf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PZuiwNYAAAAJAQAADwAAAAAAAAABACAAAAAiAAAAZHJzL2Rvd25yZXYueG1s&#10;UEsBAhQAFAAAAAgAh07iQGffSeFsAgAAwQQAAA4AAAAAAAAAAQAgAAAAJQEAAGRycy9lMm9Eb2Mu&#10;eG1sUEsFBgAAAAAGAAYAWQEAAAMGAAAAAA==&#10;">
                <v:fill on="f" focussize="0,0"/>
                <v:stroke weight="1pt" color="#FF0000 [2404]" joinstyle="round"/>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66432" behindDoc="0" locked="0" layoutInCell="1" allowOverlap="1">
                <wp:simplePos x="0" y="0"/>
                <wp:positionH relativeFrom="column">
                  <wp:posOffset>5080</wp:posOffset>
                </wp:positionH>
                <wp:positionV relativeFrom="paragraph">
                  <wp:posOffset>2882265</wp:posOffset>
                </wp:positionV>
                <wp:extent cx="1532890" cy="1407795"/>
                <wp:effectExtent l="4445" t="4445" r="5715" b="16510"/>
                <wp:wrapNone/>
                <wp:docPr id="27" name="文本框 27"/>
                <wp:cNvGraphicFramePr/>
                <a:graphic xmlns:a="http://schemas.openxmlformats.org/drawingml/2006/main">
                  <a:graphicData uri="http://schemas.microsoft.com/office/word/2010/wordprocessingShape">
                    <wps:wsp>
                      <wps:cNvSpPr txBox="1"/>
                      <wps:spPr>
                        <a:xfrm>
                          <a:off x="7647940" y="4666615"/>
                          <a:ext cx="1532890" cy="14077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1C2A2B">
                            <w:pPr>
                              <w:jc w:val="center"/>
                              <w:rPr>
                                <w:rFonts w:hint="default"/>
                                <w:sz w:val="24"/>
                                <w:szCs w:val="24"/>
                                <w:lang w:val="en-US" w:eastAsia="zh-CN"/>
                              </w:rPr>
                            </w:pPr>
                            <w:r>
                              <w:rPr>
                                <w:rFonts w:hint="eastAsia" w:ascii="Times New Roman" w:eastAsia="宋体"/>
                                <w:sz w:val="24"/>
                                <w:szCs w:val="24"/>
                                <w:lang w:val="en-US" w:eastAsia="zh-CN"/>
                              </w:rPr>
                              <w:t>图例</w:t>
                            </w:r>
                          </w:p>
                          <w:p w14:paraId="07059D01">
                            <w:pPr>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eastAsia"/>
                                <w:sz w:val="13"/>
                                <w:szCs w:val="13"/>
                                <w:lang w:val="en-US" w:eastAsia="zh-CN"/>
                              </w:rPr>
                            </w:pPr>
                            <w:r>
                              <w:rPr>
                                <w:rFonts w:hint="eastAsia" w:ascii="Times New Roman" w:eastAsia="宋体"/>
                                <w:sz w:val="13"/>
                                <w:szCs w:val="13"/>
                                <w:lang w:val="en-US" w:eastAsia="zh-CN"/>
                              </w:rPr>
                              <w:t>环境敏感区</w:t>
                            </w:r>
                          </w:p>
                          <w:p w14:paraId="14612188">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p>
                          <w:p w14:paraId="36684BB7">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r>
                              <w:rPr>
                                <w:rFonts w:hint="eastAsia"/>
                                <w:sz w:val="13"/>
                                <w:szCs w:val="13"/>
                                <w:lang w:val="en-US" w:eastAsia="zh-CN"/>
                              </w:rPr>
                              <w:t>屠宰场范围</w:t>
                            </w:r>
                          </w:p>
                          <w:p w14:paraId="34075A1C">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default"/>
                                <w:sz w:val="13"/>
                                <w:szCs w:val="13"/>
                                <w:lang w:val="en-US" w:eastAsia="zh-CN"/>
                              </w:rPr>
                            </w:pPr>
                          </w:p>
                          <w:p w14:paraId="08586688">
                            <w:pPr>
                              <w:pStyle w:val="12"/>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default"/>
                                <w:sz w:val="13"/>
                                <w:szCs w:val="13"/>
                                <w:lang w:val="en-US" w:eastAsia="zh-CN"/>
                              </w:rPr>
                            </w:pPr>
                            <w:r>
                              <w:rPr>
                                <w:rFonts w:hint="eastAsia"/>
                                <w:sz w:val="13"/>
                                <w:szCs w:val="13"/>
                                <w:lang w:val="en-US" w:eastAsia="zh-CN"/>
                              </w:rPr>
                              <w:t>居民区范围</w:t>
                            </w:r>
                          </w:p>
                          <w:p w14:paraId="1A623DFF">
                            <w:pPr>
                              <w:pStyle w:val="12"/>
                              <w:bidi w:val="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pt;margin-top:226.95pt;height:110.85pt;width:120.7pt;z-index:251666432;mso-width-relative:page;mso-height-relative:page;" fillcolor="#FFFFFF [3201]" filled="t" stroked="t" coordsize="21600,21600" o:gfxdata="UEsDBAoAAAAAAIdO4kAAAAAAAAAAAAAAAAAEAAAAZHJzL1BLAwQUAAAACACHTuJAhnP/WtYAAAAI&#10;AQAADwAAAGRycy9kb3ducmV2LnhtbE2PwU7DMBBE70j8g7VI3KhTpw2QZlMJJCTEjTYXbm68TaLa&#10;6yh2m/L3mBMcRzOaeVNtr86KC01h8IywXGQgiFtvBu4Qmv3bwxOIEDUbbT0TwjcF2Na3N5UujZ/5&#10;ky672IlUwqHUCH2MYyllaHtyOiz8SJy8o5+cjklOnTSTnlO5s1JlWSGdHjgt9Hqk157a0+7sEN6L&#10;l/hFjfkwucr93Mh2OtqAeH+3zDYgIl3jXxh+8RM61Inp4M9sgrAIiTsirNb5M4hkq5VSIA4IxeO6&#10;AFlX8v+B+gdQSwMEFAAAAAgAh07iQJ0YBPRuAgAA1AQAAA4AAABkcnMvZTJvRG9jLnhtbK1UzW4T&#10;MRC+I/EOlu90kzQ/TdRNFVoFIVW0UkGcHa83a+G1je1ktzwAvAEnLtx5rjwHn71Jfzn0wB6cGc+X&#10;bzzfjH161taKbIXz0uic9o96lAjNTSH1OqefPi7fnFDiA9MFU0aLnN4KT8/mr1+dNnYmBqYyqhCO&#10;gET7WWNzWoVgZ1nmeSVq5o+MFRrB0riaBbhunRWONWCvVTbo9cZZY1xhneHCe+xedEG6Z3QvITRl&#10;Kbm4MHxTCx06VicUCyjJV9J6Ok+nLUvBw1VZehGIyikqDWlFEtiruGbzUzZbO2YryfdHYC85wpOa&#10;aiY1kt5RXbDAyMbJZ1S15M54U4YjbuqsKyQpgir6vSfa3FTMilQLpPb2TnT//2j5h+21I7LI6WBC&#10;iWY1Or77+WP368/u93eCPQjUWD8D7sYCGdq3psXYHPY9NmPdbenq+IuKCOKT8XAyHULk25wOx/j6&#10;o05q0QbCI8HoeHAyBYAD0R/2JpNpQmT3VNb58E6YmkQjpw69TBKz7aUPOBagB0jM7I2SxVIqlRy3&#10;Xp0rR7YMfV+mL+bHXx7BlCZNTsfHo15ifhSL3HcUK8X4l+cM4FM65hNp1Pbninp1ukQrtKt2L+LK&#10;FLfQ0JluDL3lS4ksl8yHa+Ywd9ADNzNcYSmVwdHM3qKkMu7bv/YjHuOAKCUN5jin/uuGOUGJeq8x&#10;KNP+MPYhJGc4mgzguIeR1cOI3tTnBpL18QZYnsyID+pgls7Un3GBFzErQkxz5M5pOJjnobtdeAC4&#10;WCwSCKNuWbjUN5ZH6iiYNotNMKVMjYwyddqgRdHBsKdm7S9mvE0P/YS6f4zm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Gc/9a1gAAAAgBAAAPAAAAAAAAAAEAIAAAACIAAABkcnMvZG93bnJldi54&#10;bWxQSwECFAAUAAAACACHTuJAnRgE9G4CAADUBAAADgAAAAAAAAABACAAAAAlAQAAZHJzL2Uyb0Rv&#10;Yy54bWxQSwUGAAAAAAYABgBZAQAABQYAAAAA&#10;">
                <v:fill on="t" focussize="0,0"/>
                <v:stroke weight="0.5pt" color="#000000 [3204]" joinstyle="round"/>
                <v:imagedata o:title=""/>
                <o:lock v:ext="edit" aspectratio="f"/>
                <v:textbox>
                  <w:txbxContent>
                    <w:p w14:paraId="721C2A2B">
                      <w:pPr>
                        <w:jc w:val="center"/>
                        <w:rPr>
                          <w:rFonts w:hint="default"/>
                          <w:sz w:val="24"/>
                          <w:szCs w:val="24"/>
                          <w:lang w:val="en-US" w:eastAsia="zh-CN"/>
                        </w:rPr>
                      </w:pPr>
                      <w:r>
                        <w:rPr>
                          <w:rFonts w:hint="eastAsia" w:ascii="Times New Roman" w:eastAsia="宋体"/>
                          <w:sz w:val="24"/>
                          <w:szCs w:val="24"/>
                          <w:lang w:val="en-US" w:eastAsia="zh-CN"/>
                        </w:rPr>
                        <w:t>图例</w:t>
                      </w:r>
                    </w:p>
                    <w:p w14:paraId="07059D01">
                      <w:pPr>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eastAsia"/>
                          <w:sz w:val="13"/>
                          <w:szCs w:val="13"/>
                          <w:lang w:val="en-US" w:eastAsia="zh-CN"/>
                        </w:rPr>
                      </w:pPr>
                      <w:r>
                        <w:rPr>
                          <w:rFonts w:hint="eastAsia" w:ascii="Times New Roman" w:eastAsia="宋体"/>
                          <w:sz w:val="13"/>
                          <w:szCs w:val="13"/>
                          <w:lang w:val="en-US" w:eastAsia="zh-CN"/>
                        </w:rPr>
                        <w:t>环境敏感区</w:t>
                      </w:r>
                    </w:p>
                    <w:p w14:paraId="14612188">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p>
                    <w:p w14:paraId="36684BB7">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r>
                        <w:rPr>
                          <w:rFonts w:hint="eastAsia"/>
                          <w:sz w:val="13"/>
                          <w:szCs w:val="13"/>
                          <w:lang w:val="en-US" w:eastAsia="zh-CN"/>
                        </w:rPr>
                        <w:t>屠宰场范围</w:t>
                      </w:r>
                    </w:p>
                    <w:p w14:paraId="34075A1C">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default"/>
                          <w:sz w:val="13"/>
                          <w:szCs w:val="13"/>
                          <w:lang w:val="en-US" w:eastAsia="zh-CN"/>
                        </w:rPr>
                      </w:pPr>
                    </w:p>
                    <w:p w14:paraId="08586688">
                      <w:pPr>
                        <w:pStyle w:val="12"/>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default"/>
                          <w:sz w:val="13"/>
                          <w:szCs w:val="13"/>
                          <w:lang w:val="en-US" w:eastAsia="zh-CN"/>
                        </w:rPr>
                      </w:pPr>
                      <w:r>
                        <w:rPr>
                          <w:rFonts w:hint="eastAsia"/>
                          <w:sz w:val="13"/>
                          <w:szCs w:val="13"/>
                          <w:lang w:val="en-US" w:eastAsia="zh-CN"/>
                        </w:rPr>
                        <w:t>居民区范围</w:t>
                      </w:r>
                    </w:p>
                    <w:p w14:paraId="1A623DFF">
                      <w:pPr>
                        <w:pStyle w:val="12"/>
                        <w:bidi w:val="0"/>
                        <w:rPr>
                          <w:rFonts w:hint="default"/>
                          <w:lang w:val="en-US" w:eastAsia="zh-CN"/>
                        </w:rPr>
                      </w:pPr>
                    </w:p>
                  </w:txbxContent>
                </v:textbox>
              </v:shape>
            </w:pict>
          </mc:Fallback>
        </mc:AlternateContent>
      </w:r>
    </w:p>
    <w:p w14:paraId="4C5322FB">
      <w:pPr>
        <w:jc w:val="center"/>
      </w:pPr>
      <w:r>
        <w:rPr>
          <w:sz w:val="24"/>
        </w:rPr>
        <w:drawing>
          <wp:anchor distT="0" distB="0" distL="114300" distR="114300" simplePos="0" relativeHeight="251685888" behindDoc="0" locked="0" layoutInCell="1" allowOverlap="1">
            <wp:simplePos x="0" y="0"/>
            <wp:positionH relativeFrom="column">
              <wp:posOffset>8155305</wp:posOffset>
            </wp:positionH>
            <wp:positionV relativeFrom="paragraph">
              <wp:posOffset>293370</wp:posOffset>
            </wp:positionV>
            <wp:extent cx="659765" cy="1116330"/>
            <wp:effectExtent l="0" t="0" r="6985" b="7620"/>
            <wp:wrapNone/>
            <wp:docPr id="79" name="图片 79"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6e8e39b692b65a258704f9f58e6b804"/>
                    <pic:cNvPicPr>
                      <a:picLocks noChangeAspect="1"/>
                    </pic:cNvPicPr>
                  </pic:nvPicPr>
                  <pic:blipFill>
                    <a:blip r:embed="rId22"/>
                    <a:stretch>
                      <a:fillRect/>
                    </a:stretch>
                  </pic:blipFill>
                  <pic:spPr>
                    <a:xfrm>
                      <a:off x="0" y="0"/>
                      <a:ext cx="659765" cy="1116330"/>
                    </a:xfrm>
                    <a:prstGeom prst="rect">
                      <a:avLst/>
                    </a:prstGeom>
                  </pic:spPr>
                </pic:pic>
              </a:graphicData>
            </a:graphic>
          </wp:anchor>
        </w:drawing>
      </w:r>
    </w:p>
    <w:p w14:paraId="430F0C71">
      <w:pPr>
        <w:jc w:val="center"/>
        <w:rPr>
          <w:rFonts w:hint="default" w:ascii="Times New Roman" w:hAnsi="Times New Roman" w:cs="Times New Roman"/>
          <w:sz w:val="24"/>
          <w:szCs w:val="24"/>
          <w:lang w:val="en-US" w:eastAsia="zh-CN"/>
        </w:rPr>
      </w:pPr>
      <w:r>
        <w:rPr>
          <w:rFonts w:hint="default" w:ascii="Times New Roman" w:hAnsi="Times New Roman" w:cs="Times New Roman"/>
          <w:sz w:val="24"/>
        </w:rPr>
        <mc:AlternateContent>
          <mc:Choice Requires="wps">
            <w:drawing>
              <wp:anchor distT="0" distB="0" distL="114300" distR="114300" simplePos="0" relativeHeight="251681792" behindDoc="0" locked="0" layoutInCell="1" allowOverlap="1">
                <wp:simplePos x="0" y="0"/>
                <wp:positionH relativeFrom="column">
                  <wp:posOffset>18415</wp:posOffset>
                </wp:positionH>
                <wp:positionV relativeFrom="paragraph">
                  <wp:posOffset>2927350</wp:posOffset>
                </wp:positionV>
                <wp:extent cx="1532890" cy="1407795"/>
                <wp:effectExtent l="4445" t="4445" r="5715" b="16510"/>
                <wp:wrapNone/>
                <wp:docPr id="69" name="文本框 69"/>
                <wp:cNvGraphicFramePr/>
                <a:graphic xmlns:a="http://schemas.openxmlformats.org/drawingml/2006/main">
                  <a:graphicData uri="http://schemas.microsoft.com/office/word/2010/wordprocessingShape">
                    <wps:wsp>
                      <wps:cNvSpPr txBox="1"/>
                      <wps:spPr>
                        <a:xfrm>
                          <a:off x="0" y="0"/>
                          <a:ext cx="1532890" cy="14077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B08296">
                            <w:pPr>
                              <w:jc w:val="center"/>
                              <w:rPr>
                                <w:rFonts w:hint="default"/>
                                <w:sz w:val="24"/>
                                <w:szCs w:val="24"/>
                                <w:lang w:val="en-US" w:eastAsia="zh-CN"/>
                              </w:rPr>
                            </w:pPr>
                            <w:r>
                              <w:rPr>
                                <w:rFonts w:hint="eastAsia" w:ascii="Times New Roman" w:eastAsia="宋体"/>
                                <w:sz w:val="24"/>
                                <w:szCs w:val="24"/>
                                <w:lang w:val="en-US" w:eastAsia="zh-CN"/>
                              </w:rPr>
                              <w:t>图例</w:t>
                            </w:r>
                          </w:p>
                          <w:p w14:paraId="5AAFD064">
                            <w:pPr>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eastAsia"/>
                                <w:sz w:val="13"/>
                                <w:szCs w:val="13"/>
                                <w:lang w:val="en-US" w:eastAsia="zh-CN"/>
                              </w:rPr>
                            </w:pPr>
                            <w:r>
                              <w:rPr>
                                <w:rFonts w:hint="eastAsia" w:ascii="Times New Roman" w:eastAsia="宋体"/>
                                <w:sz w:val="13"/>
                                <w:szCs w:val="13"/>
                                <w:lang w:val="en-US" w:eastAsia="zh-CN"/>
                              </w:rPr>
                              <w:t>环境敏感区</w:t>
                            </w:r>
                          </w:p>
                          <w:p w14:paraId="40ACF2D7">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p>
                          <w:p w14:paraId="6D1D622E">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r>
                              <w:rPr>
                                <w:rFonts w:hint="eastAsia"/>
                                <w:sz w:val="13"/>
                                <w:szCs w:val="13"/>
                                <w:lang w:val="en-US" w:eastAsia="zh-CN"/>
                              </w:rPr>
                              <w:t>屠宰场范围</w:t>
                            </w:r>
                          </w:p>
                          <w:p w14:paraId="62E923CC">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default"/>
                                <w:sz w:val="13"/>
                                <w:szCs w:val="13"/>
                                <w:lang w:val="en-US" w:eastAsia="zh-CN"/>
                              </w:rPr>
                            </w:pPr>
                          </w:p>
                          <w:p w14:paraId="5E0FF99A">
                            <w:pPr>
                              <w:pStyle w:val="12"/>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default"/>
                                <w:sz w:val="13"/>
                                <w:szCs w:val="13"/>
                                <w:lang w:val="en-US" w:eastAsia="zh-CN"/>
                              </w:rPr>
                            </w:pPr>
                            <w:r>
                              <w:rPr>
                                <w:rFonts w:hint="eastAsia"/>
                                <w:sz w:val="13"/>
                                <w:szCs w:val="13"/>
                                <w:lang w:val="en-US" w:eastAsia="zh-CN"/>
                              </w:rPr>
                              <w:t>居民区范围</w:t>
                            </w:r>
                          </w:p>
                          <w:p w14:paraId="7E7E51F0">
                            <w:pPr>
                              <w:pStyle w:val="12"/>
                              <w:bidi w:val="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pt;margin-top:230.5pt;height:110.85pt;width:120.7pt;z-index:251681792;mso-width-relative:page;mso-height-relative:page;" fillcolor="#FFFFFF [3201]" filled="t" stroked="t" coordsize="21600,21600" o:gfxdata="UEsDBAoAAAAAAIdO4kAAAAAAAAAAAAAAAAAEAAAAZHJzL1BLAwQUAAAACACHTuJAnfuE4NYAAAAJ&#10;AQAADwAAAGRycy9kb3ducmV2LnhtbE2PQUvEMBSE74L/ITzBm5s2LXWtTRcUBPHm2ou3bPO2LSYv&#10;pclu13/v86THYYaZb5rdxTtxxiVOgTTkmwwEUh/sRIOG7uPlbgsiJkPWuECo4Rsj7Nrrq8bUNqz0&#10;jud9GgSXUKyNhjGluZYy9iN6EzdhRmLvGBZvEstlkHYxK5d7J1WWVdKbiXhhNDM+j9h/7U9ew2v1&#10;lD6xs2+2UEVYO9kvRxe1vr3Js0cQCS/pLwy/+IwOLTMdwolsFE6DeuCghrLK+RL7qiwLEAcN1Vbd&#10;g2wb+f9B+wNQSwMEFAAAAAgAh07iQDvih8dhAgAAyAQAAA4AAABkcnMvZTJvRG9jLnhtbK1UzW7b&#10;MAy+D9g7CLqvTtKkbYI4RZYiw4BiLZANOyuyHAuTRE1SYmcPsL3BTrvsvufqc4ySnfRvhx6Wg0OK&#10;9Efy00dPLxutyE44L8HktH/So0QYDoU0m5x++rh8c0GJD8wUTIEROd0LTy9nr19NazsRA6hAFcIR&#10;BDF+UtucViHYSZZ5XgnN/AlYYTBYgtMsoOs2WeFYjehaZYNe7yyrwRXWARfe4+lVG6QdonsJIJSl&#10;5OIK+FYLE1pUJxQLOJKvpPV0lrotS8HDTVl6EYjKKU4a0hOLoL2Oz2w2ZZONY7aSvGuBvaSFJzNp&#10;Jg0WPUJdscDI1slnUFpyBx7KcMJBZ+0giRGcot97ws2qYlakWZBqb4+k+/8Hyz/sbh2RRU7PxpQY&#10;pvHG737+uPv15+73d4JnSFBt/QTzVhYzQ/MWGpTN4dzjYZy7KZ2O/zgRwTjSuz/SK5pAeHxpdDq4&#10;GGOIY6w/7J2fj0cRJ7t/3Tof3gnQJBo5dXh/iVa2u/ahTT2kxGoelCyWUqnkuM16oRzZMbzrZfp1&#10;6I/SlCE1Tns66iXkR7GIfYRYK8a/PEfAbpWJ9USSV9dX5KjlIlqhWTcdcWso9sibg1Z63vKlxCrX&#10;zIdb5lBryAduY7jBR6kAW4POoqQC9+1f5zEfJYBRSmrUbk791y1zghL13qA4xv3hEGFDcoaj8wE6&#10;7mFk/TBitnoBSFkf997yZMb8oA5m6UB/xqWdx6oYYoZj7ZyGg7kI7Ubh0nMxn6cklLdl4dqsLI/Q&#10;kTAD822AUqaLjDS13KAAooMCT1LoljFu0EM/Zd1/gG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37hODWAAAACQEAAA8AAAAAAAAAAQAgAAAAIgAAAGRycy9kb3ducmV2LnhtbFBLAQIUABQAAAAI&#10;AIdO4kA74ofHYQIAAMgEAAAOAAAAAAAAAAEAIAAAACUBAABkcnMvZTJvRG9jLnhtbFBLBQYAAAAA&#10;BgAGAFkBAAD4BQAAAAA=&#10;">
                <v:fill on="t" focussize="0,0"/>
                <v:stroke weight="0.5pt" color="#000000 [3204]" joinstyle="round"/>
                <v:imagedata o:title=""/>
                <o:lock v:ext="edit" aspectratio="f"/>
                <v:textbox>
                  <w:txbxContent>
                    <w:p w14:paraId="1AB08296">
                      <w:pPr>
                        <w:jc w:val="center"/>
                        <w:rPr>
                          <w:rFonts w:hint="default"/>
                          <w:sz w:val="24"/>
                          <w:szCs w:val="24"/>
                          <w:lang w:val="en-US" w:eastAsia="zh-CN"/>
                        </w:rPr>
                      </w:pPr>
                      <w:r>
                        <w:rPr>
                          <w:rFonts w:hint="eastAsia" w:ascii="Times New Roman" w:eastAsia="宋体"/>
                          <w:sz w:val="24"/>
                          <w:szCs w:val="24"/>
                          <w:lang w:val="en-US" w:eastAsia="zh-CN"/>
                        </w:rPr>
                        <w:t>图例</w:t>
                      </w:r>
                    </w:p>
                    <w:p w14:paraId="5AAFD064">
                      <w:pPr>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eastAsia"/>
                          <w:sz w:val="13"/>
                          <w:szCs w:val="13"/>
                          <w:lang w:val="en-US" w:eastAsia="zh-CN"/>
                        </w:rPr>
                      </w:pPr>
                      <w:r>
                        <w:rPr>
                          <w:rFonts w:hint="eastAsia" w:ascii="Times New Roman" w:eastAsia="宋体"/>
                          <w:sz w:val="13"/>
                          <w:szCs w:val="13"/>
                          <w:lang w:val="en-US" w:eastAsia="zh-CN"/>
                        </w:rPr>
                        <w:t>环境敏感区</w:t>
                      </w:r>
                    </w:p>
                    <w:p w14:paraId="40ACF2D7">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p>
                    <w:p w14:paraId="6D1D622E">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eastAsia"/>
                          <w:sz w:val="13"/>
                          <w:szCs w:val="13"/>
                          <w:lang w:val="en-US" w:eastAsia="zh-CN"/>
                        </w:rPr>
                      </w:pPr>
                      <w:r>
                        <w:rPr>
                          <w:rFonts w:hint="eastAsia"/>
                          <w:sz w:val="13"/>
                          <w:szCs w:val="13"/>
                          <w:lang w:val="en-US" w:eastAsia="zh-CN"/>
                        </w:rPr>
                        <w:t>屠宰场范围</w:t>
                      </w:r>
                    </w:p>
                    <w:p w14:paraId="62E923CC">
                      <w:pPr>
                        <w:pStyle w:val="11"/>
                        <w:keepNext w:val="0"/>
                        <w:keepLines w:val="0"/>
                        <w:pageBreakBefore w:val="0"/>
                        <w:kinsoku/>
                        <w:wordWrap/>
                        <w:overflowPunct/>
                        <w:topLinePunct w:val="0"/>
                        <w:bidi w:val="0"/>
                        <w:adjustRightInd/>
                        <w:spacing w:before="0" w:after="0" w:line="360" w:lineRule="auto"/>
                        <w:ind w:left="0" w:leftChars="0" w:right="0" w:firstLine="0" w:firstLineChars="0"/>
                        <w:jc w:val="right"/>
                        <w:textAlignment w:val="auto"/>
                        <w:rPr>
                          <w:rFonts w:hint="default"/>
                          <w:sz w:val="13"/>
                          <w:szCs w:val="13"/>
                          <w:lang w:val="en-US" w:eastAsia="zh-CN"/>
                        </w:rPr>
                      </w:pPr>
                    </w:p>
                    <w:p w14:paraId="5E0FF99A">
                      <w:pPr>
                        <w:pStyle w:val="12"/>
                        <w:keepNext w:val="0"/>
                        <w:keepLines w:val="0"/>
                        <w:pageBreakBefore w:val="0"/>
                        <w:kinsoku/>
                        <w:wordWrap/>
                        <w:overflowPunct/>
                        <w:topLinePunct w:val="0"/>
                        <w:bidi w:val="0"/>
                        <w:adjustRightInd/>
                        <w:spacing w:line="360" w:lineRule="auto"/>
                        <w:ind w:left="0" w:leftChars="0" w:right="0" w:firstLine="0" w:firstLineChars="0"/>
                        <w:jc w:val="right"/>
                        <w:textAlignment w:val="auto"/>
                        <w:rPr>
                          <w:rFonts w:hint="default"/>
                          <w:sz w:val="13"/>
                          <w:szCs w:val="13"/>
                          <w:lang w:val="en-US" w:eastAsia="zh-CN"/>
                        </w:rPr>
                      </w:pPr>
                      <w:r>
                        <w:rPr>
                          <w:rFonts w:hint="eastAsia"/>
                          <w:sz w:val="13"/>
                          <w:szCs w:val="13"/>
                          <w:lang w:val="en-US" w:eastAsia="zh-CN"/>
                        </w:rPr>
                        <w:t>居民区范围</w:t>
                      </w:r>
                    </w:p>
                    <w:p w14:paraId="7E7E51F0">
                      <w:pPr>
                        <w:pStyle w:val="12"/>
                        <w:bidi w:val="0"/>
                        <w:rPr>
                          <w:rFonts w:hint="default"/>
                          <w:lang w:val="en-US" w:eastAsia="zh-CN"/>
                        </w:rPr>
                      </w:pPr>
                    </w:p>
                  </w:txbxContent>
                </v:textbox>
              </v:shape>
            </w:pict>
          </mc:Fallback>
        </mc:AlternateContent>
      </w:r>
      <w:r>
        <w:drawing>
          <wp:inline distT="0" distB="0" distL="114300" distR="114300">
            <wp:extent cx="8802370" cy="4310380"/>
            <wp:effectExtent l="0" t="0" r="17780" b="13970"/>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26"/>
                    <a:stretch>
                      <a:fillRect/>
                    </a:stretch>
                  </pic:blipFill>
                  <pic:spPr>
                    <a:xfrm>
                      <a:off x="0" y="0"/>
                      <a:ext cx="8802370" cy="4310380"/>
                    </a:xfrm>
                    <a:prstGeom prst="rect">
                      <a:avLst/>
                    </a:prstGeom>
                    <a:noFill/>
                    <a:ln>
                      <a:noFill/>
                    </a:ln>
                  </pic:spPr>
                </pic:pic>
              </a:graphicData>
            </a:graphic>
          </wp:inline>
        </w:drawing>
      </w:r>
      <w:r>
        <w:rPr>
          <w:sz w:val="24"/>
        </w:rPr>
        <mc:AlternateContent>
          <mc:Choice Requires="wps">
            <w:drawing>
              <wp:anchor distT="0" distB="0" distL="114300" distR="114300" simplePos="0" relativeHeight="251684864" behindDoc="0" locked="0" layoutInCell="1" allowOverlap="1">
                <wp:simplePos x="0" y="0"/>
                <wp:positionH relativeFrom="column">
                  <wp:posOffset>234950</wp:posOffset>
                </wp:positionH>
                <wp:positionV relativeFrom="paragraph">
                  <wp:posOffset>4074795</wp:posOffset>
                </wp:positionV>
                <wp:extent cx="339090" cy="155575"/>
                <wp:effectExtent l="6350" t="6350" r="16510" b="9525"/>
                <wp:wrapNone/>
                <wp:docPr id="72" name="矩形 72"/>
                <wp:cNvGraphicFramePr/>
                <a:graphic xmlns:a="http://schemas.openxmlformats.org/drawingml/2006/main">
                  <a:graphicData uri="http://schemas.microsoft.com/office/word/2010/wordprocessingShape">
                    <wps:wsp>
                      <wps:cNvSpPr/>
                      <wps:spPr>
                        <a:xfrm>
                          <a:off x="0" y="0"/>
                          <a:ext cx="339090" cy="155575"/>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pt;margin-top:320.85pt;height:12.25pt;width:26.7pt;z-index:251684864;v-text-anchor:middle;mso-width-relative:page;mso-height-relative:page;" filled="f" stroked="t" coordsize="21600,21600" o:gfxdata="UEsDBAoAAAAAAIdO4kAAAAAAAAAAAAAAAAAEAAAAZHJzL1BLAwQUAAAACACHTuJA2rAcfNcAAAAJ&#10;AQAADwAAAGRycy9kb3ducmV2LnhtbE2PMU/DMBCFdyT+g3VIbNROqRIa4nRAdGIA2kqsbuwmUe2z&#10;ZTtt+PccE4x399677zWb2Vl2MTGNHiUUCwHMYOf1iL2Ew3778AQsZYVaWY9GwrdJsGlvbxpVa3/F&#10;T3PZ5Z5RCKZaSRhyDjXnqRuMU2nhg0G6nXx0KtMYe66julK4s3wpRMmdGpE+DCqYl8F0593kCCPY&#10;j6Cn9/Phq5i38VW/JdVXUt7fFeIZWDZz/hPDLz55oCWmo59QJ2YlPFZUJUsoV0UFjARrsQJ2pEVZ&#10;LoG3Df/foP0BUEsDBBQAAAAIAIdO4kDOYIWPXgIAALUEAAAOAAAAZHJzL2Uyb0RvYy54bWytVM1u&#10;EzEQviPxDpbvdDdpQ2iUTRU1CkKqaKSCODteO7uS/7CdbMrLIHHjIXgcxGvw2bv9oXDogRycGc/4&#10;G3+fZ3Z+cdSKHIQPrTUVHZ2UlAjDbd2aXUU/fli/ekNJiMzUTFkjKnorAr1YvHwx79xMjG1jVS08&#10;AYgJs85VtInRzYoi8EZoFk6sEwZBab1mEa7fFbVnHdC1KsZl+brorK+dt1yEgN1VH6QDon8OoJWy&#10;5WJl+V4LE3tULxSLoBSa1gW6yLeVUvB4LWUQkaiKgmnMK4rA3qa1WMzZbOeZa1o+XIE95wpPOGnW&#10;GhS9h1qxyMjet39B6ZZ7G6yMJ9zqoieSFQGLUflEm5uGOZG5QOrg7kUP/w+Wvz9sPGnrik7HlBim&#10;8eK/vn7/+eMbwQbU6VyYIenGbfzgBZiJ6lF6nf5Bghyzorf3iopjJBybp6fn5Tm05giNJpPJdJIw&#10;i4fDzof4VlhNklFRjwfLOrLDVYh96l1KqmXsulUK+2ymDOkAOp6WCZ+hEyU6AKZ2YBPMjhKmdmhx&#10;Hn2GDFa1dTqeTge/214qTw4MjbFel/gNN/sjLdVesdD0eTk0pCkDHkmcXo5kbW19CzG97bssOL5u&#10;cf6KhbhhHm2Fi2Lw4jUWqSxubweLksb6L//aT/l4bUQp6dCmYPZ5z7ygRL0z6IPz0dkZYGN2zibT&#10;MRz/OLJ9HDF7fWlBeIQRdzybKT+qO1N6qz9hPpepKkLMcNTuNRycy9iPDyaci+Uyp6GXHYtX5sbx&#10;BN6/1HIfrWzzIz6oM4iGbs5tMExeGpfHfs56+Nos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a&#10;sBx81wAAAAkBAAAPAAAAAAAAAAEAIAAAACIAAABkcnMvZG93bnJldi54bWxQSwECFAAUAAAACACH&#10;TuJAzmCFj14CAAC1BAAADgAAAAAAAAABACAAAAAmAQAAZHJzL2Uyb0RvYy54bWxQSwUGAAAAAAYA&#10;BgBZAQAA9gUAAAAA&#10;">
                <v:fill on="f" focussize="0,0"/>
                <v:stroke weight="1pt" color="#FF0000 [2404]" joinstyle="round"/>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83840" behindDoc="0" locked="0" layoutInCell="1" allowOverlap="1">
                <wp:simplePos x="0" y="0"/>
                <wp:positionH relativeFrom="column">
                  <wp:posOffset>220345</wp:posOffset>
                </wp:positionH>
                <wp:positionV relativeFrom="paragraph">
                  <wp:posOffset>3741420</wp:posOffset>
                </wp:positionV>
                <wp:extent cx="338455" cy="157480"/>
                <wp:effectExtent l="6350" t="6350" r="17145" b="7620"/>
                <wp:wrapNone/>
                <wp:docPr id="71" name="矩形 71"/>
                <wp:cNvGraphicFramePr/>
                <a:graphic xmlns:a="http://schemas.openxmlformats.org/drawingml/2006/main">
                  <a:graphicData uri="http://schemas.microsoft.com/office/word/2010/wordprocessingShape">
                    <wps:wsp>
                      <wps:cNvSpPr/>
                      <wps:spPr>
                        <a:xfrm>
                          <a:off x="0" y="0"/>
                          <a:ext cx="338455" cy="157480"/>
                        </a:xfrm>
                        <a:prstGeom prst="rect">
                          <a:avLst/>
                        </a:prstGeom>
                        <a:solidFill>
                          <a:srgbClr val="002060">
                            <a:alpha val="26000"/>
                          </a:srgbClr>
                        </a:solidFill>
                        <a:ln w="12700" cap="flat" cmpd="sng" algn="ctr">
                          <a:solidFill>
                            <a:srgbClr val="FF0000"/>
                          </a:solidFill>
                          <a:prstDash val="solid"/>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5pt;margin-top:294.6pt;height:12.4pt;width:26.65pt;z-index:251683840;v-text-anchor:middle;mso-width-relative:page;mso-height-relative:page;" fillcolor="#002060" filled="t" stroked="t" coordsize="21600,21600" o:gfxdata="UEsDBAoAAAAAAIdO4kAAAAAAAAAAAAAAAAAEAAAAZHJzL1BLAwQUAAAACACHTuJA6wG2M9gAAAAJ&#10;AQAADwAAAGRycy9kb3ducmV2LnhtbE2Py07DMBBF90j8gzVI7KidNi0hxOkCwaIbJNyWtRsPSYQf&#10;Uew05e8ZVnQ5mqN7z622F2fZGcfYBy8hWwhg6Jtget9KOOzfHgpgMWlvtA0eJfxghG19e1Pp0oTZ&#10;f+BZpZZRiI+lltClNJScx6ZDp+MiDOjp9xVGpxOdY8vNqGcKd5Yvhdhwp3tPDZ0e8KXD5ltNToLd&#10;2eNnu5vNWvVqL9Rqen3PUcr7u0w8A0t4Sf8w/OmTOtTkdAqTN5FZCav8kUgJ6+JpCYyAoqBtJwmb&#10;LBfA64pfL6h/AVBLAwQUAAAACACHTuJA0j8R4H4CAAANBQAADgAAAGRycy9lMm9Eb2MueG1srVRL&#10;btswEN0X6B0I7hvJjh27huXAiOGiQNAESIuuaYqyBPBXkracXqZAdz1Ej1P0Gn2kFMdJu8iiG2mG&#10;M3oz73FG88uDkmQvnG+MLujgLKdEaG7KRm8L+unj+s2UEh+YLpk0WhT0Xnh6uXj9at7amRia2shS&#10;OAIQ7WetLWgdgp1lmee1UMyfGSs0gpVxigW4bpuVjrVAVzIb5vlF1hpXWme48B6nqy5Ie0T3EkBT&#10;VQ0XK8N3SujQoTohWQAlXzfW00XqtqoEDzdV5UUgsqBgGtITRWBv4jNbzNls65itG963wF7SwjNO&#10;ijUaRY9QKxYY2bnmLyjVcGe8qcIZNyrriCRFwGKQP9PmrmZWJC6Q2tuj6P7/wfIP+1tHmrKgkwEl&#10;minc+O9vP379/E5wAHVa62dIurO3rvc8zEj1UDkV3yBBDknR+6Oi4hAIx+H5+XQ0HlPCERqMJ6Np&#10;Ujx7/Ng6H94Jo0g0CupwYUlHtr/2AQWR+pASa3kjm3LdSJkct91cSUf2LF5uPswv8u5baWvWnQ4v&#10;8vyhpO/SE+YTHKlJi/aGE6QSzjDTFWYJprLQxestJUxusSw8uFTgydc9bFdvvUa9Y8HTZiOLFfN1&#10;l5cQorzgJ3UkI9Kw9qSj6J3M0dqY8h6X5Ew3vd7ydQO0a+bDLXMYV7SNhQ43eFTSgIvpLUpq477+&#10;6zzmY4oQpaTF+IPnlx1zghL5XmO+3g5Go7gvyRmNJ0M47jSyOY3onboyuASMELpLZswP8sGsnFGf&#10;sffLWBUhpjlqd4r2zlXo1hJ/Di6Wy5SGHbEsXOs7yyN41Emb5S6YqknD8agOlIwOtiRp2m90XMNT&#10;P2U9/sU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rAbYz2AAAAAkBAAAPAAAAAAAAAAEAIAAA&#10;ACIAAABkcnMvZG93bnJldi54bWxQSwECFAAUAAAACACHTuJA0j8R4H4CAAANBQAADgAAAAAAAAAB&#10;ACAAAAAnAQAAZHJzL2Uyb0RvYy54bWxQSwUGAAAAAAYABgBZAQAAFwYAAAAA&#10;">
                <v:fill on="t" opacity="17039f" focussize="0,0"/>
                <v:stroke weight="1pt" color="#FF0000 [2404]" joinstyle="round"/>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82816" behindDoc="0" locked="0" layoutInCell="1" allowOverlap="1">
                <wp:simplePos x="0" y="0"/>
                <wp:positionH relativeFrom="column">
                  <wp:posOffset>203200</wp:posOffset>
                </wp:positionH>
                <wp:positionV relativeFrom="paragraph">
                  <wp:posOffset>3450590</wp:posOffset>
                </wp:positionV>
                <wp:extent cx="394970" cy="152400"/>
                <wp:effectExtent l="0" t="0" r="5080" b="0"/>
                <wp:wrapNone/>
                <wp:docPr id="70" name="矩形 70"/>
                <wp:cNvGraphicFramePr/>
                <a:graphic xmlns:a="http://schemas.openxmlformats.org/drawingml/2006/main">
                  <a:graphicData uri="http://schemas.microsoft.com/office/word/2010/wordprocessingShape">
                    <wps:wsp>
                      <wps:cNvSpPr/>
                      <wps:spPr>
                        <a:xfrm>
                          <a:off x="0" y="0"/>
                          <a:ext cx="394970" cy="152400"/>
                        </a:xfrm>
                        <a:prstGeom prst="rect">
                          <a:avLst/>
                        </a:prstGeom>
                        <a:solidFill>
                          <a:srgbClr val="92D050">
                            <a:alpha val="46000"/>
                          </a:srgbClr>
                        </a:solidFill>
                        <a:ln w="25400" cap="flat" cmpd="sng" algn="ctr">
                          <a:noFill/>
                          <a:prstDash val="solid"/>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pt;margin-top:271.7pt;height:12pt;width:31.1pt;z-index:251682816;v-text-anchor:middle;mso-width-relative:page;mso-height-relative:page;" fillcolor="#92D050" filled="t" stroked="f" coordsize="21600,21600" o:gfxdata="UEsDBAoAAAAAAIdO4kAAAAAAAAAAAAAAAAAEAAAAZHJzL1BLAwQUAAAACACHTuJAOQjv99cAAAAJ&#10;AQAADwAAAGRycy9kb3ducmV2LnhtbE2PvU7DQBCEeyTe4bRIdOTOjmOC8TkFEg2CIg6k3tiLbeHb&#10;s3yXH96epYJydkaz35SbixvVieYweLaQLAwo4sa3A3cW3nfPd2tQISK3OHomC98UYFNdX5VYtP7M&#10;WzrVsVNSwqFAC32MU6F1aHpyGBZ+Ihbv088Oo8i50+2MZyl3o06NybXDgeVDjxM99dR81UdnYWe2&#10;b3mdakMvuA9Js3r96DhYe3uTmEdQkS7xLwy/+IIOlTAd/JHboEYLy1SmRAurbJmBksBDloI6yCG/&#10;z0BXpf6/oPoBUEsDBBQAAAAIAIdO4kBnsChwcgIAAOQEAAAOAAAAZHJzL2Uyb0RvYy54bWytVM1u&#10;EzEQviPxDpbvdDchaUnUTRU1KkKqaKWAODteO7uS/7CdbMrLIHHjIXgcxGvw2btNS+HQAxfv/O03&#10;M59nfH5x0IrshQ+tNRUdnZSUCMNt3ZptRT9+uHr1hpIQmamZskZU9E4EerF4+eK8c3Mxto1VtfAE&#10;ICbMO1fRJkY3L4rAG6FZOLFOGDil9ZpFqH5b1J51QNeqGJfladFZXztvuQgB1lXvpAOifw6glbLl&#10;YmX5TgsTe1QvFItoKTStC3SRq5VS8HgjZRCRqIqi05hPJIG8SWexOGfzrWeuaflQAntOCU960qw1&#10;SHqEWrHIyM63f0HplnsbrIwn3OqibyQzgi5G5RNu1g1zIvcCqoM7kh7+Hyx/v7/1pK0regZKDNO4&#10;8V9fv//88Y3AAHY6F+YIWrtbP2gBYmr1IL1OXzRBDpnRuyOj4hAJh/H1bDJLwByu0XQ8KTNm8fCz&#10;8yG+FVaTJFTU48Iyj2x/HSISIvQ+JOUKVrX1VatUVvx2c6k82TNc7my8Kqdl/69yDeutk9PymDL0&#10;4RnzDxxlSFfR8TRVRzjDTEvMEkTtwEswW0qY2mJZePQ5gbGphDw6qbgVC02fLsMm1lC2MqlGkWdw&#10;6CVx2bOXpI2t78C9t/1QBsevWqBdsxBvmccUohrsabzBIZVFiXaQKGms//Ive4rHcMBLSYepRvmf&#10;d8wLStQ7g7GZjSYTwMasTKZnYyj+sWfz2GN2+tKC2xFeBMezmOKjuhelt/oT1nmZssLFDEfunqhB&#10;uYz9tuFB4GK5zGEYfcfitVk7nsATT8Yud9HKNt/5AztgMikY/szpsKhpux7rOerhcVr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kI7/fXAAAACQEAAA8AAAAAAAAAAQAgAAAAIgAAAGRycy9kb3du&#10;cmV2LnhtbFBLAQIUABQAAAAIAIdO4kBnsChwcgIAAOQEAAAOAAAAAAAAAAEAIAAAACYBAABkcnMv&#10;ZTJvRG9jLnhtbFBLBQYAAAAABgAGAFkBAAAKBgAAAAA=&#10;">
                <v:fill on="t" opacity="30146f" focussize="0,0"/>
                <v:stroke on="f" weight="2pt"/>
                <v:imagedata o:title=""/>
                <o:lock v:ext="edit" aspectratio="f"/>
              </v:rect>
            </w:pict>
          </mc:Fallback>
        </mc:AlternateContent>
      </w:r>
      <w:r>
        <w:rPr>
          <w:rFonts w:hint="default" w:ascii="Times New Roman" w:hAnsi="Times New Roman" w:cs="Times New Roman"/>
          <w:sz w:val="24"/>
          <w:szCs w:val="24"/>
          <w:lang w:val="en-US" w:eastAsia="zh-CN"/>
        </w:rPr>
        <w:br w:type="page"/>
      </w:r>
    </w:p>
    <w:p w14:paraId="4928CF3D">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cs="Times New Roman"/>
          <w:sz w:val="24"/>
          <w:szCs w:val="24"/>
          <w:lang w:val="en-US" w:eastAsia="zh-CN"/>
        </w:rPr>
      </w:pPr>
      <w:bookmarkStart w:id="39" w:name="_Toc14852"/>
      <w:r>
        <w:rPr>
          <w:rFonts w:hint="default" w:ascii="Times New Roman" w:hAnsi="Times New Roman" w:cs="Times New Roman"/>
          <w:sz w:val="24"/>
          <w:szCs w:val="24"/>
          <w:lang w:val="en-US" w:eastAsia="zh-CN"/>
        </w:rPr>
        <w:t>附图4 污水排放路径图</w:t>
      </w:r>
      <w:bookmarkEnd w:id="39"/>
    </w:p>
    <w:p w14:paraId="3EDA5C4E">
      <w:pPr>
        <w:pStyle w:val="11"/>
        <w:keepNext w:val="0"/>
        <w:keepLines w:val="0"/>
        <w:pageBreakBefore w:val="0"/>
        <w:widowControl/>
        <w:kinsoku/>
        <w:wordWrap/>
        <w:overflowPunct/>
        <w:topLinePunct w:val="0"/>
        <w:autoSpaceDE/>
        <w:autoSpaceDN/>
        <w:bidi w:val="0"/>
        <w:adjustRightInd/>
        <w:snapToGrid w:val="0"/>
        <w:spacing w:line="260" w:lineRule="auto"/>
        <w:ind w:right="113"/>
        <w:textAlignment w:val="auto"/>
        <w:outlineLvl w:val="9"/>
        <w:rPr>
          <w:rFonts w:hint="default" w:ascii="Times New Roman" w:hAnsi="Times New Roman" w:cs="Times New Roman"/>
          <w:lang w:val="en-US" w:eastAsia="zh-CN"/>
        </w:rPr>
      </w:pPr>
      <w:r>
        <w:rPr>
          <w:sz w:val="24"/>
        </w:rPr>
        <w:drawing>
          <wp:anchor distT="0" distB="0" distL="114300" distR="114300" simplePos="0" relativeHeight="251663360" behindDoc="0" locked="0" layoutInCell="1" allowOverlap="1">
            <wp:simplePos x="0" y="0"/>
            <wp:positionH relativeFrom="column">
              <wp:posOffset>8185150</wp:posOffset>
            </wp:positionH>
            <wp:positionV relativeFrom="paragraph">
              <wp:posOffset>10795</wp:posOffset>
            </wp:positionV>
            <wp:extent cx="659765" cy="1116330"/>
            <wp:effectExtent l="0" t="0" r="6985" b="7620"/>
            <wp:wrapNone/>
            <wp:docPr id="41" name="图片 41"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6e8e39b692b65a258704f9f58e6b804"/>
                    <pic:cNvPicPr>
                      <a:picLocks noChangeAspect="1"/>
                    </pic:cNvPicPr>
                  </pic:nvPicPr>
                  <pic:blipFill>
                    <a:blip r:embed="rId22"/>
                    <a:stretch>
                      <a:fillRect/>
                    </a:stretch>
                  </pic:blipFill>
                  <pic:spPr>
                    <a:xfrm>
                      <a:off x="0" y="0"/>
                      <a:ext cx="659765" cy="1116330"/>
                    </a:xfrm>
                    <a:prstGeom prst="rect">
                      <a:avLst/>
                    </a:prstGeom>
                  </pic:spPr>
                </pic:pic>
              </a:graphicData>
            </a:graphic>
          </wp:anchor>
        </w:drawing>
      </w:r>
      <w:r>
        <w:rPr>
          <w:sz w:val="24"/>
          <w:szCs w:val="24"/>
        </w:rPr>
        <mc:AlternateContent>
          <mc:Choice Requires="wps">
            <w:drawing>
              <wp:anchor distT="0" distB="0" distL="114300" distR="114300" simplePos="0" relativeHeight="251673600" behindDoc="0" locked="0" layoutInCell="1" allowOverlap="1">
                <wp:simplePos x="0" y="0"/>
                <wp:positionH relativeFrom="column">
                  <wp:posOffset>38100</wp:posOffset>
                </wp:positionH>
                <wp:positionV relativeFrom="paragraph">
                  <wp:posOffset>3859530</wp:posOffset>
                </wp:positionV>
                <wp:extent cx="619760" cy="3175"/>
                <wp:effectExtent l="0" t="46355" r="8890" b="64770"/>
                <wp:wrapNone/>
                <wp:docPr id="32" name="直接箭头连接符 32"/>
                <wp:cNvGraphicFramePr/>
                <a:graphic xmlns:a="http://schemas.openxmlformats.org/drawingml/2006/main">
                  <a:graphicData uri="http://schemas.microsoft.com/office/word/2010/wordprocessingShape">
                    <wps:wsp>
                      <wps:cNvCnPr/>
                      <wps:spPr>
                        <a:xfrm>
                          <a:off x="0" y="0"/>
                          <a:ext cx="619760" cy="3175"/>
                        </a:xfrm>
                        <a:prstGeom prst="straightConnector1">
                          <a:avLst/>
                        </a:prstGeom>
                        <a:ln w="9525" cap="flat" cmpd="sng" algn="ctr">
                          <a:solidFill>
                            <a:srgbClr val="FF0000"/>
                          </a:solidFill>
                          <a:prstDash val="dash"/>
                          <a:tailEnd type="arrow" w="med" len="med"/>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pt;margin-top:303.9pt;height:0.25pt;width:48.8pt;z-index:251673600;mso-width-relative:page;mso-height-relative:page;" filled="f" stroked="t" coordsize="21600,21600" o:gfxdata="UEsDBAoAAAAAAIdO4kAAAAAAAAAAAAAAAAAEAAAAZHJzL1BLAwQUAAAACACHTuJAOV2KB9UAAAAJ&#10;AQAADwAAAGRycy9kb3ducmV2LnhtbE2PMW/CMBCF90r9D9ZV6lZsQCQQ4jAgdSpLKWI+4iMJjc9p&#10;bAL993UmOp3u3tO77+Wbu23FQL1vHGuYThQI4tKZhisNh6/3tyUIH5ANto5Jwy952BTPTzlmxt34&#10;k4Z9qEQMYZ+hhjqELpPSlzVZ9BPXEUft7HqLIa59JU2PtxhuWzlTKpEWG44fauxoW1P5vb9aDbhT&#10;Hz+r6nhJ08W2HC4Sd2aWaP36MlVrEIHu4WGGET+iQxGZTu7KxotWQxKbhHGkscGoq3kC4jRelnOQ&#10;RS7/Nyj+AFBLAwQUAAAACACHTuJA8+dqzwkCAADcAwAADgAAAGRycy9lMm9Eb2MueG1srVPNjtMw&#10;EL4j8Q6W7zRtV+2yUdM9tJQLgkrAA0wdJ7HkP429TfsSvAASJ+AEe9o7TwPLYzBOQheWyx7IwRnP&#10;eL6Z7/N4cXkwmu0lBuVswSejMWfSClcqWxf87ZvNk6echQi2BO2sLPhRBn65fPxo0fpcTl3jdCmR&#10;EYgNeesL3sTo8ywLopEGwsh5aSlYOTQQaYt1ViK0hG50Nh2P51nrsPTohAyBvOs+yAdEfAigqyol&#10;5NqJKyNt7FFRaohEKTTKB77suq0qKeKrqgoyMl1wYhq7lYqQvUtrtlxAXiP4RomhBXhIC/c4GVCW&#10;ip6g1hCBXaH6B8oogS64Ko6EM1lPpFOEWEzG97R53YCXHReSOviT6OH/wYqX+y0yVRb8bMqZBUM3&#10;fvv+5se7T7fXX79/vPn57UOyv3xmFCexWh9yylnZLQ674LeYmB8qNOlPnNihE/h4ElgeIhPknE8u&#10;zuckvaDQ2eR8lhCzu1SPIT6XzrBkFDxEBFU3ceWspYt0OOkkhv2LEPvE3wmprnUbpTX5IdeWtQW/&#10;mE1nVApoRiuaDTKNJ57B1pyBrmn4RcQOMTitypSdkgPWu5VGtgcamc1mTN/Q5l/HUuk1hKY/V5KV&#10;TkEeQelntmTx6ElKQHQtT90YWXKmJVVNVt++tkQ/KdprmKydK4+dtJ2fLr0TaBjQNFV/7rvsu0e5&#10;/A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5XYoH1QAAAAkBAAAPAAAAAAAAAAEAIAAAACIAAABk&#10;cnMvZG93bnJldi54bWxQSwECFAAUAAAACACHTuJA8+dqzwkCAADcAwAADgAAAAAAAAABACAAAAAk&#10;AQAAZHJzL2Uyb0RvYy54bWxQSwUGAAAAAAYABgBZAQAAnwUAAAAA&#10;">
                <v:fill on="f" focussize="0,0"/>
                <v:stroke color="#FF0000 [3204]" joinstyle="round" dashstyle="dash" endarrow="open"/>
                <v:imagedata o:title=""/>
                <o:lock v:ext="edit" aspectratio="f"/>
              </v:shape>
            </w:pict>
          </mc:Fallback>
        </mc:AlternateContent>
      </w:r>
      <w:r>
        <w:rPr>
          <w:sz w:val="24"/>
          <w:szCs w:val="24"/>
        </w:rPr>
        <mc:AlternateContent>
          <mc:Choice Requires="wps">
            <w:drawing>
              <wp:anchor distT="0" distB="0" distL="114300" distR="114300" simplePos="0" relativeHeight="251674624" behindDoc="0" locked="0" layoutInCell="1" allowOverlap="1">
                <wp:simplePos x="0" y="0"/>
                <wp:positionH relativeFrom="column">
                  <wp:posOffset>48260</wp:posOffset>
                </wp:positionH>
                <wp:positionV relativeFrom="paragraph">
                  <wp:posOffset>4129405</wp:posOffset>
                </wp:positionV>
                <wp:extent cx="580390" cy="3175"/>
                <wp:effectExtent l="0" t="0" r="0" b="0"/>
                <wp:wrapNone/>
                <wp:docPr id="33" name="直接连接符 33"/>
                <wp:cNvGraphicFramePr/>
                <a:graphic xmlns:a="http://schemas.openxmlformats.org/drawingml/2006/main">
                  <a:graphicData uri="http://schemas.microsoft.com/office/word/2010/wordprocessingShape">
                    <wps:wsp>
                      <wps:cNvCnPr/>
                      <wps:spPr>
                        <a:xfrm>
                          <a:off x="0" y="0"/>
                          <a:ext cx="580390" cy="317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8pt;margin-top:325.15pt;height:0.25pt;width:45.7pt;z-index:251674624;mso-width-relative:page;mso-height-relative:page;" filled="f" stroked="t" coordsize="21600,21600" o:gfxdata="UEsDBAoAAAAAAIdO4kAAAAAAAAAAAAAAAAAEAAAAZHJzL1BLAwQUAAAACACHTuJARUF0kdYAAAAI&#10;AQAADwAAAGRycy9kb3ducmV2LnhtbE2PwU7DMBBE70j8g7VI3KhdEGka4vRQFfXApQQkrpvYxFFi&#10;O9huG/6ehQs97sxo9k25me3ITjrE3jsJy4UApl3rVe86Ce9vz3c5sJjQKRy90xK+dYRNdX1VYqH8&#10;2b3qU506RiUuFijBpDQVnMfWaItx4SftyPv0wWKiM3RcBTxTuR35vRAZt9g7+mBw0luj26E+Wgnj&#10;rplDfhhqsz+8DF8fO9yvtijl7c1SPAFLek7/YfjFJ3SoiKnxR6ciGyWsMgpKyB7FAzDy12ua1vwJ&#10;OfCq5JcDqh9QSwMEFAAAAAgAh07iQFimqp3aAQAAnwMAAA4AAABkcnMvZTJvRG9jLnhtbK1TzY7T&#10;MBC+I/EOlu80aUthiZruYavlgqAS8ABTx0ks+U8eb9O+BC+AxA1OHLnzNiyPwdgJXVgueyAHZzw/&#10;n+f7PF5fHo1mBxlQOVvz+azkTFrhGmW7mr9/d/3kgjOMYBvQzsqanyTyy83jR+vBV3LheqcbGRiB&#10;WKwGX/M+Rl8VBYpeGsCZ89JSsHXBQKRt6IomwEDoRheLsnxWDC40PjghEcm7HYN8QgwPAXRtq4Tc&#10;OnFjpI0japAaIlHCXnnkm9xt20oR37Qtysh0zYlpzCsdQvY+rcVmDVUXwPdKTC3AQ1q4x8mAsnTo&#10;GWoLEdhNUP9AGSWCQ9fGmXCmGIlkRYjFvLynzdsevMxcSGr0Z9Hx/8GK14ddYKqp+XLJmQVDN377&#10;8duPD59/fv9E6+3XL4wiJNPgsaLsK7sL0w79LiTOxzaY9Cc27JilPZ2llcfIBDlXF+XyBYkuKLSc&#10;P18lxOKu1AeML6UzLBk118om3lDB4RXGMfV3SnJbd620Jj9U2rKh5ovV0zKhAw1kS4NApvFECm3H&#10;GeiOJl3EkCHRadWk8lSNodtf6cAOkOYjf1Nnf6Wls7eA/ZiXQ1OatsQjSTOKkay9a05Zo+yne8tM&#10;pxlLg/HnPlffvavN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EVBdJHWAAAACAEAAA8AAAAAAAAA&#10;AQAgAAAAIgAAAGRycy9kb3ducmV2LnhtbFBLAQIUABQAAAAIAIdO4kBYpqqd2gEAAJ8DAAAOAAAA&#10;AAAAAAEAIAAAACUBAABkcnMvZTJvRG9jLnhtbFBLBQYAAAAABgAGAFkBAABxBQAAAAA=&#10;">
                <v:fill on="f" focussize="0,0"/>
                <v:stroke weight="2pt" color="#000000 [3213]" joinstyle="round"/>
                <v:imagedata o:title=""/>
                <o:lock v:ext="edit" aspectratio="f"/>
              </v:line>
            </w:pict>
          </mc:Fallback>
        </mc:AlternateContent>
      </w:r>
      <w:r>
        <w:rPr>
          <w:sz w:val="24"/>
          <w:szCs w:val="24"/>
        </w:rPr>
        <mc:AlternateContent>
          <mc:Choice Requires="wps">
            <w:drawing>
              <wp:anchor distT="0" distB="0" distL="114300" distR="114300" simplePos="0" relativeHeight="251672576" behindDoc="0" locked="0" layoutInCell="1" allowOverlap="1">
                <wp:simplePos x="0" y="0"/>
                <wp:positionH relativeFrom="column">
                  <wp:posOffset>28575</wp:posOffset>
                </wp:positionH>
                <wp:positionV relativeFrom="paragraph">
                  <wp:posOffset>3377565</wp:posOffset>
                </wp:positionV>
                <wp:extent cx="1402715" cy="970280"/>
                <wp:effectExtent l="4445" t="4445" r="21590" b="15875"/>
                <wp:wrapNone/>
                <wp:docPr id="21" name="文本框 21"/>
                <wp:cNvGraphicFramePr/>
                <a:graphic xmlns:a="http://schemas.openxmlformats.org/drawingml/2006/main">
                  <a:graphicData uri="http://schemas.microsoft.com/office/word/2010/wordprocessingShape">
                    <wps:wsp>
                      <wps:cNvSpPr txBox="1"/>
                      <wps:spPr>
                        <a:xfrm>
                          <a:off x="0" y="0"/>
                          <a:ext cx="1402715" cy="9702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A0AAF29">
                            <w:pPr>
                              <w:jc w:val="center"/>
                              <w:rPr>
                                <w:rFonts w:hint="eastAsia"/>
                                <w:lang w:val="en-US" w:eastAsia="zh-CN"/>
                              </w:rPr>
                            </w:pPr>
                            <w:r>
                              <w:rPr>
                                <w:rFonts w:hint="eastAsia"/>
                                <w:lang w:val="en-US" w:eastAsia="zh-CN"/>
                              </w:rPr>
                              <w:t>图例</w:t>
                            </w:r>
                          </w:p>
                          <w:p w14:paraId="1CB430F9">
                            <w:pPr>
                              <w:pStyle w:val="11"/>
                              <w:wordWrap w:val="0"/>
                              <w:ind w:left="180" w:hanging="210" w:hangingChars="100"/>
                              <w:jc w:val="right"/>
                              <w:rPr>
                                <w:rFonts w:hint="eastAsia"/>
                                <w:sz w:val="21"/>
                                <w:szCs w:val="21"/>
                                <w:lang w:val="en-US" w:eastAsia="zh-CN"/>
                              </w:rPr>
                            </w:pPr>
                            <w:r>
                              <w:rPr>
                                <w:rFonts w:hint="eastAsia"/>
                                <w:sz w:val="21"/>
                                <w:szCs w:val="21"/>
                                <w:lang w:val="en-US" w:eastAsia="zh-CN"/>
                              </w:rPr>
                              <w:t>水流方向</w:t>
                            </w:r>
                          </w:p>
                          <w:p w14:paraId="1FC78A59">
                            <w:pPr>
                              <w:pStyle w:val="11"/>
                              <w:wordWrap w:val="0"/>
                              <w:ind w:left="180" w:hanging="210" w:hangingChars="100"/>
                              <w:jc w:val="right"/>
                              <w:rPr>
                                <w:rFonts w:hint="default"/>
                                <w:sz w:val="24"/>
                                <w:szCs w:val="24"/>
                                <w:lang w:val="en-US" w:eastAsia="zh-CN"/>
                              </w:rPr>
                            </w:pPr>
                            <w:r>
                              <w:rPr>
                                <w:rFonts w:hint="eastAsia"/>
                                <w:sz w:val="21"/>
                                <w:szCs w:val="21"/>
                                <w:lang w:val="en-US" w:eastAsia="zh-CN"/>
                              </w:rPr>
                              <w:t xml:space="preserve">路径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pt;margin-top:265.95pt;height:76.4pt;width:110.45pt;z-index:251672576;mso-width-relative:page;mso-height-relative:page;" fillcolor="#FFFFFF [3201]" filled="t" stroked="t" coordsize="21600,21600" o:gfxdata="UEsDBAoAAAAAAIdO4kAAAAAAAAAAAAAAAAAEAAAAZHJzL1BLAwQUAAAACACHTuJAbYi7FtYAAAAJ&#10;AQAADwAAAGRycy9kb3ducmV2LnhtbE2PzU7DMBCE70i8g7VI3KjzTwnZVAIJCXGj5MLNjbdJhL2O&#10;Yrcpb485wXE0o5lvmt3FGnGmxU+OEdJNAoK4d3riAaH7eLnbgvBBsVbGMSF8k4dde33VqFq7ld/p&#10;vA+DiCXsa4UwhjDXUvp+JKv8xs3E0Tu6xaoQ5TJIvag1llsjsySppFUTx4VRzfQ8Uv+1P1mE1+op&#10;fFKn33Se5W7tZL8cjUe8vUmTRxCBLuEvDL/4ER3ayHRwJ9ZeGISijEGEMk8fQEQ/y8oCxAGh2hb3&#10;INtG/n/Q/gBQSwMEFAAAAAgAh07iQC7UYfNbAgAAuQQAAA4AAABkcnMvZTJvRG9jLnhtbK1UzY4T&#10;MQy+I/EOUe50pqXdn2qnq9KqCKliV1oQ5zST6UQkcUjSzpQHYN+AExfuPNc+B06m7f5x2AM9pHbs&#10;fLY/23Nx2WpFtsJ5Caag/V5OiTAcSmnWBf38afHmjBIfmCmZAiMKuhOeXk5ev7po7FgMoAZVCkcQ&#10;xPhxYwtah2DHWeZ5LTTzPbDCoLECp1lA1a2z0rEG0bXKBnl+kjXgSuuAC+/xdt4Z6R7RvQQQqkpy&#10;MQe+0cKEDtUJxQKW5GtpPZ2kbKtK8HBVVV4EogqKlYZ0YhCUV/HMJhdsvHbM1pLvU2AvSeFJTZpJ&#10;g0GPUHMWGNk4+QxKS+7AQxV6HHTWFZIYwSr6+RNubmpmRaoFqfb2SLr/f7D84/baEVkWdNCnxDCN&#10;Hb/7eXv368/d7x8E75Cgxvox+t1Y9AztO2hxbA73Hi9j3W3ldPzHigjakd7dkV7RBsLjo2E+OO2P&#10;KOFoOz/NB2eJ/+z+tXU+vBegSRQK6rB9iVW2XfqAmaDrwSUG86BkuZBKJcWtVzPlyJZhqxfpF5PE&#10;J4/clCFNQU/ejvKE/MgWsY8QK8X41+cIiKcMwkZSuuKjFNpVu2dqBeUOiXLQzZq3fCERd8l8uGYO&#10;hwu5wfULV3hUCjAZ2EuU1OC+/+s++mPP0UpJg8NaUP9tw5ygRH0wOA3n/eEwTndShqPTASruoWX1&#10;0GI2egZIEjYcs0ti9A/qIFYO9Bfc0mmMiiZmOMYuaDiIs9CtEG45F9NpcsJ5tiwszY3lETq2xMB0&#10;E6CSqXWRpo6bPXs40ak9++2LK/NQT173X5zJ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2IuxbW&#10;AAAACQEAAA8AAAAAAAAAAQAgAAAAIgAAAGRycy9kb3ducmV2LnhtbFBLAQIUABQAAAAIAIdO4kAu&#10;1GHzWwIAALkEAAAOAAAAAAAAAAEAIAAAACUBAABkcnMvZTJvRG9jLnhtbFBLBQYAAAAABgAGAFkB&#10;AADyBQAAAAA=&#10;">
                <v:fill on="t" focussize="0,0"/>
                <v:stroke weight="0.5pt" color="#000000 [3204]" joinstyle="round"/>
                <v:imagedata o:title=""/>
                <o:lock v:ext="edit" aspectratio="f"/>
                <v:textbox>
                  <w:txbxContent>
                    <w:p w14:paraId="7A0AAF29">
                      <w:pPr>
                        <w:jc w:val="center"/>
                        <w:rPr>
                          <w:rFonts w:hint="eastAsia"/>
                          <w:lang w:val="en-US" w:eastAsia="zh-CN"/>
                        </w:rPr>
                      </w:pPr>
                      <w:r>
                        <w:rPr>
                          <w:rFonts w:hint="eastAsia"/>
                          <w:lang w:val="en-US" w:eastAsia="zh-CN"/>
                        </w:rPr>
                        <w:t>图例</w:t>
                      </w:r>
                    </w:p>
                    <w:p w14:paraId="1CB430F9">
                      <w:pPr>
                        <w:pStyle w:val="11"/>
                        <w:wordWrap w:val="0"/>
                        <w:ind w:left="180" w:hanging="210" w:hangingChars="100"/>
                        <w:jc w:val="right"/>
                        <w:rPr>
                          <w:rFonts w:hint="eastAsia"/>
                          <w:sz w:val="21"/>
                          <w:szCs w:val="21"/>
                          <w:lang w:val="en-US" w:eastAsia="zh-CN"/>
                        </w:rPr>
                      </w:pPr>
                      <w:r>
                        <w:rPr>
                          <w:rFonts w:hint="eastAsia"/>
                          <w:sz w:val="21"/>
                          <w:szCs w:val="21"/>
                          <w:lang w:val="en-US" w:eastAsia="zh-CN"/>
                        </w:rPr>
                        <w:t>水流方向</w:t>
                      </w:r>
                    </w:p>
                    <w:p w14:paraId="1FC78A59">
                      <w:pPr>
                        <w:pStyle w:val="11"/>
                        <w:wordWrap w:val="0"/>
                        <w:ind w:left="180" w:hanging="210" w:hangingChars="100"/>
                        <w:jc w:val="right"/>
                        <w:rPr>
                          <w:rFonts w:hint="default"/>
                          <w:sz w:val="24"/>
                          <w:szCs w:val="24"/>
                          <w:lang w:val="en-US" w:eastAsia="zh-CN"/>
                        </w:rPr>
                      </w:pPr>
                      <w:r>
                        <w:rPr>
                          <w:rFonts w:hint="eastAsia"/>
                          <w:sz w:val="21"/>
                          <w:szCs w:val="21"/>
                          <w:lang w:val="en-US" w:eastAsia="zh-CN"/>
                        </w:rPr>
                        <w:t xml:space="preserve">路径  </w:t>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column">
                  <wp:posOffset>3382645</wp:posOffset>
                </wp:positionH>
                <wp:positionV relativeFrom="paragraph">
                  <wp:posOffset>725805</wp:posOffset>
                </wp:positionV>
                <wp:extent cx="1609725" cy="85725"/>
                <wp:effectExtent l="0" t="44450" r="9525" b="22225"/>
                <wp:wrapNone/>
                <wp:docPr id="12" name="直接箭头连接符 12"/>
                <wp:cNvGraphicFramePr/>
                <a:graphic xmlns:a="http://schemas.openxmlformats.org/drawingml/2006/main">
                  <a:graphicData uri="http://schemas.microsoft.com/office/word/2010/wordprocessingShape">
                    <wps:wsp>
                      <wps:cNvCnPr/>
                      <wps:spPr>
                        <a:xfrm flipV="1">
                          <a:off x="4277995" y="2120265"/>
                          <a:ext cx="1609725" cy="85725"/>
                        </a:xfrm>
                        <a:prstGeom prst="straightConnector1">
                          <a:avLst/>
                        </a:prstGeom>
                        <a:ln w="9525" cap="flat" cmpd="sng" algn="ctr">
                          <a:solidFill>
                            <a:srgbClr val="FF0000"/>
                          </a:solidFill>
                          <a:prstDash val="dash"/>
                          <a:tailEnd type="arrow" w="med" len="med"/>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6.35pt;margin-top:57.15pt;height:6.75pt;width:126.75pt;z-index:251664384;mso-width-relative:page;mso-height-relative:page;" filled="f" stroked="t" coordsize="21600,21600" o:gfxdata="UEsDBAoAAAAAAIdO4kAAAAAAAAAAAAAAAAAEAAAAZHJzL1BLAwQUAAAACACHTuJA2SYz89gAAAAL&#10;AQAADwAAAGRycy9kb3ducmV2LnhtbE2PwU7DMAyG70i8Q2QkbixtWtaqNN0BiStoY5N2zBqvjWiS&#10;qsnWsqfHnOBo/78+f643ix3YFadgvJOQrhJg6Fqvjesk7D/fnkpgISqn1eAdSvjGAJvm/q5Wlfaz&#10;2+J1FztGEBcqJaGPcaw4D22PVoWVH9FRdvaTVZHGqeN6UjPB7cBFkqy5VcbRhV6N+Npj+7W7WAnP&#10;4/H9Zj5mn93MErcHkZvjkEv5+JAmL8AiLvGvDL/6pA4NOZ38xenABmJkoqAqBWmeAaNGUa4FsBNt&#10;RFECb2r+/4fmB1BLAwQUAAAACACHTuJA7P2SIBsCAAD0AwAADgAAAGRycy9lMm9Eb2MueG1srVPN&#10;jtMwEL4j8Q6W7zRpRNtt1XQPLeWCYCV+7q7jJJb8pxlv074EL4DECTixnPbO08DyGIyTssBy2QM5&#10;WJ/tmW/m+zJenh+sYXsFqL0r+XiUc6ac9JV2Tclfv9o+OuMMo3CVMN6pkh8V8vPVwwfLLixU4Vtv&#10;KgWMSBwuulDyNsawyDKUrbICRz4oR5e1BysibaHJKhAdsVuTFXk+zToPVQAvFSKdboZLfmKE+xD6&#10;utZSbby8tMrFgRWUEZEkYasD8lXfbV0rGV/UNarITMlJaexXKkJ4l9ZstRSLBkRotTy1IO7Twh1N&#10;VmhHRW+pNiIKdgn6HyqrJXj0dRxJb7NBSO8IqRjnd7x52Yqgei1kNYZb0/H/0crn+wtguqJJKDhz&#10;wtIfv3l3/f3tx5svV98+XP/4+j7hz58Y3ZNZXcAF5azdBZx2GC4gKT/UYFltdHhDXL0XpI4dSv64&#10;mM3m8wlnx5IX4yIvppPBdnWITFLAeJrPZwUFSIo4myRI3NlAmagDYHyqvGUJlBwjCN20ce2dox/s&#10;YSgn9s8wDom/ElKy81ttDJ2LhXGsK/l80tcSNLs1zQyVtYH0o2s4E6ahRyEj9ALQG12l7JSM0OzW&#10;Bthe0Chttzl9pzb/CkulNwLbIa4iNIiNQpsnrmLxGMhiAeA7nrqxquLMKKqa0NC+cSQ/OT14m9DO&#10;V8fe8v6chqE36DS4adr+3PfZvx/r6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ZJjPz2AAAAAsB&#10;AAAPAAAAAAAAAAEAIAAAACIAAABkcnMvZG93bnJldi54bWxQSwECFAAUAAAACACHTuJA7P2SIBsC&#10;AAD0AwAADgAAAAAAAAABACAAAAAnAQAAZHJzL2Uyb0RvYy54bWxQSwUGAAAAAAYABgBZAQAAtAUA&#10;AAAA&#10;">
                <v:fill on="f" focussize="0,0"/>
                <v:stroke color="#FF0000 [3204]" joinstyle="round" dashstyle="dash" endarrow="open"/>
                <v:imagedata o:title=""/>
                <o:lock v:ext="edit" aspectratio="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1372870</wp:posOffset>
                </wp:positionH>
                <wp:positionV relativeFrom="paragraph">
                  <wp:posOffset>1623060</wp:posOffset>
                </wp:positionV>
                <wp:extent cx="514350" cy="1114425"/>
                <wp:effectExtent l="4445" t="0" r="14605" b="9525"/>
                <wp:wrapNone/>
                <wp:docPr id="11" name="直接箭头连接符 11"/>
                <wp:cNvGraphicFramePr/>
                <a:graphic xmlns:a="http://schemas.openxmlformats.org/drawingml/2006/main">
                  <a:graphicData uri="http://schemas.microsoft.com/office/word/2010/wordprocessingShape">
                    <wps:wsp>
                      <wps:cNvCnPr/>
                      <wps:spPr>
                        <a:xfrm flipV="1">
                          <a:off x="0" y="0"/>
                          <a:ext cx="514350" cy="1114425"/>
                        </a:xfrm>
                        <a:prstGeom prst="straightConnector1">
                          <a:avLst/>
                        </a:prstGeom>
                        <a:ln w="9525" cap="flat" cmpd="sng" algn="ctr">
                          <a:solidFill>
                            <a:srgbClr val="FF0000"/>
                          </a:solidFill>
                          <a:prstDash val="dash"/>
                          <a:tailEnd type="arrow" w="med" len="med"/>
                        </a:ln>
                      </wps:spPr>
                      <wps:style>
                        <a:lnRef idx="0">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08.1pt;margin-top:127.8pt;height:87.75pt;width:40.5pt;z-index:251671552;mso-width-relative:page;mso-height-relative:page;" filled="f" stroked="t" coordsize="21600,21600" o:gfxdata="UEsDBAoAAAAAAIdO4kAAAAAAAAAAAAAAAAAEAAAAZHJzL1BLAwQUAAAACACHTuJAEcff+9gAAAAL&#10;AQAADwAAAGRycy9kb3ducmV2LnhtbE2Py07DMBBF90j8gzVI7KjjNAkQ4nSBxBbUFqQu3XhILPyI&#10;YrcJ/XqGFezmcXTnTLNZnGVnnKIJXoJYZcDQd0Eb30t437/cPQCLSXmtbPAo4RsjbNrrq0bVOsx+&#10;i+dd6hmF+FgrCUNKY8157AZ0Kq7CiJ52n2FyKlE79VxPaqZwZ3meZRV3yni6MKgRnwfsvnYnJ6Ec&#10;D68X8zaH9cUsafuRF+ZgCylvb0T2BCzhkv5g+NUndWjJ6RhOXkdmJeSiygmloiwrYETkj/c0OUoo&#10;1kIAbxv+/4f2B1BLAwQUAAAACACHTuJAa+53JBACAADpAwAADgAAAGRycy9lMm9Eb2MueG1srVPN&#10;jtMwEL4j8Q6W7zRNaRFETffQUi4IKvFznzpOYsl/Gnub9iV4ASROwAk47Z2ngeUxGCehwHLZAz5Y&#10;4xnPN/N9Hi8vjkazg8SgnC15PplyJq1wlbJNyV+93N57yFmIYCvQzsqSn2TgF6u7d5adL+TMtU5X&#10;EhmB2FB0vuRtjL7IsiBaaSBMnJeWgrVDA5GO2GQVQkfoRmez6fRB1jmsPDohQyDvZgjyERFvA+jq&#10;Wgm5ceLSSBsHVJQaIlEKrfKBr/pu61qK+Lyug4xMl5yYxn6nImTv056tllA0CL5VYmwBbtPCDU4G&#10;lKWiZ6gNRGCXqP6BMkqgC66OE+FMNhDpFSEW+fSGNi9a8LLnQlIHfxY9/D9Y8eywQ6YqmoScMwuG&#10;Xvz67dX3Nx+uv3z+9v7qx9d3yf70kVGcxOp8KChnbXc4noLfYWJ+rNGwWiv/mrB6LYgdO/ZSn85S&#10;y2NkgpyLfH5/QY8gKJTn+Xw+WyT4bMBJeB5DfCKdYckoeYgIqmnj2llLr+pwqAGHpyEOib8SUrJ1&#10;W6U1+aHQlnUlf7SgAkwADWxNg0Km8UQ62IYz0A39BBGx7zo4raqUnZIDNvu1RnYAmp/tdkprbPOv&#10;a6n0BkI73KvISregiKD0Y1uxePKkKyC6jqdujKw405KqJmtoX1uin+QdBE3W3lWnXufeTxPQCzRO&#10;axqxP8999u8fuvo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Ecff+9gAAAALAQAADwAAAAAAAAAB&#10;ACAAAAAiAAAAZHJzL2Rvd25yZXYueG1sUEsBAhQAFAAAAAgAh07iQGvudyQQAgAA6QMAAA4AAAAA&#10;AAAAAQAgAAAAJwEAAGRycy9lMm9Eb2MueG1sUEsFBgAAAAAGAAYAWQEAAKkFAAAAAA==&#10;">
                <v:fill on="f" focussize="0,0"/>
                <v:stroke color="#FF0000 [3204]" joinstyle="round" dashstyle="dash" endarrow="open"/>
                <v:imagedata o:title=""/>
                <o:lock v:ext="edit" aspectratio="f"/>
              </v:shape>
            </w:pict>
          </mc:Fallback>
        </mc:AlternateContent>
      </w:r>
      <w:r>
        <w:rPr>
          <w:rFonts w:hint="default" w:ascii="Times New Roman" w:hAnsi="Times New Roman" w:cs="Times New Roman"/>
          <w:lang w:val="en-US" w:eastAsia="zh-CN"/>
        </w:rPr>
        <w:drawing>
          <wp:inline distT="0" distB="0" distL="114300" distR="114300">
            <wp:extent cx="8854440" cy="4475480"/>
            <wp:effectExtent l="0" t="0" r="3810" b="1270"/>
            <wp:docPr id="34" name="图片 34" descr="微信截图_2025042816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截图_20250428164931"/>
                    <pic:cNvPicPr>
                      <a:picLocks noChangeAspect="1"/>
                    </pic:cNvPicPr>
                  </pic:nvPicPr>
                  <pic:blipFill>
                    <a:blip r:embed="rId27"/>
                    <a:stretch>
                      <a:fillRect/>
                    </a:stretch>
                  </pic:blipFill>
                  <pic:spPr>
                    <a:xfrm>
                      <a:off x="0" y="0"/>
                      <a:ext cx="8854440" cy="4475480"/>
                    </a:xfrm>
                    <a:prstGeom prst="rect">
                      <a:avLst/>
                    </a:prstGeom>
                  </pic:spPr>
                </pic:pic>
              </a:graphicData>
            </a:graphic>
          </wp:inline>
        </w:drawing>
      </w:r>
    </w:p>
    <w:p w14:paraId="3A6178DA">
      <w:pPr>
        <w:rPr>
          <w:rFonts w:hint="default"/>
          <w:lang w:val="en-US" w:eastAsia="zh-CN"/>
        </w:rPr>
      </w:pPr>
      <w:r>
        <w:rPr>
          <w:rFonts w:hint="default"/>
          <w:lang w:val="en-US" w:eastAsia="zh-CN"/>
        </w:rPr>
        <w:br w:type="page"/>
      </w:r>
    </w:p>
    <w:p w14:paraId="39FA2F84">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textAlignment w:val="auto"/>
        <w:outlineLvl w:val="0"/>
        <w:rPr>
          <w:rFonts w:hint="eastAsia"/>
          <w:sz w:val="24"/>
          <w:szCs w:val="24"/>
          <w:lang w:val="en-US" w:eastAsia="zh-CN"/>
        </w:rPr>
      </w:pPr>
      <w:bookmarkStart w:id="40" w:name="_Toc25152"/>
      <w:r>
        <w:rPr>
          <w:rFonts w:hint="eastAsia"/>
          <w:sz w:val="24"/>
          <w:szCs w:val="24"/>
          <w:lang w:val="en-US" w:eastAsia="zh-CN"/>
        </w:rPr>
        <w:t>附图5 噪声现状监测点位图</w:t>
      </w:r>
      <w:bookmarkEnd w:id="40"/>
    </w:p>
    <w:p w14:paraId="63A26C37">
      <w:pPr>
        <w:pStyle w:val="12"/>
        <w:bidi w:val="0"/>
        <w:rPr>
          <w:rFonts w:hint="default" w:ascii="Times New Roman" w:hAnsi="Times New Roman" w:eastAsia="宋体" w:cs="Times New Roman"/>
          <w:b w:val="0"/>
          <w:bCs/>
          <w:sz w:val="28"/>
          <w:szCs w:val="28"/>
          <w:lang w:val="en-US" w:eastAsia="zh-CN"/>
        </w:rPr>
      </w:pPr>
      <w:r>
        <w:rPr>
          <w:sz w:val="24"/>
        </w:rPr>
        <w:drawing>
          <wp:anchor distT="0" distB="0" distL="114300" distR="114300" simplePos="0" relativeHeight="251675648" behindDoc="0" locked="0" layoutInCell="1" allowOverlap="1">
            <wp:simplePos x="0" y="0"/>
            <wp:positionH relativeFrom="column">
              <wp:posOffset>8206740</wp:posOffset>
            </wp:positionH>
            <wp:positionV relativeFrom="paragraph">
              <wp:posOffset>55880</wp:posOffset>
            </wp:positionV>
            <wp:extent cx="659765" cy="1116330"/>
            <wp:effectExtent l="0" t="0" r="6985" b="7620"/>
            <wp:wrapNone/>
            <wp:docPr id="57" name="图片 57"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6e8e39b692b65a258704f9f58e6b804"/>
                    <pic:cNvPicPr>
                      <a:picLocks noChangeAspect="1"/>
                    </pic:cNvPicPr>
                  </pic:nvPicPr>
                  <pic:blipFill>
                    <a:blip r:embed="rId22"/>
                    <a:stretch>
                      <a:fillRect/>
                    </a:stretch>
                  </pic:blipFill>
                  <pic:spPr>
                    <a:xfrm>
                      <a:off x="0" y="0"/>
                      <a:ext cx="659765" cy="1116330"/>
                    </a:xfrm>
                    <a:prstGeom prst="rect">
                      <a:avLst/>
                    </a:prstGeom>
                  </pic:spPr>
                </pic:pic>
              </a:graphicData>
            </a:graphic>
          </wp:anchor>
        </w:drawing>
      </w:r>
      <w:r>
        <w:rPr>
          <w:rFonts w:hint="default" w:ascii="Times New Roman" w:hAnsi="Times New Roman" w:eastAsia="宋体" w:cs="Times New Roman"/>
          <w:b w:val="0"/>
          <w:bCs/>
          <w:sz w:val="28"/>
          <w:szCs w:val="28"/>
          <w:lang w:val="en-US" w:eastAsia="zh-CN"/>
        </w:rPr>
        <w:drawing>
          <wp:inline distT="0" distB="0" distL="114300" distR="114300">
            <wp:extent cx="8854440" cy="4434840"/>
            <wp:effectExtent l="0" t="0" r="0" b="0"/>
            <wp:docPr id="56" name="图片 56" descr="微信截图_2025040810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微信截图_20250408102144"/>
                    <pic:cNvPicPr>
                      <a:picLocks noChangeAspect="1"/>
                    </pic:cNvPicPr>
                  </pic:nvPicPr>
                  <pic:blipFill>
                    <a:blip r:embed="rId28"/>
                    <a:srcRect t="3429"/>
                    <a:stretch>
                      <a:fillRect/>
                    </a:stretch>
                  </pic:blipFill>
                  <pic:spPr>
                    <a:xfrm>
                      <a:off x="0" y="0"/>
                      <a:ext cx="8854440" cy="4434840"/>
                    </a:xfrm>
                    <a:prstGeom prst="rect">
                      <a:avLst/>
                    </a:prstGeom>
                  </pic:spPr>
                </pic:pic>
              </a:graphicData>
            </a:graphic>
          </wp:inline>
        </w:drawing>
      </w:r>
    </w:p>
    <w:p w14:paraId="3FF2AD50">
      <w:pPr>
        <w:rPr>
          <w:rFonts w:hint="default" w:ascii="Times New Roman" w:hAnsi="Times New Roman" w:eastAsia="宋体" w:cs="Times New Roman"/>
          <w:b w:val="0"/>
          <w:bCs/>
          <w:sz w:val="28"/>
          <w:szCs w:val="28"/>
          <w:lang w:val="en-US" w:eastAsia="zh-CN"/>
        </w:rPr>
      </w:pPr>
      <w:r>
        <w:rPr>
          <w:rFonts w:hint="default" w:ascii="Times New Roman" w:hAnsi="Times New Roman" w:eastAsia="宋体" w:cs="Times New Roman"/>
          <w:b w:val="0"/>
          <w:bCs/>
          <w:sz w:val="28"/>
          <w:szCs w:val="28"/>
          <w:lang w:val="en-US" w:eastAsia="zh-CN"/>
        </w:rPr>
        <w:br w:type="page"/>
      </w:r>
    </w:p>
    <w:p w14:paraId="5F9CEB82">
      <w:pPr>
        <w:keepNext w:val="0"/>
        <w:keepLines w:val="0"/>
        <w:pageBreakBefore w:val="0"/>
        <w:widowControl w:val="0"/>
        <w:kinsoku/>
        <w:wordWrap/>
        <w:overflowPunct/>
        <w:topLinePunct w:val="0"/>
        <w:autoSpaceDE/>
        <w:autoSpaceDN/>
        <w:bidi w:val="0"/>
        <w:adjustRightInd/>
        <w:snapToGrid/>
        <w:textAlignment w:val="auto"/>
        <w:outlineLvl w:val="0"/>
        <w:rPr>
          <w:rFonts w:hint="eastAsia"/>
          <w:lang w:val="en-US" w:eastAsia="zh-CN"/>
        </w:rPr>
      </w:pPr>
      <w:bookmarkStart w:id="41" w:name="_Toc26438"/>
      <w:r>
        <w:rPr>
          <w:rFonts w:hint="eastAsia"/>
          <w:lang w:val="en-US" w:eastAsia="zh-CN"/>
        </w:rPr>
        <w:t>附图6 大气现状监测点位图</w:t>
      </w:r>
      <w:bookmarkEnd w:id="41"/>
    </w:p>
    <w:p w14:paraId="0ADD42F9">
      <w:pPr>
        <w:pStyle w:val="11"/>
        <w:jc w:val="center"/>
      </w:pPr>
      <w:r>
        <w:rPr>
          <w:sz w:val="24"/>
        </w:rPr>
        <w:drawing>
          <wp:anchor distT="0" distB="0" distL="114300" distR="114300" simplePos="0" relativeHeight="251676672" behindDoc="0" locked="0" layoutInCell="1" allowOverlap="1">
            <wp:simplePos x="0" y="0"/>
            <wp:positionH relativeFrom="column">
              <wp:posOffset>8244840</wp:posOffset>
            </wp:positionH>
            <wp:positionV relativeFrom="paragraph">
              <wp:posOffset>54610</wp:posOffset>
            </wp:positionV>
            <wp:extent cx="659765" cy="1116330"/>
            <wp:effectExtent l="0" t="0" r="6985" b="7620"/>
            <wp:wrapNone/>
            <wp:docPr id="58" name="图片 58"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6e8e39b692b65a258704f9f58e6b804"/>
                    <pic:cNvPicPr>
                      <a:picLocks noChangeAspect="1"/>
                    </pic:cNvPicPr>
                  </pic:nvPicPr>
                  <pic:blipFill>
                    <a:blip r:embed="rId22"/>
                    <a:stretch>
                      <a:fillRect/>
                    </a:stretch>
                  </pic:blipFill>
                  <pic:spPr>
                    <a:xfrm>
                      <a:off x="0" y="0"/>
                      <a:ext cx="659765" cy="1116330"/>
                    </a:xfrm>
                    <a:prstGeom prst="rect">
                      <a:avLst/>
                    </a:prstGeom>
                  </pic:spPr>
                </pic:pic>
              </a:graphicData>
            </a:graphic>
          </wp:anchor>
        </w:drawing>
      </w:r>
      <w:r>
        <w:drawing>
          <wp:inline distT="0" distB="0" distL="114300" distR="114300">
            <wp:extent cx="8902065" cy="4558030"/>
            <wp:effectExtent l="0" t="0" r="13335" b="1397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29"/>
                    <a:stretch>
                      <a:fillRect/>
                    </a:stretch>
                  </pic:blipFill>
                  <pic:spPr>
                    <a:xfrm>
                      <a:off x="0" y="0"/>
                      <a:ext cx="8902065" cy="4558030"/>
                    </a:xfrm>
                    <a:prstGeom prst="rect">
                      <a:avLst/>
                    </a:prstGeom>
                    <a:noFill/>
                    <a:ln>
                      <a:noFill/>
                    </a:ln>
                  </pic:spPr>
                </pic:pic>
              </a:graphicData>
            </a:graphic>
          </wp:inline>
        </w:drawing>
      </w:r>
    </w:p>
    <w:p w14:paraId="32E5F8E1">
      <w:pPr>
        <w:pStyle w:val="12"/>
        <w:bidi w:val="0"/>
        <w:jc w:val="center"/>
      </w:pPr>
      <w:r>
        <w:rPr>
          <w:sz w:val="24"/>
        </w:rPr>
        <mc:AlternateContent>
          <mc:Choice Requires="wps">
            <w:drawing>
              <wp:anchor distT="0" distB="0" distL="114300" distR="114300" simplePos="0" relativeHeight="251679744" behindDoc="0" locked="0" layoutInCell="1" allowOverlap="1">
                <wp:simplePos x="0" y="0"/>
                <wp:positionH relativeFrom="column">
                  <wp:posOffset>4142105</wp:posOffset>
                </wp:positionH>
                <wp:positionV relativeFrom="paragraph">
                  <wp:posOffset>2112645</wp:posOffset>
                </wp:positionV>
                <wp:extent cx="1628775" cy="600075"/>
                <wp:effectExtent l="0" t="0" r="0" b="0"/>
                <wp:wrapNone/>
                <wp:docPr id="63" name="文本框 63"/>
                <wp:cNvGraphicFramePr/>
                <a:graphic xmlns:a="http://schemas.openxmlformats.org/drawingml/2006/main">
                  <a:graphicData uri="http://schemas.microsoft.com/office/word/2010/wordprocessingShape">
                    <wps:wsp>
                      <wps:cNvSpPr txBox="1"/>
                      <wps:spPr>
                        <a:xfrm>
                          <a:off x="5694680" y="3217545"/>
                          <a:ext cx="1628775" cy="6000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E9F8F9">
                            <w:pPr>
                              <w:rPr>
                                <w:rFonts w:hint="default" w:eastAsia="宋体"/>
                                <w:color w:val="FF0000"/>
                                <w:highlight w:val="none"/>
                                <w:lang w:val="en-US" w:eastAsia="zh-CN"/>
                              </w:rPr>
                            </w:pPr>
                            <w:r>
                              <w:rPr>
                                <w:rFonts w:hint="eastAsia"/>
                                <w:color w:val="FF0000"/>
                                <w:highlight w:val="none"/>
                                <w:lang w:val="en-US" w:eastAsia="zh-CN"/>
                              </w:rPr>
                              <w:t>4600m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15pt;margin-top:166.35pt;height:47.25pt;width:128.25pt;z-index:251679744;mso-width-relative:page;mso-height-relative:page;" filled="f" stroked="f" coordsize="21600,21600" o:gfxdata="UEsDBAoAAAAAAIdO4kAAAAAAAAAAAAAAAAAEAAAAZHJzL1BLAwQUAAAACACHTuJAivbhX90AAAAL&#10;AQAADwAAAGRycy9kb3ducmV2LnhtbE2Py07DMBBF90j8gzVI7Khdh7ZpGqdCkSokRBct3bBz4mkS&#10;EY9D7D7g6zErWI7m6N5z8/XV9uyMo+8cKZhOBDCk2pmOGgWHt81DCswHTUb3jlDBF3pYF7c3uc6M&#10;u9AOz/vQsBhCPtMK2hCGjHNft2i1n7gBKf6ObrQ6xHNsuBn1JYbbnksh5tzqjmJDqwcsW6w/9ier&#10;4KXcbPWukjb97svn1+PT8Hl4nyl1fzcVK2ABr+EPhl/9qA5FdKrciYxnvYL5TCYRVZAkcgEsEkuR&#10;xjGVgke5kMCLnP/fUPwAUEsDBBQAAAAIAIdO4kCAgdOIRwIAAHQEAAAOAAAAZHJzL2Uyb0RvYy54&#10;bWytVM2O2jAQvlfqO1i+lwSWv0WEFV1EVQl1V6JVz8ZxSCTb49qGhD5A+wY99dJ7n4vn6NgBFm17&#10;2EMvZjwzfOPvm5lM7xolyV5YV4HOaLeTUiI0h7zS24x++rh8M6bEeaZzJkGLjB6Eo3ez16+mtZmI&#10;HpQgc2EJgmg3qU1GS+/NJEkcL4VirgNGaAwWYBXzeLXbJLesRnQlk16aDpMabG4scOEcehdtkJ4Q&#10;7UsAoSgqLhbAd0po36JaIZlHSq6sjKOz+NqiENw/FIUTnsiMIlMfTyyC9iacyWzKJlvLTFnx0xPY&#10;S57wjJNilcaiF6gF84zsbPUXlKq4BQeF73BQSUskKoIsuukzbdYlMyJyQamduYju/h8s/7B/tKTK&#10;Mzq8oUQzhR0//vh+/Pn7+OsbQR8KVBs3wby1wUzfvIUGx+bsd+gMvJvCqvCLjAjGB8Pb/nCMIh8y&#10;etPrjgb9QSu1aDzhAWDYG49GA0o4ZgzTNEUbSyVPSMY6/06AIsHIqMVWRoXZfuV8m3pOCYU1LCsp&#10;YzulJnXgM0jjHy4RBJcaawQ+7buD5ZtNcyK5gfyAHC20Y+IMX1ZYfMWcf2QW5wIJ4eb4BzwKCVgE&#10;ThYlJdiv//KHfGwXRimpcc4y6r7smBWUyPcaG3nb7ffDYMZLfzDq4cVeRzbXEb1T94Cj3MUdNTya&#10;Id/Ls1lYUJ9xweahKoaY5lg7o/5s3vt2+nFBuZjPYxKOomF+pdeGB+hWzvnOQ1FFpYNMrTYn9XAY&#10;Y69OixOm/foes54+Fr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vbhX90AAAALAQAADwAAAAAA&#10;AAABACAAAAAiAAAAZHJzL2Rvd25yZXYueG1sUEsBAhQAFAAAAAgAh07iQICB04hHAgAAdAQAAA4A&#10;AAAAAAAAAQAgAAAALAEAAGRycy9lMm9Eb2MueG1sUEsFBgAAAAAGAAYAWQEAAOUFAAAAAA==&#10;">
                <v:fill on="f" focussize="0,0"/>
                <v:stroke on="f" weight="0.5pt"/>
                <v:imagedata o:title=""/>
                <o:lock v:ext="edit" aspectratio="f"/>
                <v:textbox>
                  <w:txbxContent>
                    <w:p w14:paraId="28E9F8F9">
                      <w:pPr>
                        <w:rPr>
                          <w:rFonts w:hint="default" w:eastAsia="宋体"/>
                          <w:color w:val="FF0000"/>
                          <w:highlight w:val="none"/>
                          <w:lang w:val="en-US" w:eastAsia="zh-CN"/>
                        </w:rPr>
                      </w:pPr>
                      <w:r>
                        <w:rPr>
                          <w:rFonts w:hint="eastAsia"/>
                          <w:color w:val="FF0000"/>
                          <w:highlight w:val="none"/>
                          <w:lang w:val="en-US" w:eastAsia="zh-CN"/>
                        </w:rPr>
                        <w:t>4600m</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3437255</wp:posOffset>
                </wp:positionH>
                <wp:positionV relativeFrom="paragraph">
                  <wp:posOffset>1102995</wp:posOffset>
                </wp:positionV>
                <wp:extent cx="1104900" cy="2505075"/>
                <wp:effectExtent l="11430" t="0" r="26670" b="9525"/>
                <wp:wrapNone/>
                <wp:docPr id="62" name="直接箭头连接符 62"/>
                <wp:cNvGraphicFramePr/>
                <a:graphic xmlns:a="http://schemas.openxmlformats.org/drawingml/2006/main">
                  <a:graphicData uri="http://schemas.microsoft.com/office/word/2010/wordprocessingShape">
                    <wps:wsp>
                      <wps:cNvCnPr/>
                      <wps:spPr>
                        <a:xfrm flipH="1">
                          <a:off x="4351655" y="2245995"/>
                          <a:ext cx="1104900" cy="2505075"/>
                        </a:xfrm>
                        <a:prstGeom prst="straightConnector1">
                          <a:avLst/>
                        </a:prstGeom>
                        <a:ln w="12700">
                          <a:solidFill>
                            <a:srgbClr val="FF00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70.65pt;margin-top:86.85pt;height:197.25pt;width:87pt;z-index:251678720;mso-width-relative:page;mso-height-relative:page;" filled="f" stroked="t" coordsize="21600,21600" o:gfxdata="UEsDBAoAAAAAAIdO4kAAAAAAAAAAAAAAAAAEAAAAZHJzL1BLAwQUAAAACACHTuJAIcmdztgAAAAL&#10;AQAADwAAAGRycy9kb3ducmV2LnhtbE2Py07DMBBF90j8gzVI7KjjljZRGqeLShViA6L0A9x4SKLa&#10;4xC7D/r1DCu6nLlHZ+5Uq4t34oRj7ANpUJMMBFITbE+tht3n5qkAEZMha1wg1PCDEVb1/V1lShvO&#10;9IGnbWoFSyiWRkOX0lBKGZsOvYmTMCBx9hVGbxKPYyvtaM4s905Os2whvemJL3RmwHWHzWF79BrW&#10;31er2rxgzdtV7uyrew8vG60fH1S2BJHwkv5h+KvP1aHmTvtwJBuF0zB/VjNGOchnOQgmcjXnzZ6j&#10;RTEFWVfy9of6F1BLAwQUAAAACACHTuJAXSuGlxwCAAD/AwAADgAAAGRycy9lMm9Eb2MueG1srVPN&#10;jtMwEL4j8Q6W7zRpaLq0arqHlsIBQSXgAVzHSSz5T2Nv074EL4DECTgtnPbO08DyGIydssDCYQ/k&#10;EI09M9/M9814cX7QiuwFeGlNRcejnBJhuK2laSv6+tXmwSNKfGCmZsoaUdGj8PR8ef/eondzUdjO&#10;qloAQRDj572raBeCm2eZ553QzI+sEwadjQXNAh6hzWpgPaJrlRV5Ps16C7UDy4X3eLsenPSECHcB&#10;tE0juVhbfqGFCQMqCMUCUvKddJ4uU7dNI3h40TReBKIqikxD+mMRtHfxny0XbN4Cc53kpxbYXVq4&#10;xUkzabDoDdSaBUYuQP4FpSUH620TRtzqbCCSFEEW4/yWNi875kTiglJ7dyO6/3+w/Pl+C0TWFZ0W&#10;lBimceLXb6++vflw/fnT1/dX37+8i/blR4J+FKt3fo45K7OF08m7LUTmhwY0aZR0T3GrkhbIjhwq&#10;OnlYjqdlScmxokUxKWezcpBdHALhGDAe55NZjhPhMaLMy/wsRWQDaAR34MMTYTWJRkV9ACbbLqys&#10;MThiC0NBtn/mA7aFiT8TYrKxG6lUmrQypMeCxVkqx3B9G1wbrKwdSuBNSwlTLb4LHiBx8FbJOqZH&#10;IA/tbqWA7Blu02aT4xeZYLk/wmLtNfPdEJdcA+FOsPqxqUk4OpSZAdh+cAQm1T8cCKwM4kfRB5mj&#10;tbP1Mamf7nEvUgenHY6L9/s5Zf96t8s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IcmdztgAAAAL&#10;AQAADwAAAAAAAAABACAAAAAiAAAAZHJzL2Rvd25yZXYueG1sUEsBAhQAFAAAAAgAh07iQF0rhpcc&#10;AgAA/wMAAA4AAAAAAAAAAQAgAAAAJwEAAGRycy9lMm9Eb2MueG1sUEsFBgAAAAAGAAYAWQEAALUF&#10;AAAAAA==&#10;">
                <v:fill on="f" focussize="0,0"/>
                <v:stroke weight="1pt" color="#FF0000 [3204]" joinstyle="round" startarrow="open" endarrow="open"/>
                <v:imagedata o:title=""/>
                <o:lock v:ext="edit" aspectratio="f"/>
              </v:shape>
            </w:pict>
          </mc:Fallback>
        </mc:AlternateContent>
      </w:r>
      <w:r>
        <w:rPr>
          <w:sz w:val="24"/>
        </w:rPr>
        <w:drawing>
          <wp:anchor distT="0" distB="0" distL="114300" distR="114300" simplePos="0" relativeHeight="251677696" behindDoc="0" locked="0" layoutInCell="1" allowOverlap="1">
            <wp:simplePos x="0" y="0"/>
            <wp:positionH relativeFrom="column">
              <wp:posOffset>8349615</wp:posOffset>
            </wp:positionH>
            <wp:positionV relativeFrom="paragraph">
              <wp:posOffset>56515</wp:posOffset>
            </wp:positionV>
            <wp:extent cx="659765" cy="1116330"/>
            <wp:effectExtent l="0" t="0" r="6985" b="7620"/>
            <wp:wrapNone/>
            <wp:docPr id="61" name="图片 61" descr="6e8e39b692b65a258704f9f58e6b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e8e39b692b65a258704f9f58e6b804"/>
                    <pic:cNvPicPr>
                      <a:picLocks noChangeAspect="1"/>
                    </pic:cNvPicPr>
                  </pic:nvPicPr>
                  <pic:blipFill>
                    <a:blip r:embed="rId22"/>
                    <a:stretch>
                      <a:fillRect/>
                    </a:stretch>
                  </pic:blipFill>
                  <pic:spPr>
                    <a:xfrm>
                      <a:off x="0" y="0"/>
                      <a:ext cx="659765" cy="1116330"/>
                    </a:xfrm>
                    <a:prstGeom prst="rect">
                      <a:avLst/>
                    </a:prstGeom>
                  </pic:spPr>
                </pic:pic>
              </a:graphicData>
            </a:graphic>
          </wp:anchor>
        </w:drawing>
      </w:r>
      <w:r>
        <w:drawing>
          <wp:inline distT="0" distB="0" distL="114300" distR="114300">
            <wp:extent cx="9018270" cy="4591685"/>
            <wp:effectExtent l="0" t="0" r="11430" b="18415"/>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30"/>
                    <a:stretch>
                      <a:fillRect/>
                    </a:stretch>
                  </pic:blipFill>
                  <pic:spPr>
                    <a:xfrm>
                      <a:off x="0" y="0"/>
                      <a:ext cx="9018270" cy="4591685"/>
                    </a:xfrm>
                    <a:prstGeom prst="rect">
                      <a:avLst/>
                    </a:prstGeom>
                    <a:noFill/>
                    <a:ln>
                      <a:noFill/>
                    </a:ln>
                  </pic:spPr>
                </pic:pic>
              </a:graphicData>
            </a:graphic>
          </wp:inline>
        </w:drawing>
      </w:r>
    </w:p>
    <w:p w14:paraId="688C9DC4">
      <w:pPr>
        <w:rPr>
          <w:rFonts w:hint="eastAsia"/>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t>（注：大气现状监测点参考目标位于本项目东北侧4600m）</w:t>
      </w:r>
    </w:p>
    <w:p w14:paraId="6B5569E9">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lang w:val="en-US" w:eastAsia="zh-CN"/>
        </w:rPr>
      </w:pPr>
      <w:bookmarkStart w:id="42" w:name="_Toc24999"/>
      <w:r>
        <w:rPr>
          <w:rFonts w:hint="default" w:ascii="Times New Roman" w:hAnsi="Times New Roman" w:eastAsia="宋体" w:cs="Times New Roman"/>
          <w:lang w:val="en-US" w:eastAsia="zh-CN"/>
        </w:rPr>
        <w:t>附件</w:t>
      </w:r>
      <w:r>
        <w:rPr>
          <w:rFonts w:hint="eastAsia" w:eastAsia="宋体" w:cs="Times New Roman"/>
          <w:lang w:val="en-US" w:eastAsia="zh-CN"/>
        </w:rPr>
        <w:t>1</w:t>
      </w:r>
      <w:r>
        <w:rPr>
          <w:rFonts w:hint="default" w:ascii="Times New Roman" w:hAnsi="Times New Roman" w:eastAsia="宋体" w:cs="Times New Roman"/>
          <w:lang w:val="en-US" w:eastAsia="zh-CN"/>
        </w:rPr>
        <w:t xml:space="preserve"> 营业执照</w:t>
      </w:r>
      <w:bookmarkEnd w:id="42"/>
    </w:p>
    <w:p w14:paraId="49DE7298">
      <w:pPr>
        <w:keepNext w:val="0"/>
        <w:keepLines w:val="0"/>
        <w:pageBreakBefore w:val="0"/>
        <w:kinsoku/>
        <w:wordWrap/>
        <w:overflowPunct/>
        <w:topLinePunct w:val="0"/>
        <w:autoSpaceDE/>
        <w:autoSpaceDN/>
        <w:bidi w:val="0"/>
        <w:adjustRightInd/>
        <w:jc w:val="center"/>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inline distT="0" distB="0" distL="114300" distR="114300">
            <wp:extent cx="7023100" cy="4923155"/>
            <wp:effectExtent l="0" t="0" r="6350" b="10795"/>
            <wp:docPr id="3" name="图片 3" descr="8628763faf510e0f4a7107496dd9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628763faf510e0f4a7107496dd9aff"/>
                    <pic:cNvPicPr>
                      <a:picLocks noChangeAspect="1"/>
                    </pic:cNvPicPr>
                  </pic:nvPicPr>
                  <pic:blipFill>
                    <a:blip r:embed="rId31"/>
                    <a:stretch>
                      <a:fillRect/>
                    </a:stretch>
                  </pic:blipFill>
                  <pic:spPr>
                    <a:xfrm>
                      <a:off x="0" y="0"/>
                      <a:ext cx="7023100" cy="4923155"/>
                    </a:xfrm>
                    <a:prstGeom prst="rect">
                      <a:avLst/>
                    </a:prstGeom>
                  </pic:spPr>
                </pic:pic>
              </a:graphicData>
            </a:graphic>
          </wp:inline>
        </w:drawing>
      </w:r>
    </w:p>
    <w:p w14:paraId="5AA9C151">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cs="Times New Roman"/>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CD39FA5">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sz w:val="24"/>
          <w:szCs w:val="24"/>
          <w:lang w:val="en-US" w:eastAsia="zh-CN"/>
        </w:rPr>
      </w:pPr>
      <w:bookmarkStart w:id="43" w:name="_Toc7850"/>
      <w:bookmarkStart w:id="44" w:name="_Toc28748"/>
      <w:bookmarkStart w:id="45" w:name="_Toc29069"/>
      <w:r>
        <w:rPr>
          <w:rFonts w:hint="default" w:ascii="Times New Roman" w:hAnsi="Times New Roman" w:eastAsia="宋体" w:cs="Times New Roman"/>
          <w:sz w:val="24"/>
          <w:szCs w:val="24"/>
          <w:lang w:val="en-US" w:eastAsia="zh-CN"/>
        </w:rPr>
        <w:t>附件</w:t>
      </w:r>
      <w:r>
        <w:rPr>
          <w:rFonts w:hint="eastAsia" w:ascii="Times New Roman" w:hAnsi="Times New Roman" w:eastAsia="宋体" w:cs="Times New Roman"/>
          <w:sz w:val="24"/>
          <w:szCs w:val="24"/>
          <w:lang w:val="en-US" w:eastAsia="zh-CN"/>
        </w:rPr>
        <w:t xml:space="preserve">2 </w:t>
      </w:r>
      <w:r>
        <w:rPr>
          <w:rFonts w:hint="default" w:ascii="Times New Roman" w:hAnsi="Times New Roman" w:eastAsia="宋体" w:cs="Times New Roman"/>
          <w:sz w:val="24"/>
          <w:szCs w:val="24"/>
          <w:lang w:val="en-US" w:eastAsia="zh-CN"/>
        </w:rPr>
        <w:t>南岳镇人民政府选址审查意见</w:t>
      </w:r>
      <w:bookmarkEnd w:id="43"/>
      <w:bookmarkEnd w:id="44"/>
      <w:bookmarkEnd w:id="45"/>
    </w:p>
    <w:p w14:paraId="4E3C5C6B">
      <w:pPr>
        <w:keepNext w:val="0"/>
        <w:keepLines w:val="0"/>
        <w:pageBreakBefore w:val="0"/>
        <w:widowControl/>
        <w:kinsoku/>
        <w:wordWrap/>
        <w:overflowPunct/>
        <w:topLinePunct w:val="0"/>
        <w:autoSpaceDE/>
        <w:autoSpaceDN/>
        <w:bidi w:val="0"/>
        <w:adjustRightInd/>
        <w:snapToGrid w:val="0"/>
        <w:spacing w:before="60" w:after="160" w:line="259" w:lineRule="auto"/>
        <w:ind w:right="113" w:firstLine="0" w:firstLineChars="0"/>
        <w:jc w:val="left"/>
        <w:textAlignment w:val="auto"/>
        <w:outlineLvl w:val="9"/>
        <w:rPr>
          <w:rFonts w:hint="default" w:ascii="Times New Roman" w:hAnsi="Times New Roman" w:eastAsia="宋体" w:cs="Times New Roman"/>
          <w:kern w:val="0"/>
          <w:sz w:val="18"/>
          <w:szCs w:val="20"/>
          <w:lang w:val="en-US" w:eastAsia="zh-CN" w:bidi="ar-SA"/>
        </w:rPr>
      </w:pPr>
      <w:r>
        <w:rPr>
          <w:rFonts w:hint="default" w:ascii="Times New Roman" w:hAnsi="Times New Roman" w:eastAsia="宋体" w:cs="Times New Roman"/>
          <w:kern w:val="0"/>
          <w:sz w:val="18"/>
          <w:szCs w:val="20"/>
          <w:lang w:val="en-US" w:eastAsia="zh-CN" w:bidi="ar-SA"/>
        </w:rPr>
        <w:drawing>
          <wp:inline distT="0" distB="0" distL="114300" distR="114300">
            <wp:extent cx="5271135" cy="7456805"/>
            <wp:effectExtent l="0" t="0" r="5715" b="10795"/>
            <wp:docPr id="2" name="图片 2" descr="关于南岳定点屠宰场项目选址的审查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关于南岳定点屠宰场项目选址的审查意见_00"/>
                    <pic:cNvPicPr>
                      <a:picLocks noChangeAspect="1"/>
                    </pic:cNvPicPr>
                  </pic:nvPicPr>
                  <pic:blipFill>
                    <a:blip r:embed="rId32"/>
                    <a:stretch>
                      <a:fillRect/>
                    </a:stretch>
                  </pic:blipFill>
                  <pic:spPr>
                    <a:xfrm>
                      <a:off x="0" y="0"/>
                      <a:ext cx="5271135" cy="7456805"/>
                    </a:xfrm>
                    <a:prstGeom prst="rect">
                      <a:avLst/>
                    </a:prstGeom>
                  </pic:spPr>
                </pic:pic>
              </a:graphicData>
            </a:graphic>
          </wp:inline>
        </w:drawing>
      </w:r>
    </w:p>
    <w:p w14:paraId="29F3DEC7">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2DAF7DB8">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lang w:val="en-US" w:eastAsia="zh-CN"/>
        </w:rPr>
      </w:pPr>
      <w:bookmarkStart w:id="46" w:name="_Toc20307"/>
      <w:bookmarkStart w:id="47" w:name="_Toc6827"/>
      <w:bookmarkStart w:id="48" w:name="_Toc14014"/>
      <w:r>
        <w:rPr>
          <w:rFonts w:hint="default" w:ascii="Times New Roman" w:hAnsi="Times New Roman" w:eastAsia="宋体" w:cs="Times New Roman"/>
          <w:lang w:val="en-US" w:eastAsia="zh-CN"/>
        </w:rPr>
        <w:t>附件</w:t>
      </w:r>
      <w:r>
        <w:rPr>
          <w:rFonts w:hint="eastAsia" w:ascii="Times New Roman" w:hAnsi="Times New Roman" w:eastAsia="宋体" w:cs="Times New Roman"/>
          <w:lang w:val="en-US" w:eastAsia="zh-CN"/>
        </w:rPr>
        <w:t xml:space="preserve">3 </w:t>
      </w:r>
      <w:r>
        <w:rPr>
          <w:rFonts w:hint="default" w:ascii="Times New Roman" w:hAnsi="Times New Roman" w:eastAsia="宋体" w:cs="Times New Roman"/>
          <w:lang w:val="en-US" w:eastAsia="zh-CN"/>
        </w:rPr>
        <w:t>衡阳市生态环境局南岳分局关于本项目的选址审查意见</w:t>
      </w:r>
      <w:bookmarkEnd w:id="46"/>
      <w:bookmarkEnd w:id="47"/>
      <w:bookmarkEnd w:id="48"/>
    </w:p>
    <w:p w14:paraId="5B30AADE">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lang w:val="en-US" w:eastAsia="zh-CN"/>
        </w:rPr>
        <w:drawing>
          <wp:inline distT="0" distB="0" distL="114300" distR="114300">
            <wp:extent cx="5266690" cy="7443470"/>
            <wp:effectExtent l="0" t="0" r="10160" b="5080"/>
            <wp:docPr id="36" name="图片 36" descr="ed200704f67372d5824b2401b1a4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d200704f67372d5824b2401b1a46409"/>
                    <pic:cNvPicPr>
                      <a:picLocks noChangeAspect="1"/>
                    </pic:cNvPicPr>
                  </pic:nvPicPr>
                  <pic:blipFill>
                    <a:blip r:embed="rId33"/>
                    <a:stretch>
                      <a:fillRect/>
                    </a:stretch>
                  </pic:blipFill>
                  <pic:spPr>
                    <a:xfrm>
                      <a:off x="0" y="0"/>
                      <a:ext cx="5266690" cy="7443470"/>
                    </a:xfrm>
                    <a:prstGeom prst="rect">
                      <a:avLst/>
                    </a:prstGeom>
                  </pic:spPr>
                </pic:pic>
              </a:graphicData>
            </a:graphic>
          </wp:inline>
        </w:drawing>
      </w:r>
    </w:p>
    <w:p w14:paraId="29CF724A">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sz w:val="24"/>
          <w:szCs w:val="24"/>
          <w:lang w:val="en-US" w:eastAsia="zh-CN"/>
        </w:rPr>
      </w:pPr>
      <w:bookmarkStart w:id="49" w:name="_Toc14281"/>
      <w:r>
        <w:rPr>
          <w:rFonts w:hint="default" w:ascii="Times New Roman" w:hAnsi="Times New Roman" w:eastAsia="宋体" w:cs="Times New Roman"/>
          <w:sz w:val="24"/>
          <w:szCs w:val="24"/>
          <w:lang w:val="en-US" w:eastAsia="zh-CN"/>
        </w:rPr>
        <w:t>附件4 湖南省畜牧水产事务中心复函</w:t>
      </w:r>
      <w:bookmarkEnd w:id="49"/>
    </w:p>
    <w:p w14:paraId="48EE373C">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69865" cy="7475220"/>
            <wp:effectExtent l="0" t="0" r="6985" b="11430"/>
            <wp:docPr id="6" name="图片 6" descr="南岳区复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南岳区复函_00"/>
                    <pic:cNvPicPr>
                      <a:picLocks noChangeAspect="1"/>
                    </pic:cNvPicPr>
                  </pic:nvPicPr>
                  <pic:blipFill>
                    <a:blip r:embed="rId34"/>
                    <a:stretch>
                      <a:fillRect/>
                    </a:stretch>
                  </pic:blipFill>
                  <pic:spPr>
                    <a:xfrm>
                      <a:off x="0" y="0"/>
                      <a:ext cx="5269865" cy="7475220"/>
                    </a:xfrm>
                    <a:prstGeom prst="rect">
                      <a:avLst/>
                    </a:prstGeom>
                  </pic:spPr>
                </pic:pic>
              </a:graphicData>
            </a:graphic>
          </wp:inline>
        </w:drawing>
      </w:r>
    </w:p>
    <w:p w14:paraId="2B6897B0">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14:paraId="5EF7D30E">
      <w:pPr>
        <w:keepNext w:val="0"/>
        <w:keepLines w:val="0"/>
        <w:pageBreakBefore w:val="0"/>
        <w:widowControl w:val="0"/>
        <w:kinsoku/>
        <w:wordWrap/>
        <w:overflowPunct/>
        <w:topLinePunct w:val="0"/>
        <w:autoSpaceDE/>
        <w:autoSpaceDN/>
        <w:bidi w:val="0"/>
        <w:adjustRightInd/>
        <w:snapToGrid/>
        <w:textAlignment w:val="auto"/>
        <w:outlineLvl w:val="0"/>
        <w:rPr>
          <w:rFonts w:hint="default" w:ascii="Times New Roman" w:hAnsi="Times New Roman" w:eastAsia="宋体" w:cs="Times New Roman"/>
          <w:sz w:val="24"/>
          <w:szCs w:val="24"/>
          <w:lang w:val="en-US" w:eastAsia="zh-CN"/>
        </w:rPr>
      </w:pPr>
      <w:bookmarkStart w:id="50" w:name="_Toc11262"/>
      <w:bookmarkStart w:id="51" w:name="_Toc14965"/>
      <w:bookmarkStart w:id="52" w:name="_Toc23547"/>
      <w:r>
        <w:rPr>
          <w:rFonts w:hint="default" w:ascii="Times New Roman" w:hAnsi="Times New Roman" w:eastAsia="宋体" w:cs="Times New Roman"/>
          <w:sz w:val="24"/>
          <w:szCs w:val="24"/>
          <w:lang w:val="en-US" w:eastAsia="zh-CN"/>
        </w:rPr>
        <w:t>附件5南岳区发展和改革局备案说明</w:t>
      </w:r>
      <w:bookmarkEnd w:id="50"/>
      <w:bookmarkEnd w:id="51"/>
      <w:bookmarkEnd w:id="52"/>
    </w:p>
    <w:p w14:paraId="6020AF0A">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266055" cy="7444740"/>
            <wp:effectExtent l="0" t="0" r="10795" b="3810"/>
            <wp:docPr id="9" name="图片 9" descr="897043e029ab07d7c67fe944e0900c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97043e029ab07d7c67fe944e0900c52"/>
                    <pic:cNvPicPr>
                      <a:picLocks noChangeAspect="1"/>
                    </pic:cNvPicPr>
                  </pic:nvPicPr>
                  <pic:blipFill>
                    <a:blip r:embed="rId35"/>
                    <a:stretch>
                      <a:fillRect/>
                    </a:stretch>
                  </pic:blipFill>
                  <pic:spPr>
                    <a:xfrm>
                      <a:off x="0" y="0"/>
                      <a:ext cx="5266055" cy="744474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266055" cy="7444740"/>
            <wp:effectExtent l="0" t="0" r="10795" b="3810"/>
            <wp:docPr id="35" name="图片 35" descr="b2f9947281d8e385cc064b07c1dac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2f9947281d8e385cc064b07c1dac591"/>
                    <pic:cNvPicPr>
                      <a:picLocks noChangeAspect="1"/>
                    </pic:cNvPicPr>
                  </pic:nvPicPr>
                  <pic:blipFill>
                    <a:blip r:embed="rId36"/>
                    <a:stretch>
                      <a:fillRect/>
                    </a:stretch>
                  </pic:blipFill>
                  <pic:spPr>
                    <a:xfrm>
                      <a:off x="0" y="0"/>
                      <a:ext cx="5266055" cy="7444740"/>
                    </a:xfrm>
                    <a:prstGeom prst="rect">
                      <a:avLst/>
                    </a:prstGeom>
                  </pic:spPr>
                </pic:pic>
              </a:graphicData>
            </a:graphic>
          </wp:inline>
        </w:drawing>
      </w:r>
    </w:p>
    <w:p w14:paraId="18A9B8B7">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4505C6EB">
      <w:pPr>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left"/>
        <w:textAlignment w:val="auto"/>
        <w:outlineLvl w:val="0"/>
        <w:rPr>
          <w:rFonts w:hint="default" w:ascii="Times New Roman" w:hAnsi="Times New Roman" w:eastAsia="宋体" w:cs="Times New Roman"/>
          <w:kern w:val="0"/>
          <w:sz w:val="24"/>
          <w:szCs w:val="24"/>
          <w:lang w:val="en-US" w:eastAsia="zh-CN" w:bidi="ar-SA"/>
        </w:rPr>
      </w:pPr>
      <w:bookmarkStart w:id="53" w:name="_Toc22583"/>
      <w:r>
        <w:rPr>
          <w:rFonts w:hint="default" w:ascii="Times New Roman" w:hAnsi="Times New Roman" w:eastAsia="宋体" w:cs="Times New Roman"/>
          <w:kern w:val="0"/>
          <w:sz w:val="24"/>
          <w:szCs w:val="24"/>
          <w:lang w:val="en-US" w:eastAsia="zh-CN" w:bidi="ar-SA"/>
        </w:rPr>
        <w:t>附件6 声环境敏感目标噪声质量检测报告</w:t>
      </w:r>
      <w:bookmarkEnd w:id="53"/>
    </w:p>
    <w:p w14:paraId="3EE24336">
      <w:pPr>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left"/>
        <w:textAlignment w:val="auto"/>
        <w:outlineLvl w:val="9"/>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18"/>
          <w:szCs w:val="20"/>
          <w:lang w:val="en-US" w:eastAsia="zh-CN" w:bidi="ar-SA"/>
        </w:rPr>
        <w:drawing>
          <wp:inline distT="0" distB="0" distL="114300" distR="114300">
            <wp:extent cx="5563235" cy="7913370"/>
            <wp:effectExtent l="0" t="0" r="18415" b="11430"/>
            <wp:docPr id="38" name="图片 38" descr="371a4cc1222d7740c98b7823d5239f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371a4cc1222d7740c98b7823d5239f38"/>
                    <pic:cNvPicPr>
                      <a:picLocks noChangeAspect="1"/>
                    </pic:cNvPicPr>
                  </pic:nvPicPr>
                  <pic:blipFill>
                    <a:blip r:embed="rId37"/>
                    <a:stretch>
                      <a:fillRect/>
                    </a:stretch>
                  </pic:blipFill>
                  <pic:spPr>
                    <a:xfrm>
                      <a:off x="0" y="0"/>
                      <a:ext cx="5563235" cy="7913370"/>
                    </a:xfrm>
                    <a:prstGeom prst="rect">
                      <a:avLst/>
                    </a:prstGeom>
                  </pic:spPr>
                </pic:pic>
              </a:graphicData>
            </a:graphic>
          </wp:inline>
        </w:drawing>
      </w:r>
    </w:p>
    <w:p w14:paraId="45BB8B82">
      <w:pPr>
        <w:keepNext w:val="0"/>
        <w:keepLines w:val="0"/>
        <w:pageBreakBefore w:val="0"/>
        <w:widowControl/>
        <w:kinsoku/>
        <w:wordWrap/>
        <w:overflowPunct/>
        <w:topLinePunct w:val="0"/>
        <w:autoSpaceDE/>
        <w:autoSpaceDN/>
        <w:bidi w:val="0"/>
        <w:adjustRightInd/>
        <w:snapToGrid w:val="0"/>
        <w:spacing w:line="240" w:lineRule="auto"/>
        <w:ind w:right="0"/>
        <w:textAlignment w:val="auto"/>
        <w:outlineLvl w:val="9"/>
        <w:rPr>
          <w:rFonts w:hint="default" w:ascii="Times New Roman" w:hAnsi="Times New Roman" w:eastAsia="宋体" w:cs="Times New Roman"/>
          <w:kern w:val="0"/>
          <w:sz w:val="18"/>
          <w:szCs w:val="20"/>
          <w:lang w:val="en-US" w:eastAsia="zh-CN" w:bidi="ar-SA"/>
        </w:rPr>
      </w:pPr>
      <w:r>
        <w:rPr>
          <w:rFonts w:hint="default" w:ascii="Times New Roman" w:hAnsi="Times New Roman" w:eastAsia="宋体" w:cs="Times New Roman"/>
          <w:kern w:val="0"/>
          <w:sz w:val="18"/>
          <w:szCs w:val="20"/>
          <w:lang w:val="en-US" w:eastAsia="zh-CN" w:bidi="ar-SA"/>
        </w:rPr>
        <w:drawing>
          <wp:inline distT="0" distB="0" distL="114300" distR="114300">
            <wp:extent cx="5273040" cy="7461250"/>
            <wp:effectExtent l="0" t="0" r="3810" b="6350"/>
            <wp:docPr id="43" name="图片 43" descr="2c647a238ed640f8c65b9434f6274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c647a238ed640f8c65b9434f6274d18"/>
                    <pic:cNvPicPr>
                      <a:picLocks noChangeAspect="1"/>
                    </pic:cNvPicPr>
                  </pic:nvPicPr>
                  <pic:blipFill>
                    <a:blip r:embed="rId38"/>
                    <a:stretch>
                      <a:fillRect/>
                    </a:stretch>
                  </pic:blipFill>
                  <pic:spPr>
                    <a:xfrm>
                      <a:off x="0" y="0"/>
                      <a:ext cx="5273040" cy="7461250"/>
                    </a:xfrm>
                    <a:prstGeom prst="rect">
                      <a:avLst/>
                    </a:prstGeom>
                  </pic:spPr>
                </pic:pic>
              </a:graphicData>
            </a:graphic>
          </wp:inline>
        </w:drawing>
      </w:r>
      <w:r>
        <w:rPr>
          <w:rFonts w:hint="default" w:ascii="Times New Roman" w:hAnsi="Times New Roman" w:eastAsia="宋体" w:cs="Times New Roman"/>
          <w:kern w:val="0"/>
          <w:sz w:val="18"/>
          <w:szCs w:val="20"/>
          <w:lang w:val="en-US" w:eastAsia="zh-CN" w:bidi="ar-SA"/>
        </w:rPr>
        <w:drawing>
          <wp:inline distT="0" distB="0" distL="114300" distR="114300">
            <wp:extent cx="5266690" cy="7447915"/>
            <wp:effectExtent l="0" t="0" r="10160" b="635"/>
            <wp:docPr id="44" name="图片 44" descr="a48a388ee0c08582bd0bb5946e0d8c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a48a388ee0c08582bd0bb5946e0d8cb4"/>
                    <pic:cNvPicPr>
                      <a:picLocks noChangeAspect="1"/>
                    </pic:cNvPicPr>
                  </pic:nvPicPr>
                  <pic:blipFill>
                    <a:blip r:embed="rId39"/>
                    <a:stretch>
                      <a:fillRect/>
                    </a:stretch>
                  </pic:blipFill>
                  <pic:spPr>
                    <a:xfrm>
                      <a:off x="0" y="0"/>
                      <a:ext cx="5266690" cy="7447915"/>
                    </a:xfrm>
                    <a:prstGeom prst="rect">
                      <a:avLst/>
                    </a:prstGeom>
                  </pic:spPr>
                </pic:pic>
              </a:graphicData>
            </a:graphic>
          </wp:inline>
        </w:drawing>
      </w:r>
      <w:r>
        <w:rPr>
          <w:rFonts w:hint="default" w:ascii="Times New Roman" w:hAnsi="Times New Roman" w:eastAsia="宋体" w:cs="Times New Roman"/>
          <w:kern w:val="0"/>
          <w:sz w:val="18"/>
          <w:szCs w:val="20"/>
          <w:lang w:val="en-US" w:eastAsia="zh-CN" w:bidi="ar-SA"/>
        </w:rPr>
        <w:drawing>
          <wp:inline distT="0" distB="0" distL="114300" distR="114300">
            <wp:extent cx="5220335" cy="7386320"/>
            <wp:effectExtent l="0" t="0" r="18415" b="5080"/>
            <wp:docPr id="45" name="图片 45" descr="9d2c85850877c584f0521417246c2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9d2c85850877c584f0521417246c2d63"/>
                    <pic:cNvPicPr>
                      <a:picLocks noChangeAspect="1"/>
                    </pic:cNvPicPr>
                  </pic:nvPicPr>
                  <pic:blipFill>
                    <a:blip r:embed="rId40"/>
                    <a:stretch>
                      <a:fillRect/>
                    </a:stretch>
                  </pic:blipFill>
                  <pic:spPr>
                    <a:xfrm>
                      <a:off x="0" y="0"/>
                      <a:ext cx="5220335" cy="7386320"/>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5E4AED0F-3F61-4892-BEE3-BD0AE6B3F87A}"/>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embedRegular r:id="rId2" w:fontKey="{C95B27AF-3C73-49D2-AF3B-24EFA25BC891}"/>
  </w:font>
  <w:font w:name="方正小标宋_GBK">
    <w:panose1 w:val="02000000000000000000"/>
    <w:charset w:val="86"/>
    <w:family w:val="script"/>
    <w:pitch w:val="default"/>
    <w:sig w:usb0="A00002BF" w:usb1="38CF7CFA" w:usb2="00082016" w:usb3="00000000" w:csb0="00040001" w:csb1="00000000"/>
    <w:embedRegular r:id="rId3" w:fontKey="{EB0C4039-C85F-4F09-99F1-EF0AF4959051}"/>
  </w:font>
  <w:font w:name="楷体_GB2312">
    <w:altName w:val="楷体"/>
    <w:panose1 w:val="02010609030101010101"/>
    <w:charset w:val="86"/>
    <w:family w:val="modern"/>
    <w:pitch w:val="default"/>
    <w:sig w:usb0="00000000" w:usb1="00000000" w:usb2="00000000" w:usb3="00000000" w:csb0="00040000" w:csb1="00000000"/>
    <w:embedRegular r:id="rId4" w:fontKey="{E26A78A3-8D8E-4DB7-A840-9912B4768073}"/>
  </w:font>
  <w:font w:name="楷体">
    <w:panose1 w:val="02010609060101010101"/>
    <w:charset w:val="86"/>
    <w:family w:val="auto"/>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00" w:usb3="00000000" w:csb0="0004009F" w:csb1="DFD70000"/>
    <w:embedRegular r:id="rId5" w:fontKey="{F8EC1D9F-B31E-4036-83FC-B4BD1639B36A}"/>
  </w:font>
  <w:font w:name="仿宋">
    <w:panose1 w:val="02010609060101010101"/>
    <w:charset w:val="86"/>
    <w:family w:val="auto"/>
    <w:pitch w:val="default"/>
    <w:sig w:usb0="800002BF" w:usb1="38CF7CFA" w:usb2="00000016" w:usb3="00000000" w:csb0="00040001" w:csb1="00000000"/>
    <w:embedRegular r:id="rId6" w:fontKey="{2EF15955-D23E-41F5-923B-03C025DE1A2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EF0428">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041D12">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14:paraId="33041D12">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8F4923"/>
    <w:multiLevelType w:val="singleLevel"/>
    <w:tmpl w:val="CD8F4923"/>
    <w:lvl w:ilvl="0" w:tentative="0">
      <w:start w:val="5"/>
      <w:numFmt w:val="decimal"/>
      <w:suff w:val="nothing"/>
      <w:lvlText w:val="%1、"/>
      <w:lvlJc w:val="left"/>
    </w:lvl>
  </w:abstractNum>
  <w:abstractNum w:abstractNumId="1">
    <w:nsid w:val="F4927CCC"/>
    <w:multiLevelType w:val="singleLevel"/>
    <w:tmpl w:val="F4927CCC"/>
    <w:lvl w:ilvl="0" w:tentative="0">
      <w:start w:val="3"/>
      <w:numFmt w:val="decimal"/>
      <w:suff w:val="nothing"/>
      <w:lvlText w:val="（%1）"/>
      <w:lvlJc w:val="left"/>
    </w:lvl>
  </w:abstractNum>
  <w:abstractNum w:abstractNumId="2">
    <w:nsid w:val="FDCD2DF5"/>
    <w:multiLevelType w:val="singleLevel"/>
    <w:tmpl w:val="FDCD2DF5"/>
    <w:lvl w:ilvl="0" w:tentative="0">
      <w:start w:val="2"/>
      <w:numFmt w:val="decimal"/>
      <w:suff w:val="nothing"/>
      <w:lvlText w:val="(%1）"/>
      <w:lvlJc w:val="left"/>
    </w:lvl>
  </w:abstractNum>
  <w:abstractNum w:abstractNumId="3">
    <w:nsid w:val="42CFE2BB"/>
    <w:multiLevelType w:val="singleLevel"/>
    <w:tmpl w:val="42CFE2BB"/>
    <w:lvl w:ilvl="0" w:tentative="0">
      <w:start w:val="7"/>
      <w:numFmt w:val="decimal"/>
      <w:suff w:val="nothing"/>
      <w:lvlText w:val="%1、"/>
      <w:lvlJc w:val="left"/>
    </w:lvl>
  </w:abstractNum>
  <w:abstractNum w:abstractNumId="4">
    <w:nsid w:val="5541BA33"/>
    <w:multiLevelType w:val="singleLevel"/>
    <w:tmpl w:val="5541BA33"/>
    <w:lvl w:ilvl="0" w:tentative="0">
      <w:start w:val="3"/>
      <w:numFmt w:val="decimal"/>
      <w:suff w:val="nothing"/>
      <w:lvlText w:val="%1、"/>
      <w:lvlJc w:val="left"/>
    </w:lvl>
  </w:abstractNum>
  <w:num w:numId="1">
    <w:abstractNumId w:val="3"/>
  </w:num>
  <w:num w:numId="2">
    <w:abstractNumId w:val="1"/>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960"/>
  <w:hyphenationZone w:val="36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NjNzM5MTQ5YzE5ZDkwZDE2MjRjZTM1YzYxNGFjMzQifQ=="/>
  </w:docVars>
  <w:rsids>
    <w:rsidRoot w:val="00000000"/>
    <w:rsid w:val="001C5779"/>
    <w:rsid w:val="00757B9E"/>
    <w:rsid w:val="00893E45"/>
    <w:rsid w:val="00F0178A"/>
    <w:rsid w:val="012670EA"/>
    <w:rsid w:val="01B110AA"/>
    <w:rsid w:val="023D0B8F"/>
    <w:rsid w:val="02D0730E"/>
    <w:rsid w:val="02D51B29"/>
    <w:rsid w:val="030A0A72"/>
    <w:rsid w:val="033D7C69"/>
    <w:rsid w:val="03463A74"/>
    <w:rsid w:val="03E95FF8"/>
    <w:rsid w:val="04A3446D"/>
    <w:rsid w:val="05CC18B7"/>
    <w:rsid w:val="05FD48BE"/>
    <w:rsid w:val="060E6989"/>
    <w:rsid w:val="06B05B49"/>
    <w:rsid w:val="06E34FAF"/>
    <w:rsid w:val="07F372F2"/>
    <w:rsid w:val="07F44312"/>
    <w:rsid w:val="083A76E3"/>
    <w:rsid w:val="089C432C"/>
    <w:rsid w:val="08A90D2D"/>
    <w:rsid w:val="08E933B2"/>
    <w:rsid w:val="09B01C47"/>
    <w:rsid w:val="09DF510B"/>
    <w:rsid w:val="0A9652E1"/>
    <w:rsid w:val="0B096A76"/>
    <w:rsid w:val="0B57681E"/>
    <w:rsid w:val="0B6959AF"/>
    <w:rsid w:val="0BE305ED"/>
    <w:rsid w:val="0C1464BD"/>
    <w:rsid w:val="0CA43AD9"/>
    <w:rsid w:val="0CA959B0"/>
    <w:rsid w:val="0CE1395A"/>
    <w:rsid w:val="0D1349C7"/>
    <w:rsid w:val="0E765F2E"/>
    <w:rsid w:val="0E8A515C"/>
    <w:rsid w:val="0EDF718A"/>
    <w:rsid w:val="0FA77648"/>
    <w:rsid w:val="119500A0"/>
    <w:rsid w:val="14305E5E"/>
    <w:rsid w:val="14A5684C"/>
    <w:rsid w:val="151D017F"/>
    <w:rsid w:val="15D64B57"/>
    <w:rsid w:val="165B4C42"/>
    <w:rsid w:val="1865540D"/>
    <w:rsid w:val="18A00200"/>
    <w:rsid w:val="18C87460"/>
    <w:rsid w:val="191E2FE2"/>
    <w:rsid w:val="19502AFF"/>
    <w:rsid w:val="19D41982"/>
    <w:rsid w:val="1A2975D8"/>
    <w:rsid w:val="1B5C39DD"/>
    <w:rsid w:val="1C887174"/>
    <w:rsid w:val="1E2A55DE"/>
    <w:rsid w:val="20072CDE"/>
    <w:rsid w:val="201A30F2"/>
    <w:rsid w:val="20A971D2"/>
    <w:rsid w:val="20AF2801"/>
    <w:rsid w:val="21155BA1"/>
    <w:rsid w:val="218F16AC"/>
    <w:rsid w:val="220D2E06"/>
    <w:rsid w:val="22E5250A"/>
    <w:rsid w:val="233174FD"/>
    <w:rsid w:val="240D1D18"/>
    <w:rsid w:val="245028C0"/>
    <w:rsid w:val="24975A86"/>
    <w:rsid w:val="254311F4"/>
    <w:rsid w:val="25CB1E8B"/>
    <w:rsid w:val="25DF76E4"/>
    <w:rsid w:val="26033E2F"/>
    <w:rsid w:val="273F1089"/>
    <w:rsid w:val="276B56D3"/>
    <w:rsid w:val="27A6670B"/>
    <w:rsid w:val="27BC5F2F"/>
    <w:rsid w:val="282B6C11"/>
    <w:rsid w:val="288F53F1"/>
    <w:rsid w:val="28D948BF"/>
    <w:rsid w:val="2A2037D2"/>
    <w:rsid w:val="2A263B34"/>
    <w:rsid w:val="2A4C7A7B"/>
    <w:rsid w:val="2AA0104D"/>
    <w:rsid w:val="2B5D5BAC"/>
    <w:rsid w:val="2B8C5C3B"/>
    <w:rsid w:val="2C761C73"/>
    <w:rsid w:val="2C9C6B27"/>
    <w:rsid w:val="2CA44BF9"/>
    <w:rsid w:val="2CAA2323"/>
    <w:rsid w:val="2CEA2B77"/>
    <w:rsid w:val="2D7626DC"/>
    <w:rsid w:val="2DE70125"/>
    <w:rsid w:val="2E0E51D4"/>
    <w:rsid w:val="2E2F4FDF"/>
    <w:rsid w:val="2E953036"/>
    <w:rsid w:val="2E9848D4"/>
    <w:rsid w:val="300A3121"/>
    <w:rsid w:val="307403CB"/>
    <w:rsid w:val="30974338"/>
    <w:rsid w:val="30C550F8"/>
    <w:rsid w:val="31381C99"/>
    <w:rsid w:val="3207249C"/>
    <w:rsid w:val="324D10E6"/>
    <w:rsid w:val="32594E70"/>
    <w:rsid w:val="329655CE"/>
    <w:rsid w:val="3329791B"/>
    <w:rsid w:val="340D18C0"/>
    <w:rsid w:val="34B166F0"/>
    <w:rsid w:val="34C7079B"/>
    <w:rsid w:val="3551592C"/>
    <w:rsid w:val="356D0868"/>
    <w:rsid w:val="36E9148E"/>
    <w:rsid w:val="36EE40C0"/>
    <w:rsid w:val="3763157C"/>
    <w:rsid w:val="37DA2FA3"/>
    <w:rsid w:val="37FF59C4"/>
    <w:rsid w:val="383C2774"/>
    <w:rsid w:val="38E0527B"/>
    <w:rsid w:val="39CA7AC7"/>
    <w:rsid w:val="3A077400"/>
    <w:rsid w:val="3A345DF9"/>
    <w:rsid w:val="3A443B62"/>
    <w:rsid w:val="3A505EF4"/>
    <w:rsid w:val="3AB900AC"/>
    <w:rsid w:val="3AC52EF5"/>
    <w:rsid w:val="3B2F036E"/>
    <w:rsid w:val="3C2B7F6F"/>
    <w:rsid w:val="3D2C36FA"/>
    <w:rsid w:val="3D485717"/>
    <w:rsid w:val="3D4C3459"/>
    <w:rsid w:val="3FD930AA"/>
    <w:rsid w:val="3FDD65EB"/>
    <w:rsid w:val="4162324B"/>
    <w:rsid w:val="416E3AED"/>
    <w:rsid w:val="42287095"/>
    <w:rsid w:val="42704A21"/>
    <w:rsid w:val="433E55F2"/>
    <w:rsid w:val="438001C3"/>
    <w:rsid w:val="444E2BBB"/>
    <w:rsid w:val="444E5D09"/>
    <w:rsid w:val="44935E12"/>
    <w:rsid w:val="44AA528C"/>
    <w:rsid w:val="45FC4209"/>
    <w:rsid w:val="46B506C4"/>
    <w:rsid w:val="473B322D"/>
    <w:rsid w:val="474F708A"/>
    <w:rsid w:val="48616ED1"/>
    <w:rsid w:val="48822425"/>
    <w:rsid w:val="49356996"/>
    <w:rsid w:val="49836455"/>
    <w:rsid w:val="498F08E7"/>
    <w:rsid w:val="4A3D45CF"/>
    <w:rsid w:val="4B865D88"/>
    <w:rsid w:val="4C215AB1"/>
    <w:rsid w:val="4CA771BE"/>
    <w:rsid w:val="4CB93F3C"/>
    <w:rsid w:val="4CD42559"/>
    <w:rsid w:val="4CF92FA1"/>
    <w:rsid w:val="4D357A66"/>
    <w:rsid w:val="4D423F31"/>
    <w:rsid w:val="4D710BC6"/>
    <w:rsid w:val="4D8E672F"/>
    <w:rsid w:val="4DBD2C24"/>
    <w:rsid w:val="4E3D3D45"/>
    <w:rsid w:val="4E5C05D0"/>
    <w:rsid w:val="4F4832F1"/>
    <w:rsid w:val="4FDC7366"/>
    <w:rsid w:val="50285660"/>
    <w:rsid w:val="504640BE"/>
    <w:rsid w:val="51624BA2"/>
    <w:rsid w:val="51C665C4"/>
    <w:rsid w:val="52C06024"/>
    <w:rsid w:val="52D95337"/>
    <w:rsid w:val="540320BD"/>
    <w:rsid w:val="5424039E"/>
    <w:rsid w:val="543071D9"/>
    <w:rsid w:val="548A4B3B"/>
    <w:rsid w:val="55775F27"/>
    <w:rsid w:val="563E4831"/>
    <w:rsid w:val="56FE7E15"/>
    <w:rsid w:val="58107035"/>
    <w:rsid w:val="5868421E"/>
    <w:rsid w:val="58C9314E"/>
    <w:rsid w:val="58E1696D"/>
    <w:rsid w:val="59945B14"/>
    <w:rsid w:val="59E37C05"/>
    <w:rsid w:val="5ADE76BC"/>
    <w:rsid w:val="5B5F0080"/>
    <w:rsid w:val="5B766644"/>
    <w:rsid w:val="5C0B2086"/>
    <w:rsid w:val="5C5B1F1E"/>
    <w:rsid w:val="5C7E3909"/>
    <w:rsid w:val="5CC55BC9"/>
    <w:rsid w:val="5D350DE0"/>
    <w:rsid w:val="5D683540"/>
    <w:rsid w:val="5D884144"/>
    <w:rsid w:val="5E3B0D92"/>
    <w:rsid w:val="5E800D5D"/>
    <w:rsid w:val="5EA26F25"/>
    <w:rsid w:val="5FCD4281"/>
    <w:rsid w:val="600D4872"/>
    <w:rsid w:val="60A46F85"/>
    <w:rsid w:val="612F0288"/>
    <w:rsid w:val="61956182"/>
    <w:rsid w:val="62145A44"/>
    <w:rsid w:val="6220263B"/>
    <w:rsid w:val="629E7A04"/>
    <w:rsid w:val="64175762"/>
    <w:rsid w:val="64190FA8"/>
    <w:rsid w:val="643028DD"/>
    <w:rsid w:val="64AE0B4A"/>
    <w:rsid w:val="64BB489D"/>
    <w:rsid w:val="670E73EE"/>
    <w:rsid w:val="67B94C40"/>
    <w:rsid w:val="6A2D56EA"/>
    <w:rsid w:val="6A31115D"/>
    <w:rsid w:val="6A356EA0"/>
    <w:rsid w:val="6AB1664D"/>
    <w:rsid w:val="6C061936"/>
    <w:rsid w:val="6D013CD8"/>
    <w:rsid w:val="6D035363"/>
    <w:rsid w:val="6E005856"/>
    <w:rsid w:val="6E0935EA"/>
    <w:rsid w:val="6E273AFC"/>
    <w:rsid w:val="6F977E33"/>
    <w:rsid w:val="6FE52B30"/>
    <w:rsid w:val="6FFA4B08"/>
    <w:rsid w:val="70993A50"/>
    <w:rsid w:val="709D12FB"/>
    <w:rsid w:val="71272CD2"/>
    <w:rsid w:val="714D2D21"/>
    <w:rsid w:val="71B66B18"/>
    <w:rsid w:val="720D27E3"/>
    <w:rsid w:val="72706AC0"/>
    <w:rsid w:val="73F13005"/>
    <w:rsid w:val="74EF6FD3"/>
    <w:rsid w:val="75E0178A"/>
    <w:rsid w:val="770C71DA"/>
    <w:rsid w:val="771B11CB"/>
    <w:rsid w:val="778F713D"/>
    <w:rsid w:val="789E12AE"/>
    <w:rsid w:val="78DC0A27"/>
    <w:rsid w:val="79645A29"/>
    <w:rsid w:val="79955265"/>
    <w:rsid w:val="7A7E03EF"/>
    <w:rsid w:val="7B18439F"/>
    <w:rsid w:val="7B222A21"/>
    <w:rsid w:val="7B6E7743"/>
    <w:rsid w:val="7BAB5214"/>
    <w:rsid w:val="7BD302C6"/>
    <w:rsid w:val="7C9375A1"/>
    <w:rsid w:val="7CED360A"/>
    <w:rsid w:val="7DB46C23"/>
    <w:rsid w:val="7DD143E7"/>
    <w:rsid w:val="7E9F0726"/>
    <w:rsid w:val="7ECA6961"/>
    <w:rsid w:val="7F1E5CFC"/>
    <w:rsid w:val="7FA73F44"/>
    <w:rsid w:val="7FDE3DB6"/>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99"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0" w:firstLineChars="0"/>
      <w:jc w:val="left"/>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keepLines/>
      <w:spacing w:line="360" w:lineRule="auto"/>
      <w:ind w:firstLine="0" w:firstLineChars="0"/>
      <w:jc w:val="center"/>
      <w:outlineLvl w:val="0"/>
    </w:pPr>
    <w:rPr>
      <w:rFonts w:ascii="Times New Roman" w:hAnsi="Times New Roman" w:eastAsia="宋体" w:cs="Times New Roman"/>
      <w:b/>
      <w:kern w:val="44"/>
      <w:sz w:val="32"/>
      <w:szCs w:val="32"/>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Lines="0" w:beforeAutospacing="0" w:afterLines="0" w:afterAutospacing="0" w:line="413" w:lineRule="auto"/>
      <w:ind w:firstLine="0" w:firstLineChars="0"/>
      <w:outlineLvl w:val="2"/>
    </w:pPr>
    <w:rPr>
      <w:rFonts w:ascii="Times New Roman" w:hAnsi="Times New Roman" w:eastAsia="宋体" w:cs="Times New Roman"/>
      <w:b/>
      <w:sz w:val="28"/>
      <w:szCs w:val="28"/>
    </w:rPr>
  </w:style>
  <w:style w:type="paragraph" w:styleId="5">
    <w:name w:val="heading 4"/>
    <w:basedOn w:val="1"/>
    <w:next w:val="6"/>
    <w:unhideWhenUsed/>
    <w:qFormat/>
    <w:uiPriority w:val="0"/>
    <w:pPr>
      <w:keepNext/>
      <w:keepLines/>
      <w:spacing w:beforeLines="0" w:beforeAutospacing="0" w:afterLines="0" w:afterAutospacing="0" w:line="372" w:lineRule="auto"/>
      <w:ind w:firstLine="0" w:firstLineChars="0"/>
      <w:outlineLvl w:val="3"/>
    </w:pPr>
    <w:rPr>
      <w:rFonts w:ascii="Times New Roman" w:hAnsi="Times New Roman" w:eastAsia="宋体" w:cs="Times New Roman"/>
      <w:b/>
      <w:sz w:val="24"/>
    </w:rPr>
  </w:style>
  <w:style w:type="paragraph" w:styleId="7">
    <w:name w:val="heading 5"/>
    <w:basedOn w:val="1"/>
    <w:next w:val="5"/>
    <w:unhideWhenUsed/>
    <w:qFormat/>
    <w:uiPriority w:val="0"/>
    <w:pPr>
      <w:keepNext/>
      <w:keepLines/>
      <w:topLinePunct/>
      <w:autoSpaceDE/>
      <w:autoSpaceDN/>
      <w:spacing w:beforeLines="0" w:beforeAutospacing="0" w:afterLines="0" w:afterAutospacing="0" w:line="400" w:lineRule="exact"/>
      <w:ind w:firstLine="0" w:firstLineChars="0"/>
      <w:jc w:val="center"/>
      <w:outlineLvl w:val="4"/>
    </w:pPr>
    <w:rPr>
      <w:rFonts w:ascii="Times New Roman" w:hAnsi="Times New Roman" w:eastAsia="宋体" w:cs="宋体"/>
      <w:b/>
    </w:rPr>
  </w:style>
  <w:style w:type="character" w:default="1" w:styleId="23">
    <w:name w:val="Default Paragraph Font"/>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6">
    <w:name w:val="Normal Indent"/>
    <w:basedOn w:val="1"/>
    <w:link w:val="46"/>
    <w:qFormat/>
    <w:uiPriority w:val="0"/>
    <w:pPr>
      <w:ind w:firstLine="420" w:firstLineChars="200"/>
    </w:pPr>
  </w:style>
  <w:style w:type="paragraph" w:styleId="8">
    <w:name w:val="List 3"/>
    <w:basedOn w:val="1"/>
    <w:next w:val="1"/>
    <w:qFormat/>
    <w:uiPriority w:val="0"/>
    <w:pPr>
      <w:widowControl w:val="0"/>
      <w:autoSpaceDE w:val="0"/>
      <w:autoSpaceDN w:val="0"/>
      <w:spacing w:before="0" w:after="0" w:line="288" w:lineRule="auto"/>
      <w:ind w:left="1260" w:hanging="420"/>
    </w:pPr>
    <w:rPr>
      <w:rFonts w:ascii="Times New Roman" w:eastAsia="宋体"/>
      <w:sz w:val="24"/>
    </w:rPr>
  </w:style>
  <w:style w:type="paragraph" w:styleId="9">
    <w:name w:val="caption"/>
    <w:basedOn w:val="1"/>
    <w:next w:val="1"/>
    <w:link w:val="42"/>
    <w:unhideWhenUsed/>
    <w:qFormat/>
    <w:uiPriority w:val="0"/>
    <w:pPr>
      <w:jc w:val="center"/>
      <w:outlineLvl w:val="9"/>
    </w:pPr>
    <w:rPr>
      <w:rFonts w:ascii="Times New Roman" w:hAnsi="Times New Roman" w:eastAsia="宋体" w:cs="Times New Roman"/>
      <w:b/>
      <w:szCs w:val="21"/>
    </w:rPr>
  </w:style>
  <w:style w:type="paragraph" w:styleId="10">
    <w:name w:val="annotation text"/>
    <w:basedOn w:val="1"/>
    <w:qFormat/>
    <w:uiPriority w:val="0"/>
    <w:pPr>
      <w:jc w:val="left"/>
    </w:pPr>
  </w:style>
  <w:style w:type="paragraph" w:styleId="11">
    <w:name w:val="Body Text"/>
    <w:basedOn w:val="1"/>
    <w:link w:val="41"/>
    <w:qFormat/>
    <w:uiPriority w:val="0"/>
    <w:pPr>
      <w:widowControl/>
      <w:snapToGrid w:val="0"/>
      <w:spacing w:before="60" w:after="160" w:line="259" w:lineRule="auto"/>
      <w:ind w:right="113"/>
    </w:pPr>
    <w:rPr>
      <w:kern w:val="0"/>
      <w:sz w:val="18"/>
      <w:szCs w:val="20"/>
    </w:rPr>
  </w:style>
  <w:style w:type="paragraph" w:styleId="12">
    <w:name w:val="Plain Text"/>
    <w:basedOn w:val="1"/>
    <w:next w:val="1"/>
    <w:link w:val="40"/>
    <w:qFormat/>
    <w:uiPriority w:val="0"/>
    <w:rPr>
      <w:rFonts w:ascii="宋体" w:hAnsi="Courier New" w:eastAsia="宋体" w:cs="Courier New"/>
      <w:sz w:val="21"/>
      <w:szCs w:val="21"/>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0"/>
  </w:style>
  <w:style w:type="paragraph" w:styleId="16">
    <w:name w:val="index heading"/>
    <w:next w:val="17"/>
    <w:qFormat/>
    <w:uiPriority w:val="99"/>
    <w:pPr>
      <w:widowControl w:val="0"/>
      <w:jc w:val="both"/>
    </w:pPr>
    <w:rPr>
      <w:rFonts w:ascii="Times New Roman" w:hAnsi="Times New Roman" w:eastAsia="宋体" w:cs="Times New Roman"/>
      <w:kern w:val="2"/>
      <w:sz w:val="21"/>
      <w:szCs w:val="20"/>
      <w:lang w:val="en-US" w:eastAsia="zh-CN" w:bidi="ar-SA"/>
    </w:rPr>
  </w:style>
  <w:style w:type="paragraph" w:styleId="17">
    <w:name w:val="index 1"/>
    <w:next w:val="1"/>
    <w:unhideWhenUsed/>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18">
    <w:name w:val="Body Text Indent 3"/>
    <w:basedOn w:val="1"/>
    <w:link w:val="43"/>
    <w:qFormat/>
    <w:uiPriority w:val="0"/>
    <w:pPr>
      <w:spacing w:after="120" w:afterLines="0"/>
      <w:ind w:left="420" w:leftChars="200"/>
    </w:pPr>
    <w:rPr>
      <w:sz w:val="16"/>
      <w:szCs w:val="16"/>
    </w:rPr>
  </w:style>
  <w:style w:type="paragraph" w:styleId="19">
    <w:name w:val="Normal (Web)"/>
    <w:basedOn w:val="1"/>
    <w:link w:val="44"/>
    <w:qFormat/>
    <w:uiPriority w:val="0"/>
    <w:pPr>
      <w:spacing w:before="100" w:beforeAutospacing="1" w:after="100" w:afterAutospacing="1"/>
      <w:ind w:left="0" w:right="0"/>
      <w:jc w:val="left"/>
    </w:pPr>
    <w:rPr>
      <w:kern w:val="0"/>
      <w:sz w:val="24"/>
      <w:lang w:val="en-US" w:eastAsia="zh-CN" w:bidi="ar"/>
    </w:rPr>
  </w:style>
  <w:style w:type="paragraph" w:styleId="20">
    <w:name w:val="Body Text First Indent"/>
    <w:basedOn w:val="11"/>
    <w:next w:val="1"/>
    <w:link w:val="24"/>
    <w:qFormat/>
    <w:uiPriority w:val="0"/>
    <w:pPr>
      <w:overflowPunct w:val="0"/>
      <w:autoSpaceDE w:val="0"/>
      <w:autoSpaceDN w:val="0"/>
      <w:adjustRightInd w:val="0"/>
      <w:spacing w:line="360" w:lineRule="auto"/>
      <w:ind w:firstLine="539"/>
      <w:textAlignment w:val="baseline"/>
    </w:pPr>
    <w:rPr>
      <w:kern w:val="0"/>
      <w:sz w:val="28"/>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4">
    <w:name w:val="正文首行缩进 Char"/>
    <w:link w:val="20"/>
    <w:qFormat/>
    <w:uiPriority w:val="99"/>
    <w:rPr>
      <w:kern w:val="0"/>
      <w:sz w:val="28"/>
    </w:rPr>
  </w:style>
  <w:style w:type="paragraph" w:customStyle="1" w:styleId="25">
    <w:name w:val="Table Text"/>
    <w:basedOn w:val="1"/>
    <w:semiHidden/>
    <w:qFormat/>
    <w:uiPriority w:val="0"/>
    <w:rPr>
      <w:rFonts w:ascii="宋体" w:hAnsi="宋体" w:eastAsia="宋体" w:cs="宋体"/>
      <w:sz w:val="20"/>
      <w:szCs w:val="20"/>
      <w:lang w:val="en-US" w:eastAsia="en-US" w:bidi="ar-SA"/>
    </w:rPr>
  </w:style>
  <w:style w:type="paragraph" w:customStyle="1" w:styleId="26">
    <w:name w:val="A正文1"/>
    <w:basedOn w:val="1"/>
    <w:link w:val="45"/>
    <w:qFormat/>
    <w:uiPriority w:val="0"/>
    <w:pPr>
      <w:spacing w:line="360" w:lineRule="auto"/>
      <w:ind w:firstLine="200" w:firstLineChars="200"/>
    </w:pPr>
    <w:rPr>
      <w:rFonts w:ascii="Times New Roman" w:hAnsi="Times New Roman"/>
      <w:sz w:val="24"/>
      <w:szCs w:val="28"/>
    </w:rPr>
  </w:style>
  <w:style w:type="paragraph" w:customStyle="1" w:styleId="27">
    <w:name w:val="_Style 1"/>
    <w:basedOn w:val="1"/>
    <w:qFormat/>
    <w:uiPriority w:val="0"/>
    <w:pPr>
      <w:spacing w:line="481" w:lineRule="atLeast"/>
      <w:ind w:firstLine="623"/>
      <w:textAlignment w:val="baseline"/>
    </w:pPr>
    <w:rPr>
      <w:rFonts w:ascii="Times New Roman" w:hAnsi="Times New Roman" w:eastAsia="仿宋_GB2312" w:cs="Times New Roman"/>
      <w:color w:val="000000"/>
      <w:sz w:val="31"/>
    </w:rPr>
  </w:style>
  <w:style w:type="paragraph" w:customStyle="1" w:styleId="28">
    <w:name w:val="Other|1"/>
    <w:basedOn w:val="1"/>
    <w:qFormat/>
    <w:uiPriority w:val="0"/>
    <w:pPr>
      <w:spacing w:line="437" w:lineRule="auto"/>
      <w:ind w:firstLine="400"/>
    </w:pPr>
    <w:rPr>
      <w:sz w:val="22"/>
      <w:szCs w:val="22"/>
      <w:lang w:val="zh-TW" w:eastAsia="zh-TW" w:bidi="zh-TW"/>
    </w:rPr>
  </w:style>
  <w:style w:type="paragraph" w:customStyle="1" w:styleId="29">
    <w:name w:val="正文文本 全"/>
    <w:basedOn w:val="11"/>
    <w:qFormat/>
    <w:uiPriority w:val="0"/>
    <w:pPr>
      <w:spacing w:before="0" w:after="0" w:line="360" w:lineRule="auto"/>
      <w:ind w:right="0" w:firstLine="200" w:firstLineChars="200"/>
    </w:pPr>
    <w:rPr>
      <w:sz w:val="21"/>
    </w:rPr>
  </w:style>
  <w:style w:type="paragraph" w:customStyle="1" w:styleId="30">
    <w:name w:val="Default"/>
    <w:basedOn w:val="31"/>
    <w:next w:val="32"/>
    <w:unhideWhenUsed/>
    <w:qFormat/>
    <w:uiPriority w:val="99"/>
    <w:pPr>
      <w:widowControl w:val="0"/>
      <w:autoSpaceDE w:val="0"/>
      <w:autoSpaceDN w:val="0"/>
      <w:adjustRightInd w:val="0"/>
    </w:pPr>
    <w:rPr>
      <w:rFonts w:ascii="宋体" w:hAnsi="宋体" w:eastAsia="宋体" w:cs="Times New Roman"/>
      <w:color w:val="000000"/>
      <w:sz w:val="24"/>
      <w:szCs w:val="22"/>
      <w:lang w:val="en-US" w:eastAsia="zh-CN" w:bidi="ar-SA"/>
    </w:rPr>
  </w:style>
  <w:style w:type="paragraph" w:customStyle="1" w:styleId="31">
    <w:name w:val="纯文本1"/>
    <w:basedOn w:val="1"/>
    <w:qFormat/>
    <w:uiPriority w:val="0"/>
    <w:rPr>
      <w:rFonts w:ascii="宋体" w:hAnsi="Courier New"/>
    </w:rPr>
  </w:style>
  <w:style w:type="paragraph" w:customStyle="1" w:styleId="32">
    <w:name w:val="样式1"/>
    <w:next w:val="1"/>
    <w:qFormat/>
    <w:uiPriority w:val="0"/>
    <w:pPr>
      <w:widowControl w:val="0"/>
      <w:spacing w:beforeLines="50" w:line="440" w:lineRule="exact"/>
      <w:ind w:left="100" w:leftChars="100"/>
      <w:jc w:val="both"/>
    </w:pPr>
    <w:rPr>
      <w:rFonts w:ascii="宋体" w:hAnsi="宋体" w:eastAsia="宋体" w:cs="Times New Roman"/>
      <w:kern w:val="2"/>
      <w:sz w:val="21"/>
      <w:szCs w:val="20"/>
      <w:lang w:val="en-US" w:eastAsia="zh-CN" w:bidi="ar-SA"/>
    </w:rPr>
  </w:style>
  <w:style w:type="paragraph" w:customStyle="1" w:styleId="33">
    <w:name w:val="报告正文"/>
    <w:basedOn w:val="1"/>
    <w:qFormat/>
    <w:uiPriority w:val="0"/>
    <w:pPr>
      <w:adjustRightInd w:val="0"/>
      <w:snapToGrid w:val="0"/>
      <w:spacing w:line="360" w:lineRule="auto"/>
      <w:ind w:firstLine="200" w:firstLineChars="200"/>
    </w:pPr>
    <w:rPr>
      <w:rFonts w:ascii="宋体"/>
      <w:sz w:val="24"/>
      <w:szCs w:val="22"/>
    </w:rPr>
  </w:style>
  <w:style w:type="paragraph" w:customStyle="1" w:styleId="34">
    <w:name w:val="0正文"/>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35">
    <w:name w:val="样式 样式 样式 小四 首行缩进:  2.25 字符 + 首行缩进:  2.25 字符 + 首行缩进:  2 字符"/>
    <w:basedOn w:val="1"/>
    <w:qFormat/>
    <w:uiPriority w:val="0"/>
    <w:pPr>
      <w:spacing w:line="440" w:lineRule="exact"/>
      <w:ind w:firstLine="200" w:firstLineChars="200"/>
    </w:pPr>
    <w:rPr>
      <w:sz w:val="24"/>
    </w:rPr>
  </w:style>
  <w:style w:type="paragraph" w:customStyle="1" w:styleId="36">
    <w:name w:val="00-表内格式"/>
    <w:basedOn w:val="1"/>
    <w:qFormat/>
    <w:uiPriority w:val="0"/>
    <w:pPr>
      <w:spacing w:line="240" w:lineRule="auto"/>
      <w:ind w:firstLine="0" w:firstLineChars="0"/>
      <w:jc w:val="center"/>
    </w:pPr>
    <w:rPr>
      <w:rFonts w:ascii="Times New Roman" w:hAnsi="Times New Roman"/>
      <w:sz w:val="21"/>
    </w:rPr>
  </w:style>
  <w:style w:type="paragraph" w:customStyle="1" w:styleId="37">
    <w:name w:val="表格文字"/>
    <w:basedOn w:val="12"/>
    <w:next w:val="1"/>
    <w:qFormat/>
    <w:uiPriority w:val="0"/>
    <w:pPr>
      <w:snapToGrid w:val="0"/>
      <w:spacing w:line="240" w:lineRule="auto"/>
      <w:ind w:firstLine="0" w:firstLineChars="0"/>
      <w:jc w:val="center"/>
    </w:pPr>
    <w:rPr>
      <w:rFonts w:ascii="Times New Roman" w:hAnsi="Times New Roman" w:eastAsia="宋体"/>
      <w:kern w:val="44"/>
      <w:sz w:val="21"/>
    </w:rPr>
  </w:style>
  <w:style w:type="table" w:customStyle="1" w:styleId="38">
    <w:name w:val="Table Normal"/>
    <w:semiHidden/>
    <w:unhideWhenUsed/>
    <w:qFormat/>
    <w:uiPriority w:val="0"/>
    <w:tblPr>
      <w:tblCellMar>
        <w:top w:w="0" w:type="dxa"/>
        <w:left w:w="0" w:type="dxa"/>
        <w:bottom w:w="0" w:type="dxa"/>
        <w:right w:w="0" w:type="dxa"/>
      </w:tblCellMar>
    </w:tblPr>
  </w:style>
  <w:style w:type="paragraph" w:customStyle="1" w:styleId="39">
    <w:name w:val="S报告正文"/>
    <w:basedOn w:val="1"/>
    <w:qFormat/>
    <w:uiPriority w:val="0"/>
    <w:pPr>
      <w:adjustRightInd w:val="0"/>
      <w:snapToGrid w:val="0"/>
      <w:spacing w:line="480" w:lineRule="exact"/>
      <w:ind w:firstLine="510"/>
      <w:jc w:val="left"/>
    </w:pPr>
    <w:rPr>
      <w:sz w:val="24"/>
    </w:rPr>
  </w:style>
  <w:style w:type="character" w:customStyle="1" w:styleId="40">
    <w:name w:val="纯文本 Char"/>
    <w:link w:val="12"/>
    <w:qFormat/>
    <w:uiPriority w:val="0"/>
    <w:rPr>
      <w:rFonts w:ascii="宋体" w:hAnsi="Courier New" w:eastAsia="宋体" w:cs="Courier New"/>
      <w:sz w:val="21"/>
      <w:szCs w:val="21"/>
    </w:rPr>
  </w:style>
  <w:style w:type="character" w:customStyle="1" w:styleId="41">
    <w:name w:val="正文文本 Char"/>
    <w:link w:val="11"/>
    <w:qFormat/>
    <w:uiPriority w:val="0"/>
    <w:rPr>
      <w:kern w:val="0"/>
      <w:sz w:val="18"/>
      <w:szCs w:val="20"/>
    </w:rPr>
  </w:style>
  <w:style w:type="character" w:customStyle="1" w:styleId="42">
    <w:name w:val="题注 Char"/>
    <w:link w:val="9"/>
    <w:qFormat/>
    <w:uiPriority w:val="0"/>
    <w:rPr>
      <w:rFonts w:ascii="Times New Roman" w:hAnsi="Times New Roman" w:eastAsia="宋体" w:cs="Times New Roman"/>
      <w:b/>
      <w:szCs w:val="21"/>
    </w:rPr>
  </w:style>
  <w:style w:type="character" w:customStyle="1" w:styleId="43">
    <w:name w:val="正文文本缩进 3 Char"/>
    <w:link w:val="18"/>
    <w:qFormat/>
    <w:uiPriority w:val="0"/>
    <w:rPr>
      <w:sz w:val="16"/>
      <w:szCs w:val="16"/>
    </w:rPr>
  </w:style>
  <w:style w:type="character" w:customStyle="1" w:styleId="44">
    <w:name w:val="普通(网站) Char"/>
    <w:link w:val="19"/>
    <w:qFormat/>
    <w:uiPriority w:val="0"/>
    <w:rPr>
      <w:kern w:val="0"/>
      <w:sz w:val="24"/>
      <w:lang w:val="en-US" w:eastAsia="zh-CN" w:bidi="ar"/>
    </w:rPr>
  </w:style>
  <w:style w:type="character" w:customStyle="1" w:styleId="45">
    <w:name w:val="A正文1 Char"/>
    <w:link w:val="26"/>
    <w:qFormat/>
    <w:uiPriority w:val="0"/>
    <w:rPr>
      <w:rFonts w:ascii="Times New Roman" w:hAnsi="Times New Roman"/>
      <w:sz w:val="24"/>
      <w:szCs w:val="28"/>
    </w:rPr>
  </w:style>
  <w:style w:type="character" w:customStyle="1" w:styleId="46">
    <w:name w:val="正文缩进 Char"/>
    <w:link w:val="6"/>
    <w:qFormat/>
    <w:uiPriority w:val="0"/>
  </w:style>
  <w:style w:type="paragraph" w:customStyle="1" w:styleId="47">
    <w:name w:val="表格1"/>
    <w:basedOn w:val="1"/>
    <w:qFormat/>
    <w:uiPriority w:val="0"/>
    <w:pPr>
      <w:spacing w:line="240" w:lineRule="auto"/>
      <w:jc w:val="center"/>
    </w:pPr>
    <w:rPr>
      <w:bCs/>
      <w:color w:val="000000"/>
      <w:kern w:val="0"/>
      <w:sz w:val="21"/>
      <w:szCs w:val="19"/>
    </w:rPr>
  </w:style>
  <w:style w:type="paragraph" w:customStyle="1" w:styleId="48">
    <w:name w:val="表格内容"/>
    <w:basedOn w:val="1"/>
    <w:qFormat/>
    <w:uiPriority w:val="0"/>
    <w:pPr>
      <w:overflowPunct w:val="0"/>
      <w:adjustRightInd w:val="0"/>
      <w:spacing w:before="40" w:beforeLines="0" w:after="60" w:afterLines="0" w:line="200" w:lineRule="atLeast"/>
      <w:jc w:val="left"/>
      <w:textAlignment w:val="baseline"/>
    </w:pPr>
    <w:rPr>
      <w:rFonts w:ascii="宋体"/>
      <w:kern w:val="0"/>
      <w:sz w:val="24"/>
      <w:szCs w:val="20"/>
    </w:rPr>
  </w:style>
  <w:style w:type="paragraph" w:customStyle="1" w:styleId="49">
    <w:name w:val="WPSOffice手动目录 1"/>
    <w:qFormat/>
    <w:uiPriority w:val="0"/>
    <w:pPr>
      <w:ind w:leftChars="0"/>
    </w:pPr>
    <w:rPr>
      <w:rFonts w:ascii="Times New Roman" w:hAnsi="Times New Roman" w:eastAsia="宋体" w:cs="Times New Roman"/>
      <w:sz w:val="20"/>
      <w:szCs w:val="20"/>
    </w:rPr>
  </w:style>
  <w:style w:type="paragraph" w:customStyle="1" w:styleId="50">
    <w:name w:val="表文"/>
    <w:basedOn w:val="1"/>
    <w:qFormat/>
    <w:uiPriority w:val="0"/>
    <w:pPr>
      <w:spacing w:line="240" w:lineRule="auto"/>
      <w:ind w:firstLine="0" w:firstLineChars="0"/>
      <w:jc w:val="center"/>
    </w:pPr>
    <w:rPr>
      <w:spacing w:val="-2"/>
      <w:kern w:val="0"/>
      <w:sz w:val="21"/>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png"/><Relationship Id="rId33" Type="http://schemas.openxmlformats.org/officeDocument/2006/relationships/image" Target="media/image26.jpeg"/><Relationship Id="rId32" Type="http://schemas.openxmlformats.org/officeDocument/2006/relationships/image" Target="media/image25.png"/><Relationship Id="rId31" Type="http://schemas.openxmlformats.org/officeDocument/2006/relationships/image" Target="media/image24.jpe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88</Pages>
  <Words>12685</Words>
  <Characters>13566</Characters>
  <Lines>0</Lines>
  <Paragraphs>0</Paragraphs>
  <TotalTime>184</TotalTime>
  <ScaleCrop>false</ScaleCrop>
  <LinksUpToDate>false</LinksUpToDate>
  <CharactersWithSpaces>13644</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2025-01-07T06:44:00Z</dcterms:created>
  <dc:creator>Mayn</dc:creator>
  <cp:lastModifiedBy>WPS_1744076038</cp:lastModifiedBy>
  <dcterms:modified xsi:type="dcterms:W3CDTF">2025-08-28T03:29:52Z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TemplateDocerSaveRecord">
    <vt:lpwstr>eyJoZGlkIjoiZmNjZTE4YWFiMTIwMzJiMzBiY2NlZDQ5MjJjMzRmZWEiLCJ1c2VySWQiOiIxNjkyNjU2OTA1In0=</vt:lpwstr>
  </property>
  <property fmtid="{D5CDD505-2E9C-101B-9397-08002B2CF9AE}" pid="4" name="ICV">
    <vt:lpwstr>4BB35D9DE995478CA0AA11E6F7D5BD7C_12</vt:lpwstr>
  </property>
</Properties>
</file>