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南岳区环境卫生所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年度部门整体支出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eastAsia="方正小标宋_GBK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绩效评价报告</w:t>
      </w:r>
    </w:p>
    <w:p>
      <w:pPr>
        <w:spacing w:line="600" w:lineRule="exact"/>
        <w:ind w:firstLine="645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根据《中共中央 国务院关于全面实施预算绩效管理的意见》的文件精神，我</w:t>
      </w:r>
      <w:r>
        <w:rPr>
          <w:rFonts w:hint="eastAsia" w:eastAsia="仿宋_GB2312"/>
          <w:sz w:val="32"/>
          <w:szCs w:val="32"/>
          <w:lang w:eastAsia="zh-CN"/>
        </w:rPr>
        <w:t>单位</w:t>
      </w:r>
      <w:r>
        <w:rPr>
          <w:rFonts w:eastAsia="仿宋_GB2312"/>
          <w:sz w:val="32"/>
          <w:szCs w:val="32"/>
        </w:rPr>
        <w:t>对部门整体支出进行了绩效评价，现报告如下：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  <w:lang w:eastAsia="zh-CN"/>
        </w:rPr>
        <w:t>一、</w:t>
      </w:r>
      <w:r>
        <w:rPr>
          <w:rFonts w:hint="eastAsia" w:ascii="黑体" w:hAnsi="Times New Roman" w:eastAsia="黑体" w:cs="Times New Roman"/>
          <w:sz w:val="32"/>
          <w:szCs w:val="32"/>
        </w:rPr>
        <w:t>部门（单位）基本情况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196"/>
        <w:jc w:val="left"/>
        <w:textAlignment w:val="auto"/>
        <w:rPr>
          <w:rFonts w:eastAsia="楷体_GB2312"/>
          <w:b/>
          <w:snapToGrid w:val="0"/>
          <w:kern w:val="0"/>
          <w:sz w:val="32"/>
          <w:szCs w:val="32"/>
        </w:rPr>
      </w:pPr>
      <w:r>
        <w:rPr>
          <w:rFonts w:eastAsia="楷体_GB2312"/>
          <w:b/>
          <w:snapToGrid w:val="0"/>
          <w:kern w:val="0"/>
          <w:sz w:val="32"/>
          <w:szCs w:val="32"/>
        </w:rPr>
        <w:t>（一）部门职能职责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840" w:hanging="20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lang w:eastAsia="zh-CN"/>
        </w:rPr>
        <w:t>（</w:t>
      </w:r>
      <w:r>
        <w:rPr>
          <w:rFonts w:hint="eastAsia" w:ascii="仿宋" w:hAnsi="仿宋" w:eastAsia="仿宋"/>
          <w:sz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lang w:eastAsia="zh-CN"/>
        </w:rPr>
        <w:t>）</w:t>
      </w:r>
      <w:r>
        <w:rPr>
          <w:rFonts w:hint="eastAsia" w:ascii="仿宋" w:hAnsi="仿宋" w:eastAsia="仿宋"/>
          <w:sz w:val="32"/>
        </w:rPr>
        <w:t>为维护城市环境卫生提供管理保障；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840" w:hanging="20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lang w:eastAsia="zh-CN"/>
        </w:rPr>
        <w:t>（</w:t>
      </w:r>
      <w:r>
        <w:rPr>
          <w:rFonts w:hint="eastAsia" w:ascii="仿宋" w:hAnsi="仿宋" w:eastAsia="仿宋"/>
          <w:sz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lang w:eastAsia="zh-CN"/>
        </w:rPr>
        <w:t>）</w:t>
      </w:r>
      <w:r>
        <w:rPr>
          <w:rFonts w:hint="eastAsia" w:ascii="仿宋" w:hAnsi="仿宋" w:eastAsia="仿宋"/>
          <w:sz w:val="32"/>
        </w:rPr>
        <w:t>城市环境卫生设施建设、运营和维护；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840" w:hanging="20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lang w:eastAsia="zh-CN"/>
        </w:rPr>
        <w:t>（</w:t>
      </w:r>
      <w:r>
        <w:rPr>
          <w:rFonts w:hint="eastAsia" w:ascii="仿宋" w:hAnsi="仿宋" w:eastAsia="仿宋"/>
          <w:sz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lang w:eastAsia="zh-CN"/>
        </w:rPr>
        <w:t>）</w:t>
      </w:r>
      <w:r>
        <w:rPr>
          <w:rFonts w:hint="eastAsia" w:ascii="仿宋" w:hAnsi="仿宋" w:eastAsia="仿宋"/>
          <w:sz w:val="32"/>
        </w:rPr>
        <w:t>环境卫生监督作业管理（相关社会服务）。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196"/>
        <w:jc w:val="left"/>
        <w:textAlignment w:val="auto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（二）机构设置情况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4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20</w:t>
      </w:r>
      <w:r>
        <w:rPr>
          <w:rFonts w:hint="eastAsia" w:ascii="仿宋" w:hAnsi="仿宋" w:eastAsia="仿宋"/>
          <w:sz w:val="32"/>
          <w:lang w:val="en-US" w:eastAsia="zh-CN"/>
        </w:rPr>
        <w:t>19</w:t>
      </w:r>
      <w:r>
        <w:rPr>
          <w:rFonts w:hint="eastAsia" w:ascii="仿宋" w:hAnsi="仿宋" w:eastAsia="仿宋"/>
          <w:sz w:val="32"/>
        </w:rPr>
        <w:t>年本单位机构改革，由原衡阳市南岳区环境卫生管理局变更为南岳区环境卫生所，确定为财政全额拨款公益一类事业单位。内设股室</w:t>
      </w:r>
      <w:r>
        <w:rPr>
          <w:rFonts w:hint="eastAsia" w:ascii="仿宋" w:hAnsi="仿宋" w:eastAsia="仿宋"/>
          <w:sz w:val="32"/>
          <w:lang w:val="en-US" w:eastAsia="zh-CN"/>
        </w:rPr>
        <w:t>7</w:t>
      </w:r>
      <w:r>
        <w:rPr>
          <w:rFonts w:hint="eastAsia" w:ascii="仿宋" w:hAnsi="仿宋" w:eastAsia="仿宋"/>
          <w:sz w:val="32"/>
        </w:rPr>
        <w:t>个，分别是办公室、基础设施建设股、财务室、行业管理股、</w:t>
      </w:r>
      <w:r>
        <w:rPr>
          <w:rFonts w:hint="eastAsia" w:ascii="仿宋" w:hAnsi="仿宋" w:eastAsia="仿宋"/>
          <w:sz w:val="32"/>
          <w:lang w:eastAsia="zh-CN"/>
        </w:rPr>
        <w:t>综合管理股、驻南岳镇环卫站、区</w:t>
      </w:r>
      <w:r>
        <w:rPr>
          <w:rFonts w:hint="eastAsia" w:ascii="仿宋" w:hAnsi="仿宋" w:eastAsia="仿宋"/>
          <w:sz w:val="32"/>
        </w:rPr>
        <w:t>生活垃圾中转站。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196"/>
        <w:jc w:val="left"/>
        <w:textAlignment w:val="auto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（三）人员编制情况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Times New Roman" w:eastAsia="黑体" w:cs="Times New Roman"/>
          <w:sz w:val="32"/>
          <w:szCs w:val="32"/>
        </w:rPr>
      </w:pPr>
      <w:r>
        <w:rPr>
          <w:rFonts w:eastAsia="仿宋_GB2312"/>
          <w:sz w:val="32"/>
          <w:szCs w:val="32"/>
        </w:rPr>
        <w:t>20</w:t>
      </w:r>
      <w:r>
        <w:rPr>
          <w:rFonts w:hint="eastAsia" w:eastAsia="仿宋_GB2312"/>
          <w:sz w:val="32"/>
          <w:szCs w:val="32"/>
          <w:lang w:val="en-US" w:eastAsia="zh-CN"/>
        </w:rPr>
        <w:t>23</w:t>
      </w:r>
      <w:r>
        <w:rPr>
          <w:rFonts w:eastAsia="仿宋_GB2312"/>
          <w:sz w:val="32"/>
          <w:szCs w:val="32"/>
        </w:rPr>
        <w:t>年末，我单位共有编制</w:t>
      </w:r>
      <w:r>
        <w:rPr>
          <w:rFonts w:hint="eastAsia" w:eastAsia="仿宋_GB2312"/>
          <w:sz w:val="32"/>
          <w:szCs w:val="32"/>
          <w:lang w:val="en-US" w:eastAsia="zh-CN"/>
        </w:rPr>
        <w:t>22</w:t>
      </w:r>
      <w:r>
        <w:rPr>
          <w:rFonts w:eastAsia="仿宋_GB2312"/>
          <w:sz w:val="32"/>
          <w:szCs w:val="32"/>
        </w:rPr>
        <w:t>人，</w:t>
      </w:r>
      <w:r>
        <w:rPr>
          <w:rFonts w:eastAsia="仿宋_GB2312"/>
          <w:bCs/>
          <w:kern w:val="0"/>
          <w:sz w:val="32"/>
          <w:szCs w:val="32"/>
        </w:rPr>
        <w:t>搬迁安置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31</w:t>
      </w:r>
      <w:r>
        <w:rPr>
          <w:rFonts w:eastAsia="仿宋_GB2312"/>
          <w:bCs/>
          <w:kern w:val="0"/>
          <w:sz w:val="32"/>
          <w:szCs w:val="32"/>
        </w:rPr>
        <w:t>人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，</w:t>
      </w:r>
      <w:r>
        <w:rPr>
          <w:rFonts w:eastAsia="仿宋_GB2312"/>
          <w:sz w:val="32"/>
          <w:szCs w:val="32"/>
        </w:rPr>
        <w:t>其</w:t>
      </w:r>
      <w:r>
        <w:rPr>
          <w:rFonts w:hint="eastAsia" w:eastAsia="仿宋_GB2312"/>
          <w:sz w:val="32"/>
          <w:szCs w:val="32"/>
          <w:lang w:eastAsia="zh-CN"/>
        </w:rPr>
        <w:t>中</w:t>
      </w:r>
      <w:r>
        <w:rPr>
          <w:rFonts w:eastAsia="仿宋_GB2312"/>
          <w:sz w:val="32"/>
          <w:szCs w:val="32"/>
        </w:rPr>
        <w:t>事业编制</w:t>
      </w:r>
      <w:r>
        <w:rPr>
          <w:rFonts w:hint="eastAsia" w:eastAsia="仿宋_GB2312"/>
          <w:sz w:val="32"/>
          <w:szCs w:val="32"/>
          <w:lang w:val="en-US" w:eastAsia="zh-CN"/>
        </w:rPr>
        <w:t>22</w:t>
      </w:r>
      <w:r>
        <w:rPr>
          <w:rFonts w:eastAsia="仿宋_GB2312"/>
          <w:sz w:val="32"/>
          <w:szCs w:val="32"/>
        </w:rPr>
        <w:t>人。年末实有在职人员</w:t>
      </w:r>
      <w:r>
        <w:rPr>
          <w:rFonts w:hint="eastAsia" w:eastAsia="仿宋_GB2312"/>
          <w:sz w:val="32"/>
          <w:szCs w:val="32"/>
          <w:lang w:val="en-US" w:eastAsia="zh-CN"/>
        </w:rPr>
        <w:t>53</w:t>
      </w:r>
      <w:r>
        <w:rPr>
          <w:rFonts w:eastAsia="仿宋_GB2312"/>
          <w:sz w:val="32"/>
          <w:szCs w:val="32"/>
        </w:rPr>
        <w:t>人，离休人员</w:t>
      </w:r>
      <w:r>
        <w:rPr>
          <w:rFonts w:hint="eastAsia" w:eastAsia="仿宋_GB2312"/>
          <w:sz w:val="32"/>
          <w:szCs w:val="32"/>
          <w:lang w:val="en-US" w:eastAsia="zh-CN"/>
        </w:rPr>
        <w:t>47</w:t>
      </w:r>
      <w:r>
        <w:rPr>
          <w:rFonts w:eastAsia="仿宋_GB2312"/>
          <w:sz w:val="32"/>
          <w:szCs w:val="32"/>
        </w:rPr>
        <w:t>人。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一般公共预算支出情况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_GB2312" w:hAnsi="Times New Roman" w:eastAsia="楷体_GB2312" w:cs="Times New Roman"/>
          <w:b/>
          <w:sz w:val="32"/>
          <w:szCs w:val="32"/>
        </w:rPr>
      </w:pPr>
      <w:r>
        <w:rPr>
          <w:rFonts w:hint="eastAsia" w:ascii="楷体_GB2312" w:hAnsi="Times New Roman" w:eastAsia="楷体_GB2312" w:cs="Times New Roman"/>
          <w:b/>
          <w:sz w:val="32"/>
          <w:szCs w:val="32"/>
        </w:rPr>
        <w:t>（一）基本支出情况</w:t>
      </w:r>
    </w:p>
    <w:p>
      <w:pPr>
        <w:keepNext w:val="0"/>
        <w:keepLines w:val="0"/>
        <w:pageBreakBefore w:val="0"/>
        <w:tabs>
          <w:tab w:val="left" w:pos="2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基本支出系保障我机构正常运转、完成日常工作任务而发生的各项支出，包括用于在职人员基本工资、津贴补贴等人员经费以及办公费、印刷费、水电费、办公设备购置等日常公用经费。20</w:t>
      </w:r>
      <w:r>
        <w:rPr>
          <w:rFonts w:hint="eastAsia" w:eastAsia="仿宋_GB2312"/>
          <w:sz w:val="32"/>
          <w:szCs w:val="32"/>
          <w:lang w:val="en-US" w:eastAsia="zh-CN"/>
        </w:rPr>
        <w:t>23</w:t>
      </w:r>
      <w:r>
        <w:rPr>
          <w:rFonts w:eastAsia="仿宋_GB2312"/>
          <w:sz w:val="32"/>
          <w:szCs w:val="32"/>
        </w:rPr>
        <w:t>年基本支出</w:t>
      </w:r>
      <w:r>
        <w:rPr>
          <w:rFonts w:hint="eastAsia" w:eastAsia="仿宋_GB2312"/>
          <w:sz w:val="32"/>
          <w:szCs w:val="32"/>
          <w:lang w:val="en-US" w:eastAsia="zh-CN"/>
        </w:rPr>
        <w:t>881.16</w:t>
      </w:r>
      <w:r>
        <w:rPr>
          <w:rFonts w:eastAsia="仿宋_GB2312"/>
          <w:sz w:val="32"/>
          <w:szCs w:val="32"/>
        </w:rPr>
        <w:t>万元，较上年</w:t>
      </w:r>
      <w:r>
        <w:rPr>
          <w:rFonts w:hint="eastAsia" w:eastAsia="仿宋_GB2312"/>
          <w:sz w:val="32"/>
          <w:szCs w:val="32"/>
          <w:lang w:eastAsia="zh-CN"/>
        </w:rPr>
        <w:t>减少</w:t>
      </w:r>
      <w:r>
        <w:rPr>
          <w:rFonts w:hint="eastAsia" w:eastAsia="仿宋_GB2312"/>
          <w:sz w:val="32"/>
          <w:szCs w:val="32"/>
          <w:lang w:val="en-US" w:eastAsia="zh-CN"/>
        </w:rPr>
        <w:t>20.29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，减少的原因是人员退休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  <w:r>
        <w:rPr>
          <w:rFonts w:eastAsia="仿宋_GB2312"/>
          <w:color w:val="000000"/>
          <w:sz w:val="32"/>
          <w:szCs w:val="32"/>
        </w:rPr>
        <w:t>基本支出中人员经费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787.9</w:t>
      </w:r>
      <w:r>
        <w:rPr>
          <w:rFonts w:eastAsia="仿宋_GB2312"/>
          <w:color w:val="000000"/>
          <w:sz w:val="32"/>
          <w:szCs w:val="32"/>
        </w:rPr>
        <w:t>万元，占基本支出的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89%</w:t>
      </w:r>
      <w:r>
        <w:rPr>
          <w:rFonts w:eastAsia="仿宋_GB2312"/>
          <w:color w:val="000000"/>
          <w:sz w:val="32"/>
          <w:szCs w:val="32"/>
        </w:rPr>
        <w:t>，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与上年基本持平；</w:t>
      </w:r>
      <w:r>
        <w:rPr>
          <w:rFonts w:eastAsia="仿宋_GB2312"/>
          <w:color w:val="000000"/>
          <w:sz w:val="32"/>
          <w:szCs w:val="32"/>
        </w:rPr>
        <w:t>日常公用经费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93.95</w:t>
      </w:r>
      <w:r>
        <w:rPr>
          <w:rFonts w:eastAsia="仿宋_GB2312"/>
          <w:color w:val="000000"/>
          <w:sz w:val="32"/>
          <w:szCs w:val="32"/>
        </w:rPr>
        <w:t>万元，占基本支出的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11%</w:t>
      </w:r>
      <w:r>
        <w:rPr>
          <w:rFonts w:eastAsia="仿宋_GB2312"/>
          <w:color w:val="000000"/>
          <w:sz w:val="32"/>
          <w:szCs w:val="32"/>
        </w:rPr>
        <w:t>，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比去年增加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2%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，主要原因是单位自己开设食堂导致日常公用经费增加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楷体_GB2312" w:hAnsi="Times New Roman" w:eastAsia="楷体_GB2312" w:cs="Times New Roman"/>
          <w:b/>
          <w:sz w:val="32"/>
          <w:szCs w:val="32"/>
        </w:rPr>
      </w:pPr>
      <w:r>
        <w:rPr>
          <w:rFonts w:hint="eastAsia" w:ascii="楷体_GB2312" w:hAnsi="Times New Roman" w:eastAsia="楷体_GB2312" w:cs="Times New Roman"/>
          <w:b/>
          <w:sz w:val="32"/>
          <w:szCs w:val="32"/>
        </w:rPr>
        <w:t>（二）</w:t>
      </w:r>
      <w:r>
        <w:rPr>
          <w:rFonts w:ascii="楷体_GB2312" w:hAnsi="Times New Roman" w:eastAsia="楷体_GB2312" w:cs="Times New Roman"/>
          <w:b/>
          <w:sz w:val="32"/>
          <w:szCs w:val="32"/>
        </w:rPr>
        <w:t>项目支出情况</w:t>
      </w:r>
    </w:p>
    <w:p>
      <w:pPr>
        <w:keepNext w:val="0"/>
        <w:keepLines w:val="0"/>
        <w:pageBreakBefore w:val="0"/>
        <w:tabs>
          <w:tab w:val="left" w:pos="2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eastAsia="仿宋_GB2312"/>
          <w:sz w:val="32"/>
          <w:szCs w:val="32"/>
        </w:rPr>
        <w:t>项目支出系我</w:t>
      </w:r>
      <w:r>
        <w:rPr>
          <w:rFonts w:hint="eastAsia" w:eastAsia="仿宋_GB2312"/>
          <w:sz w:val="32"/>
          <w:szCs w:val="32"/>
          <w:lang w:eastAsia="zh-CN"/>
        </w:rPr>
        <w:t>单位</w:t>
      </w:r>
      <w:r>
        <w:rPr>
          <w:rFonts w:eastAsia="仿宋_GB2312"/>
          <w:sz w:val="32"/>
          <w:szCs w:val="32"/>
        </w:rPr>
        <w:t>为完成</w:t>
      </w:r>
      <w:r>
        <w:rPr>
          <w:rFonts w:hint="eastAsia" w:eastAsia="仿宋_GB2312"/>
          <w:sz w:val="32"/>
          <w:szCs w:val="32"/>
          <w:lang w:eastAsia="zh-CN"/>
        </w:rPr>
        <w:t>环卫</w:t>
      </w:r>
      <w:r>
        <w:rPr>
          <w:rFonts w:eastAsia="仿宋_GB2312"/>
          <w:sz w:val="32"/>
          <w:szCs w:val="32"/>
        </w:rPr>
        <w:t>管理工作而发生的支出，包括业务工作经费和运行维护经费。业务工作经费支出主要用于</w:t>
      </w:r>
      <w:r>
        <w:rPr>
          <w:rFonts w:hint="eastAsia" w:eastAsia="仿宋_GB2312"/>
          <w:sz w:val="32"/>
          <w:szCs w:val="32"/>
          <w:lang w:eastAsia="zh-CN"/>
        </w:rPr>
        <w:t>环卫城区环境卫生外包服务、政府采购</w:t>
      </w:r>
      <w:r>
        <w:rPr>
          <w:rFonts w:eastAsia="仿宋_GB2312"/>
          <w:sz w:val="32"/>
          <w:szCs w:val="32"/>
        </w:rPr>
        <w:t>等全</w:t>
      </w:r>
      <w:r>
        <w:rPr>
          <w:rFonts w:hint="eastAsia" w:eastAsia="仿宋_GB2312"/>
          <w:sz w:val="32"/>
          <w:szCs w:val="32"/>
          <w:lang w:eastAsia="zh-CN"/>
        </w:rPr>
        <w:t>区性项目的运行</w:t>
      </w:r>
      <w:r>
        <w:rPr>
          <w:rFonts w:eastAsia="仿宋_GB2312"/>
          <w:sz w:val="32"/>
          <w:szCs w:val="32"/>
        </w:rPr>
        <w:t>等方面。20</w:t>
      </w:r>
      <w:r>
        <w:rPr>
          <w:rFonts w:hint="eastAsia" w:eastAsia="仿宋_GB2312"/>
          <w:sz w:val="32"/>
          <w:szCs w:val="32"/>
          <w:lang w:val="en-US" w:eastAsia="zh-CN"/>
        </w:rPr>
        <w:t>23</w:t>
      </w:r>
      <w:r>
        <w:rPr>
          <w:rFonts w:eastAsia="仿宋_GB2312"/>
          <w:sz w:val="32"/>
          <w:szCs w:val="32"/>
        </w:rPr>
        <w:t>年项目支出</w:t>
      </w:r>
      <w:r>
        <w:rPr>
          <w:rFonts w:hint="eastAsia" w:eastAsia="仿宋_GB2312"/>
          <w:sz w:val="32"/>
          <w:szCs w:val="32"/>
          <w:lang w:val="en-US" w:eastAsia="zh-CN"/>
        </w:rPr>
        <w:t>2188.53</w:t>
      </w:r>
      <w:r>
        <w:rPr>
          <w:rFonts w:eastAsia="仿宋_GB2312"/>
          <w:sz w:val="32"/>
          <w:szCs w:val="32"/>
        </w:rPr>
        <w:t>万元，比上年</w:t>
      </w:r>
      <w:r>
        <w:rPr>
          <w:rFonts w:hint="eastAsia" w:eastAsia="仿宋_GB2312"/>
          <w:sz w:val="32"/>
          <w:szCs w:val="32"/>
          <w:lang w:eastAsia="zh-CN"/>
        </w:rPr>
        <w:t>减少</w:t>
      </w:r>
      <w:r>
        <w:rPr>
          <w:rFonts w:hint="eastAsia" w:eastAsia="仿宋_GB2312"/>
          <w:sz w:val="32"/>
          <w:szCs w:val="32"/>
          <w:lang w:val="en-US" w:eastAsia="zh-CN"/>
        </w:rPr>
        <w:t>144.55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eastAsia="仿宋_GB2312"/>
          <w:sz w:val="32"/>
          <w:szCs w:val="32"/>
        </w:rPr>
        <w:t>主要是</w:t>
      </w:r>
      <w:r>
        <w:rPr>
          <w:rFonts w:hint="eastAsia" w:eastAsia="仿宋_GB2312"/>
          <w:sz w:val="32"/>
          <w:szCs w:val="32"/>
          <w:lang w:eastAsia="zh-CN"/>
        </w:rPr>
        <w:t>由于全区压减项目支出导致。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部门整体支出绩效情况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lang w:val="en-US"/>
        </w:rPr>
      </w:pPr>
      <w:r>
        <w:rPr>
          <w:rFonts w:hint="eastAsia" w:ascii="仿宋" w:hAnsi="仿宋" w:eastAsia="仿宋"/>
          <w:sz w:val="32"/>
          <w:lang w:val="en-US" w:eastAsia="zh-CN"/>
        </w:rPr>
        <w:t>2023</w:t>
      </w:r>
      <w:r>
        <w:rPr>
          <w:rFonts w:hint="eastAsia" w:ascii="仿宋" w:hAnsi="仿宋" w:eastAsia="仿宋"/>
          <w:sz w:val="32"/>
          <w:lang w:val="en-US"/>
        </w:rPr>
        <w:t>年度本单位主要完成以下工作：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）以“绣花精神”紧盯细节，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擦亮环卫品牌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深入开展作业标准化</w:t>
      </w:r>
      <w:r>
        <w:rPr>
          <w:rFonts w:hint="eastAsia" w:ascii="仿宋_GB2312" w:hAnsi="仿宋_GB2312" w:eastAsia="仿宋_GB2312" w:cs="仿宋_GB2312"/>
          <w:sz w:val="32"/>
          <w:szCs w:val="32"/>
          <w:lang w:val="e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严格按照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环卫作业标准</w:t>
      </w:r>
      <w:r>
        <w:rPr>
          <w:rFonts w:hint="eastAsia" w:ascii="仿宋_GB2312" w:hAnsi="仿宋_GB2312" w:eastAsia="仿宋_GB2312" w:cs="仿宋_GB2312"/>
          <w:sz w:val="32"/>
          <w:szCs w:val="32"/>
        </w:rPr>
        <w:t>，对城区实行“全方位、无盲区”式的精细化管理，基本实现了从4:30-24:00“全覆盖、无间隙”的环卫服务目标。二是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加强督查考核严格化。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严格对环卫服务外包企业进行督查考核，确保问题“快发现、快整改、快销号”，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全年</w:t>
      </w:r>
      <w:r>
        <w:rPr>
          <w:rFonts w:hint="eastAsia" w:ascii="仿宋_GB2312" w:hAnsi="仿宋_GB2312" w:eastAsia="仿宋_GB2312" w:cs="仿宋_GB2312"/>
          <w:sz w:val="32"/>
          <w:szCs w:val="32"/>
        </w:rPr>
        <w:t>共查处各类问题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5910</w:t>
      </w:r>
      <w:r>
        <w:rPr>
          <w:rFonts w:hint="eastAsia" w:ascii="仿宋_GB2312" w:hAnsi="仿宋_GB2312" w:eastAsia="仿宋_GB2312" w:cs="仿宋_GB2312"/>
          <w:sz w:val="32"/>
          <w:szCs w:val="32"/>
        </w:rPr>
        <w:t>起，整改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5297</w:t>
      </w:r>
      <w:r>
        <w:rPr>
          <w:rFonts w:hint="eastAsia" w:ascii="仿宋_GB2312" w:hAnsi="仿宋_GB2312" w:eastAsia="仿宋_GB2312" w:cs="仿宋_GB2312"/>
          <w:sz w:val="32"/>
          <w:szCs w:val="32"/>
        </w:rPr>
        <w:t>起，扣分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616</w:t>
      </w:r>
      <w:r>
        <w:rPr>
          <w:rFonts w:hint="eastAsia" w:ascii="仿宋_GB2312" w:hAnsi="仿宋_GB2312" w:eastAsia="仿宋_GB2312" w:cs="仿宋_GB2312"/>
          <w:sz w:val="32"/>
          <w:szCs w:val="32"/>
        </w:rPr>
        <w:t>起，扣分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1500</w:t>
      </w:r>
      <w:r>
        <w:rPr>
          <w:rFonts w:hint="eastAsia" w:ascii="仿宋_GB2312" w:hAnsi="仿宋_GB2312" w:eastAsia="仿宋_GB2312" w:cs="仿宋_GB2312"/>
          <w:sz w:val="32"/>
          <w:szCs w:val="32"/>
        </w:rPr>
        <w:t>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考核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处</w:t>
      </w:r>
      <w:r>
        <w:rPr>
          <w:rFonts w:hint="eastAsia" w:ascii="仿宋_GB2312" w:hAnsi="仿宋_GB2312" w:eastAsia="仿宋_GB2312" w:cs="仿宋_GB2312"/>
          <w:sz w:val="32"/>
          <w:szCs w:val="32"/>
        </w:rPr>
        <w:t>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金额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75000元，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直接由区财政从当月经费中扣除。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突出重点保障细致化。重要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节假日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及重大接待任务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400余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环卫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人全体停休，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做到提前准备，全面清扫清洗不留死角，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不断提升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作业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标准，形成新常态，出色完成各项急、难、重任务，受到各级领导一致好评。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"/>
        </w:rPr>
        <w:t>以“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实干精神</w:t>
      </w:r>
      <w:r>
        <w:rPr>
          <w:rFonts w:hint="eastAsia" w:ascii="仿宋_GB2312" w:hAnsi="仿宋_GB2312" w:eastAsia="仿宋_GB2312" w:cs="仿宋_GB2312"/>
          <w:sz w:val="32"/>
          <w:szCs w:val="32"/>
          <w:lang w:val="en"/>
        </w:rPr>
        <w:t>”求真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务实</w:t>
      </w:r>
      <w:r>
        <w:rPr>
          <w:rFonts w:hint="eastAsia" w:ascii="仿宋_GB2312" w:hAnsi="仿宋_GB2312" w:eastAsia="仿宋_GB2312" w:cs="仿宋_GB2312"/>
          <w:sz w:val="32"/>
          <w:szCs w:val="32"/>
          <w:lang w:val="e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完善服务功能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小投入大工作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我所</w:t>
      </w:r>
      <w:r>
        <w:rPr>
          <w:rFonts w:hint="eastAsia" w:ascii="仿宋_GB2312" w:hAnsi="仿宋_GB2312" w:eastAsia="仿宋_GB2312" w:cs="仿宋_GB2312"/>
          <w:sz w:val="32"/>
          <w:szCs w:val="32"/>
        </w:rPr>
        <w:t>对城区现有9座行吊式中转站、10座地埋式垃圾斗、1座无害化烧田生活垃圾中转站、14座公共厕所进行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及时</w:t>
      </w:r>
      <w:r>
        <w:rPr>
          <w:rFonts w:hint="eastAsia" w:ascii="仿宋_GB2312" w:hAnsi="仿宋_GB2312" w:eastAsia="仿宋_GB2312" w:cs="仿宋_GB2312"/>
          <w:sz w:val="32"/>
          <w:szCs w:val="32"/>
        </w:rPr>
        <w:t>维修保养，确保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功能完整、</w:t>
      </w:r>
      <w:r>
        <w:rPr>
          <w:rFonts w:hint="eastAsia" w:ascii="仿宋_GB2312" w:hAnsi="仿宋_GB2312" w:eastAsia="仿宋_GB2312" w:cs="仿宋_GB2312"/>
          <w:sz w:val="32"/>
          <w:szCs w:val="32"/>
        </w:rPr>
        <w:t>作业正常。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完善3座城市驿站（环卫工人休息室）设施设备配置，提升服务管理质量，每天为城区一线作业人员、游客提供了休息场所。3月，及时</w:t>
      </w:r>
      <w:r>
        <w:rPr>
          <w:rFonts w:hint="eastAsia" w:ascii="仿宋_GB2312" w:hAnsi="仿宋_GB2312" w:eastAsia="仿宋_GB2312" w:cs="仿宋_GB2312"/>
          <w:sz w:val="32"/>
          <w:szCs w:val="32"/>
        </w:rPr>
        <w:t>采购100个240升垃圾桶，用于城区破损垃圾桶更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4月，</w:t>
      </w:r>
      <w:r>
        <w:rPr>
          <w:rFonts w:hint="eastAsia" w:ascii="仿宋_GB2312" w:hAnsi="仿宋_GB2312" w:eastAsia="仿宋_GB2312" w:cs="仿宋_GB2312"/>
          <w:sz w:val="32"/>
          <w:szCs w:val="32"/>
        </w:rPr>
        <w:t>对烧田垃圾填埋场塌方区域进行环境治理。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二是多举措助分类。</w:t>
      </w:r>
      <w:r>
        <w:rPr>
          <w:rFonts w:hint="eastAsia" w:ascii="仿宋_GB2312" w:hAnsi="仿宋_GB2312" w:eastAsia="仿宋_GB2312" w:cs="仿宋_GB2312"/>
          <w:sz w:val="32"/>
          <w:szCs w:val="32"/>
        </w:rPr>
        <w:t>建立完善垃圾分类督导员、宣讲员、志愿者队伍，积极开展各类垃圾分类宣传和志愿服务活动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全年共开展宣传活动21次</w:t>
      </w:r>
      <w:r>
        <w:rPr>
          <w:rFonts w:hint="eastAsia" w:ascii="仿宋_GB2312" w:hAnsi="仿宋_GB2312" w:eastAsia="仿宋_GB2312" w:cs="仿宋_GB2312"/>
          <w:sz w:val="32"/>
          <w:szCs w:val="32"/>
        </w:rPr>
        <w:t>。加强对城区7座生活垃圾分类投放亭的垃圾清运工作，做到外观整洁、摆放规范。积极引导餐厨垃圾与其他垃圾、可回收物分类投放，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今年共新增60家机关企事业单位、餐饮门店进行餐厨垃圾集中化收运。全年共收运处置餐厨垃圾总量1987.9吨，共查处餐厨收运企业各类问题2413起，整改2326起，扣分87起，扣分89分。考核罚款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金额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4450元，直接由区财政从承包经费中扣除。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三是确保无害化处理。</w:t>
      </w:r>
      <w:r>
        <w:rPr>
          <w:rFonts w:hint="eastAsia" w:ascii="仿宋_GB2312" w:hAnsi="仿宋_GB2312" w:eastAsia="仿宋_GB2312" w:cs="仿宋_GB2312"/>
          <w:sz w:val="32"/>
          <w:szCs w:val="32"/>
        </w:rPr>
        <w:t>烧田生活垃圾中转站克服设备老旧、服务效率低等困难，全年，共压缩转运生活垃圾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2.5</w:t>
      </w:r>
      <w:r>
        <w:rPr>
          <w:rFonts w:hint="eastAsia" w:ascii="仿宋_GB2312" w:hAnsi="仿宋_GB2312" w:eastAsia="仿宋_GB2312" w:cs="仿宋_GB2312"/>
          <w:sz w:val="32"/>
          <w:szCs w:val="32"/>
        </w:rPr>
        <w:t>万吨，转运污水0.18万吨，无害化处理率达到100%。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11月，采购</w:t>
      </w:r>
      <w:r>
        <w:rPr>
          <w:rFonts w:hint="eastAsia" w:ascii="仿宋_GB2312" w:hAnsi="仿宋_GB2312" w:eastAsia="仿宋_GB2312" w:cs="仿宋_GB2312"/>
          <w:sz w:val="32"/>
          <w:szCs w:val="32"/>
        </w:rPr>
        <w:t>区烧田垃圾中转站垃圾压缩设备第三轮维修保养服务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精神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强化担当，提升履职能力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有效</w:t>
      </w:r>
      <w:r>
        <w:rPr>
          <w:rFonts w:hint="eastAsia" w:ascii="仿宋_GB2312" w:hAnsi="仿宋_GB2312" w:eastAsia="仿宋_GB2312" w:cs="仿宋_GB2312"/>
          <w:sz w:val="32"/>
          <w:szCs w:val="32"/>
        </w:rPr>
        <w:t>解决居民群众“烦心”事，营造创文工作带动全民参与好氛围。对非保洁服务范围内的松麓街前坪进行清扫保洁工作，对非清运范围内的庙东、紫云小区、旺和轩小区等进行无偿生活垃圾清运。二是安排所有洒水作业车辆做好储水准备，协助全区消防救援、农业灌溉紧急调水工作。三是助力祝融彩灯艺术节、庙东美食街、火苗音乐节等全区各类大型活动，做好清扫保洁工作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存在的问题及原因分析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通过前述对我</w:t>
      </w:r>
      <w:r>
        <w:rPr>
          <w:rFonts w:hint="eastAsia" w:eastAsia="仿宋_GB2312"/>
          <w:sz w:val="32"/>
          <w:szCs w:val="32"/>
          <w:lang w:eastAsia="zh-CN"/>
        </w:rPr>
        <w:t>单位</w:t>
      </w:r>
      <w:r>
        <w:rPr>
          <w:rFonts w:eastAsia="仿宋_GB2312"/>
          <w:sz w:val="32"/>
          <w:szCs w:val="32"/>
        </w:rPr>
        <w:t>整体支出情况的分析，反映出目前整体支出主要在预算执行方面还存在一些问题和不足：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由于疫情冲击影响的客观因素，以及牢固树立过紧日子思想，主动压缩非重点、刚性支出的主观因素，导致部分预算项目如培训费、工会经费预算执行情况不理想，</w:t>
      </w:r>
      <w:r>
        <w:rPr>
          <w:rFonts w:hint="eastAsia" w:eastAsia="仿宋_GB2312"/>
          <w:sz w:val="32"/>
          <w:szCs w:val="32"/>
        </w:rPr>
        <w:t>我们将在</w:t>
      </w:r>
      <w:r>
        <w:rPr>
          <w:rFonts w:eastAsia="仿宋_GB2312"/>
          <w:sz w:val="32"/>
          <w:szCs w:val="32"/>
        </w:rPr>
        <w:t>下年加以重视，</w:t>
      </w:r>
      <w:r>
        <w:rPr>
          <w:rFonts w:hint="eastAsia" w:eastAsia="仿宋_GB2312"/>
          <w:sz w:val="32"/>
          <w:szCs w:val="32"/>
        </w:rPr>
        <w:t>提前谋划，</w:t>
      </w:r>
      <w:r>
        <w:rPr>
          <w:rFonts w:hint="eastAsia" w:eastAsia="仿宋_GB2312"/>
          <w:sz w:val="32"/>
          <w:szCs w:val="32"/>
          <w:lang w:eastAsia="zh-CN"/>
        </w:rPr>
        <w:t>科学编制项目预算，进一步提高预算编制的精确性。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Calibri" w:hAnsi="Calibri" w:eastAsia="楷体_GB2312" w:cs="Times New Roman"/>
          <w:b/>
          <w:sz w:val="32"/>
          <w:szCs w:val="32"/>
          <w:lang w:eastAsia="zh-CN"/>
        </w:rPr>
      </w:pPr>
      <w:r>
        <w:rPr>
          <w:rFonts w:hint="eastAsia" w:ascii="Calibri" w:hAnsi="Calibri" w:eastAsia="楷体_GB2312" w:cs="Times New Roman"/>
          <w:b/>
          <w:sz w:val="32"/>
          <w:szCs w:val="32"/>
          <w:lang w:eastAsia="zh-CN"/>
        </w:rPr>
        <w:t>（二）部分项目实施与预算执行存在脱节。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受疫情影响，部分项目启动较晚，实施周期相对较长，导致项目验收晚，预算执行进度偏慢，相对比较集中。</w:t>
      </w:r>
      <w:r>
        <w:rPr>
          <w:rFonts w:hint="eastAsia" w:eastAsia="仿宋_GB2312"/>
          <w:sz w:val="32"/>
          <w:szCs w:val="32"/>
          <w:lang w:val="en-US" w:eastAsia="zh-CN"/>
        </w:rPr>
        <w:t>我们将在下年予以重视，督促项目实施单位早启动、早实施、早验收，对符合条件的项目按照项目进度支付相关款项。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下一步改进措施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针对上述存在的问题，拟采取以下改进措施：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强化预算管理，定期开展预算执行分析。</w:t>
      </w:r>
      <w:r>
        <w:rPr>
          <w:rFonts w:hint="eastAsia" w:eastAsia="仿宋_GB2312"/>
          <w:sz w:val="32"/>
          <w:szCs w:val="32"/>
          <w:lang w:val="en-US" w:eastAsia="zh-CN"/>
        </w:rPr>
        <w:t>通过定期对项目实施和预算执行情况进行梳理，及时掌握项目进度，督促项目实施单位早启动、早实施、早验收，对符合条件的项目按照项目进度支付相关款项，将预算资金管理贯穿于项目实施全过程中。对未启动项目及时分析原因，根据资金使用情况调整下年预算安排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       南岳区环境卫生所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           2024年4月15日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宋体" w:hAnsi="宋体" w:eastAsia="宋体" w:cs="宋体"/>
          <w:sz w:val="30"/>
          <w:szCs w:val="30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39CCF1"/>
    <w:multiLevelType w:val="singleLevel"/>
    <w:tmpl w:val="F639CCF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92A871F"/>
    <w:multiLevelType w:val="singleLevel"/>
    <w:tmpl w:val="692A871F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5YjdiMjUyZmMxMTdhMWVmYjgyZjFiYjU2MTA2NzEifQ=="/>
  </w:docVars>
  <w:rsids>
    <w:rsidRoot w:val="58E06247"/>
    <w:rsid w:val="00881676"/>
    <w:rsid w:val="103C1D0B"/>
    <w:rsid w:val="149B2A0B"/>
    <w:rsid w:val="1B6C1C84"/>
    <w:rsid w:val="20E67351"/>
    <w:rsid w:val="26E21D0A"/>
    <w:rsid w:val="28606852"/>
    <w:rsid w:val="29121970"/>
    <w:rsid w:val="29EF7861"/>
    <w:rsid w:val="2ADA6473"/>
    <w:rsid w:val="30BE2A8F"/>
    <w:rsid w:val="325D5447"/>
    <w:rsid w:val="34E12A3E"/>
    <w:rsid w:val="429F3322"/>
    <w:rsid w:val="43102595"/>
    <w:rsid w:val="4A1504A0"/>
    <w:rsid w:val="52C14B04"/>
    <w:rsid w:val="55A02E49"/>
    <w:rsid w:val="58E06247"/>
    <w:rsid w:val="591470C9"/>
    <w:rsid w:val="5DA220D3"/>
    <w:rsid w:val="5FA97C55"/>
    <w:rsid w:val="64A2122F"/>
    <w:rsid w:val="6713109A"/>
    <w:rsid w:val="67B42849"/>
    <w:rsid w:val="71532D27"/>
    <w:rsid w:val="71BD756A"/>
    <w:rsid w:val="751B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pPr>
      <w:spacing w:beforeLines="0" w:afterLines="0"/>
    </w:pPr>
    <w:rPr>
      <w:rFonts w:hint="eastAsia"/>
      <w:sz w:val="32"/>
      <w:szCs w:val="24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Body Text First Indent 2"/>
    <w:basedOn w:val="3"/>
    <w:autoRedefine/>
    <w:qFormat/>
    <w:uiPriority w:val="0"/>
    <w:pPr>
      <w:ind w:firstLine="420" w:firstLineChars="200"/>
    </w:pPr>
    <w:rPr>
      <w:rFonts w:ascii="宋体"/>
      <w:kern w:val="0"/>
      <w:sz w:val="20"/>
    </w:rPr>
  </w:style>
  <w:style w:type="paragraph" w:customStyle="1" w:styleId="10">
    <w:name w:val="样式3"/>
    <w:basedOn w:val="1"/>
    <w:autoRedefine/>
    <w:qFormat/>
    <w:uiPriority w:val="0"/>
    <w:rPr>
      <w:rFonts w:ascii="Times New Roman" w:hAnsi="Times New Roman" w:eastAsia="仿宋_GB2312" w:cs="Times New Roman"/>
      <w:spacing w:val="113"/>
      <w:sz w:val="32"/>
    </w:rPr>
  </w:style>
  <w:style w:type="paragraph" w:customStyle="1" w:styleId="11">
    <w:name w:val="样式4"/>
    <w:basedOn w:val="1"/>
    <w:qFormat/>
    <w:uiPriority w:val="0"/>
    <w:rPr>
      <w:rFonts w:ascii="Times New Roman" w:hAnsi="Times New Roman" w:eastAsia="仿宋_GB2312" w:cs="Times New Roman"/>
      <w:snapToGrid w:val="0"/>
      <w:spacing w:val="79"/>
      <w:sz w:val="32"/>
    </w:rPr>
  </w:style>
  <w:style w:type="paragraph" w:customStyle="1" w:styleId="12">
    <w:name w:val="样式6"/>
    <w:basedOn w:val="1"/>
    <w:qFormat/>
    <w:uiPriority w:val="0"/>
    <w:rPr>
      <w:rFonts w:ascii="Times New Roman" w:hAnsi="Times New Roman" w:eastAsia="仿宋_GB2312" w:cs="Times New Roman"/>
      <w:spacing w:val="57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2677</Words>
  <Characters>2806</Characters>
  <Lines>0</Lines>
  <Paragraphs>0</Paragraphs>
  <TotalTime>2</TotalTime>
  <ScaleCrop>false</ScaleCrop>
  <LinksUpToDate>false</LinksUpToDate>
  <CharactersWithSpaces>2874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2020-10-27T13:06:00Z</dcterms:created>
  <dc:creator>Administrator</dc:creator>
  <cp:lastModifiedBy>七月</cp:lastModifiedBy>
  <cp:lastPrinted>2023-02-09T01:52:00Z</cp:lastPrinted>
  <dcterms:modified xsi:type="dcterms:W3CDTF">2024-04-24T03:00:00Z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725B4BE4A84B421295906AC7490F3989</vt:lpwstr>
  </property>
</Properties>
</file>