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南岳区社会治理和网格信息化服务中心202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年度</w:t>
      </w:r>
    </w:p>
    <w:p>
      <w:pPr>
        <w:widowControl/>
        <w:spacing w:after="312" w:afterLines="100" w:line="56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部门整体支出绩效评价报告</w:t>
      </w:r>
    </w:p>
    <w:p>
      <w:pPr>
        <w:spacing w:line="560" w:lineRule="exact"/>
        <w:ind w:firstLine="64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根据</w:t>
      </w:r>
      <w:r>
        <w:rPr>
          <w:rFonts w:hint="eastAsia" w:eastAsia="仿宋_GB2312"/>
          <w:sz w:val="32"/>
          <w:szCs w:val="32"/>
        </w:rPr>
        <w:t>岳财字[202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hint="eastAsia" w:eastAsia="仿宋_GB2312"/>
          <w:sz w:val="32"/>
          <w:szCs w:val="32"/>
        </w:rPr>
        <w:t>]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号</w:t>
      </w:r>
      <w:r>
        <w:rPr>
          <w:rFonts w:eastAsia="仿宋_GB2312"/>
          <w:sz w:val="32"/>
          <w:szCs w:val="32"/>
        </w:rPr>
        <w:t>《</w:t>
      </w:r>
      <w:r>
        <w:rPr>
          <w:rFonts w:hint="eastAsia" w:eastAsia="仿宋_GB2312"/>
          <w:sz w:val="32"/>
          <w:szCs w:val="32"/>
        </w:rPr>
        <w:t>关于对2023年部门整体支出和项目支出  全面开展绩效自评的通知</w:t>
      </w:r>
      <w:r>
        <w:rPr>
          <w:rFonts w:eastAsia="仿宋_GB2312"/>
          <w:sz w:val="32"/>
          <w:szCs w:val="32"/>
        </w:rPr>
        <w:t>》的文件精神，我</w:t>
      </w:r>
      <w:r>
        <w:rPr>
          <w:rFonts w:hint="eastAsia" w:eastAsia="仿宋_GB2312"/>
          <w:sz w:val="32"/>
          <w:szCs w:val="32"/>
        </w:rPr>
        <w:t>中心</w:t>
      </w:r>
      <w:r>
        <w:rPr>
          <w:rFonts w:eastAsia="仿宋_GB2312"/>
          <w:sz w:val="32"/>
          <w:szCs w:val="32"/>
        </w:rPr>
        <w:t>对部门整体支出进行了绩效评价，现报告如下：</w:t>
      </w:r>
    </w:p>
    <w:p>
      <w:pPr>
        <w:spacing w:line="560" w:lineRule="exact"/>
        <w:ind w:firstLine="640" w:firstLineChars="200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一、部门（单位）基本情况</w:t>
      </w:r>
    </w:p>
    <w:p>
      <w:pPr>
        <w:widowControl/>
        <w:spacing w:line="560" w:lineRule="exact"/>
        <w:ind w:firstLine="630" w:firstLineChars="196"/>
        <w:jc w:val="left"/>
        <w:rPr>
          <w:rFonts w:eastAsia="楷体_GB2312"/>
          <w:b/>
          <w:snapToGrid w:val="0"/>
          <w:kern w:val="0"/>
          <w:sz w:val="32"/>
          <w:szCs w:val="32"/>
        </w:rPr>
      </w:pPr>
      <w:r>
        <w:rPr>
          <w:rFonts w:eastAsia="楷体_GB2312"/>
          <w:b/>
          <w:snapToGrid w:val="0"/>
          <w:kern w:val="0"/>
          <w:sz w:val="32"/>
          <w:szCs w:val="32"/>
        </w:rPr>
        <w:t>（一）部门职能职责</w:t>
      </w:r>
    </w:p>
    <w:p>
      <w:pPr>
        <w:pStyle w:val="6"/>
        <w:spacing w:before="0" w:beforeAutospacing="0" w:after="0" w:afterAutospacing="0"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1.根据社会治理有关法律法规政策，负责全区社会治理有关问题的调查研究，掌握全区各级各部门综治工作进展情况，组织开展对社会治安和社会稳定形势的整体研判、动态监测，并向区委、区政府、区委政法委提出相关工作建议和督办建议。</w:t>
      </w:r>
    </w:p>
    <w:p>
      <w:pPr>
        <w:pStyle w:val="6"/>
        <w:spacing w:before="0" w:beforeAutospacing="0" w:after="0" w:afterAutospacing="0"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2.负责组织、协调全区社会治安防控体系建设与维护工作，逐步实现各信息平台的共建共享。对全区各级综治中心实体化建设和运行工作进行指导、评价。</w:t>
      </w:r>
    </w:p>
    <w:p>
      <w:pPr>
        <w:pStyle w:val="6"/>
        <w:spacing w:before="0" w:beforeAutospacing="0" w:after="0" w:afterAutospacing="0"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3.依托综治信息系统、综治视联网、公共安全视频监控系统等平台，逐步实现对辖区内社会治安状况的实时监控、分析研判。</w:t>
      </w:r>
    </w:p>
    <w:p>
      <w:pPr>
        <w:pStyle w:val="6"/>
        <w:spacing w:before="0" w:beforeAutospacing="0" w:after="0" w:afterAutospacing="0"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4.负责全区网格信息化系统建设和管理，有机整合分散在各部门（单位）的信息资源。协调、指导、推动全区网格化管理工作，拓展网格化管理服务功能，推进网格化管理信息化、智能化建设，建立覆盖全区的网格化服务管理平台和高素质的网格员队伍，对全区群众有关社会治安、矛盾纠纷等方面的求助和投诉进行受理、分流及统计分析。负责全区各乡镇（街道）、村（社区）社会治理网格化工作考核评价相关事务性工作。</w:t>
      </w:r>
    </w:p>
    <w:p>
      <w:pPr>
        <w:pStyle w:val="6"/>
        <w:spacing w:before="0" w:beforeAutospacing="0" w:after="0" w:afterAutospacing="0"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5.负责宣传流动人口和出租屋管理相关法律法规，掌握辖区内流动人口和出租屋的基本情况，并负责对有关部门流动人口和出租屋管理工作的指导、协调、统计、研判、评价。发现各类涉稳、涉恐、涉疆隐患或其它违法犯罪线索向有关部门反馈。协助有关部门开展流动人口和出租屋管理服务，维护流动人口的合法权益。</w:t>
      </w:r>
    </w:p>
    <w:p>
      <w:pPr>
        <w:pStyle w:val="6"/>
        <w:spacing w:before="0" w:beforeAutospacing="0" w:after="0" w:afterAutospacing="0" w:line="56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6.协助开展平安南岳创建工作。</w:t>
      </w:r>
    </w:p>
    <w:p>
      <w:pPr>
        <w:pStyle w:val="6"/>
        <w:spacing w:before="0" w:beforeAutospacing="0" w:after="0" w:afterAutospacing="0" w:line="560" w:lineRule="exact"/>
        <w:ind w:firstLine="640" w:firstLineChars="200"/>
        <w:jc w:val="both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7.完成区委政法委交办的其他任务。</w:t>
      </w:r>
    </w:p>
    <w:p>
      <w:pPr>
        <w:widowControl/>
        <w:spacing w:line="560" w:lineRule="exact"/>
        <w:ind w:firstLine="630" w:firstLineChars="196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（二）机构设置情况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年末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中心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内设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综合股、社会治理股、网格化管理股3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个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股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室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</w:t>
      </w:r>
    </w:p>
    <w:p>
      <w:pPr>
        <w:widowControl/>
        <w:spacing w:line="560" w:lineRule="exact"/>
        <w:ind w:firstLine="630" w:firstLineChars="196"/>
        <w:jc w:val="left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（三）人员编制情况</w:t>
      </w:r>
    </w:p>
    <w:p>
      <w:pPr>
        <w:spacing w:line="560" w:lineRule="exact"/>
        <w:ind w:firstLine="640" w:firstLineChars="200"/>
        <w:rPr>
          <w:rFonts w:ascii="黑体" w:hAnsi="Times New Roman" w:eastAsia="黑体" w:cs="Times New Roman"/>
          <w:sz w:val="32"/>
          <w:szCs w:val="32"/>
        </w:rPr>
      </w:pP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年末，我单位共有编制</w:t>
      </w:r>
      <w:r>
        <w:rPr>
          <w:rFonts w:hint="eastAsia" w:eastAsia="仿宋_GB2312"/>
          <w:sz w:val="32"/>
          <w:szCs w:val="32"/>
        </w:rPr>
        <w:t>11</w:t>
      </w:r>
      <w:r>
        <w:rPr>
          <w:rFonts w:eastAsia="仿宋_GB2312"/>
          <w:sz w:val="32"/>
          <w:szCs w:val="32"/>
        </w:rPr>
        <w:t>人，其中行政编制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人，事业编制</w:t>
      </w:r>
      <w:r>
        <w:rPr>
          <w:rFonts w:hint="eastAsia" w:eastAsia="仿宋_GB2312"/>
          <w:sz w:val="32"/>
          <w:szCs w:val="32"/>
        </w:rPr>
        <w:t>11</w:t>
      </w:r>
      <w:r>
        <w:rPr>
          <w:rFonts w:eastAsia="仿宋_GB2312"/>
          <w:sz w:val="32"/>
          <w:szCs w:val="32"/>
        </w:rPr>
        <w:t>人。年末实有在职人员</w:t>
      </w:r>
      <w:r>
        <w:rPr>
          <w:rFonts w:hint="eastAsia"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人，离休人员</w:t>
      </w:r>
      <w:r>
        <w:rPr>
          <w:rFonts w:hint="eastAsia" w:eastAsia="仿宋_GB2312"/>
          <w:sz w:val="32"/>
          <w:szCs w:val="32"/>
        </w:rPr>
        <w:t>0</w:t>
      </w:r>
      <w:r>
        <w:rPr>
          <w:rFonts w:eastAsia="仿宋_GB2312"/>
          <w:sz w:val="32"/>
          <w:szCs w:val="32"/>
        </w:rPr>
        <w:t>人。</w:t>
      </w:r>
    </w:p>
    <w:p>
      <w:pPr>
        <w:widowControl/>
        <w:numPr>
          <w:ilvl w:val="0"/>
          <w:numId w:val="1"/>
        </w:num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一般公共预算支出情况</w:t>
      </w:r>
    </w:p>
    <w:p>
      <w:pPr>
        <w:widowControl/>
        <w:spacing w:line="560" w:lineRule="exact"/>
        <w:ind w:firstLine="643" w:firstLineChars="200"/>
        <w:rPr>
          <w:rFonts w:ascii="楷体_GB2312" w:hAnsi="Times New Roman" w:eastAsia="楷体_GB2312" w:cs="Times New Roman"/>
          <w:b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</w:rPr>
        <w:t>（一）基本支出情况</w:t>
      </w:r>
    </w:p>
    <w:p>
      <w:pPr>
        <w:pStyle w:val="6"/>
        <w:spacing w:before="0" w:beforeAutospacing="0" w:after="0" w:afterAutospacing="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基本支出系保障我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中心</w:t>
      </w:r>
      <w:r>
        <w:rPr>
          <w:rFonts w:ascii="Times New Roman" w:hAnsi="Times New Roman" w:eastAsia="仿宋_GB2312" w:cs="Times New Roman"/>
          <w:sz w:val="32"/>
          <w:szCs w:val="32"/>
        </w:rPr>
        <w:t>机构正常运转、完成日常工作任务而发生的各项支出，包括用于在职基本工资、津贴补贴等人员经费以及办公费、印刷费、水电费、办公设备购置等日常公用经费。20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sz w:val="32"/>
          <w:szCs w:val="32"/>
        </w:rPr>
        <w:t>年基本支出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89.04</w:t>
      </w:r>
      <w:r>
        <w:rPr>
          <w:rFonts w:ascii="Times New Roman" w:hAnsi="Times New Roman" w:eastAsia="仿宋_GB2312" w:cs="Times New Roman"/>
          <w:sz w:val="32"/>
          <w:szCs w:val="32"/>
        </w:rPr>
        <w:t>万元，较上年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增加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23.15</w:t>
      </w:r>
      <w:r>
        <w:rPr>
          <w:rFonts w:ascii="Times New Roman" w:hAnsi="Times New Roman" w:eastAsia="仿宋_GB2312" w:cs="Times New Roman"/>
          <w:sz w:val="32"/>
          <w:szCs w:val="32"/>
        </w:rPr>
        <w:t>万元。基本支出中人员经费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79.06</w:t>
      </w:r>
      <w:r>
        <w:rPr>
          <w:rFonts w:ascii="Times New Roman" w:hAnsi="Times New Roman" w:eastAsia="仿宋_GB2312" w:cs="Times New Roman"/>
          <w:sz w:val="32"/>
          <w:szCs w:val="32"/>
        </w:rPr>
        <w:t>万元，占基本支出的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8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ascii="Times New Roman" w:hAnsi="Times New Roman" w:eastAsia="仿宋_GB2312" w:cs="Times New Roman"/>
          <w:sz w:val="32"/>
          <w:szCs w:val="32"/>
        </w:rPr>
        <w:t>%，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较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上年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增长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7%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；</w:t>
      </w:r>
      <w:r>
        <w:rPr>
          <w:rFonts w:ascii="Times New Roman" w:hAnsi="Times New Roman" w:eastAsia="仿宋_GB2312" w:cs="Times New Roman"/>
          <w:sz w:val="32"/>
          <w:szCs w:val="32"/>
        </w:rPr>
        <w:t>日常公用经费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9.98</w:t>
      </w:r>
      <w:r>
        <w:rPr>
          <w:rFonts w:ascii="Times New Roman" w:hAnsi="Times New Roman" w:eastAsia="仿宋_GB2312" w:cs="Times New Roman"/>
          <w:sz w:val="32"/>
          <w:szCs w:val="32"/>
        </w:rPr>
        <w:t>万元，占基本支出的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ascii="Times New Roman" w:hAnsi="Times New Roman" w:eastAsia="仿宋_GB2312" w:cs="Times New Roman"/>
          <w:sz w:val="32"/>
          <w:szCs w:val="32"/>
        </w:rPr>
        <w:t>%，较上年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下降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sz w:val="32"/>
          <w:szCs w:val="32"/>
        </w:rPr>
        <w:t>%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，主要原因是压减非重点、刚性支出要求，我单位厉行节约、严格把关，严控三公经费支出，大力压减公用经费支出。</w:t>
      </w:r>
    </w:p>
    <w:p>
      <w:pPr>
        <w:widowControl/>
        <w:spacing w:line="560" w:lineRule="exact"/>
        <w:ind w:firstLine="643" w:firstLineChars="200"/>
        <w:rPr>
          <w:rFonts w:ascii="楷体_GB2312" w:hAnsi="Times New Roman" w:eastAsia="楷体_GB2312" w:cs="Times New Roman"/>
          <w:b/>
          <w:sz w:val="32"/>
          <w:szCs w:val="32"/>
        </w:rPr>
      </w:pPr>
      <w:r>
        <w:rPr>
          <w:rFonts w:hint="eastAsia" w:ascii="楷体_GB2312" w:hAnsi="Times New Roman" w:eastAsia="楷体_GB2312" w:cs="Times New Roman"/>
          <w:b/>
          <w:sz w:val="32"/>
          <w:szCs w:val="32"/>
        </w:rPr>
        <w:t>（二）</w:t>
      </w:r>
      <w:r>
        <w:rPr>
          <w:rFonts w:ascii="楷体_GB2312" w:hAnsi="Times New Roman" w:eastAsia="楷体_GB2312" w:cs="Times New Roman"/>
          <w:b/>
          <w:sz w:val="32"/>
          <w:szCs w:val="32"/>
        </w:rPr>
        <w:t>项目支出情况</w:t>
      </w:r>
    </w:p>
    <w:p>
      <w:pPr>
        <w:tabs>
          <w:tab w:val="left" w:pos="2296"/>
        </w:tabs>
        <w:spacing w:before="156" w:beforeLines="50" w:line="56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eastAsia="仿宋_GB2312"/>
          <w:sz w:val="32"/>
          <w:szCs w:val="32"/>
        </w:rPr>
        <w:t>项目支出系我</w:t>
      </w:r>
      <w:r>
        <w:rPr>
          <w:rFonts w:hint="eastAsia" w:eastAsia="仿宋_GB2312"/>
          <w:sz w:val="32"/>
          <w:szCs w:val="32"/>
        </w:rPr>
        <w:t>中心为完成特定行政工作任务或事业发展目标而发生的支出，包括有关业务工作经费和运行维护经费。其中：主要用于社会治理网格化信息平台专线租赁、流动人口和出租屋管理、平安创建等方面支出。</w:t>
      </w:r>
      <w:r>
        <w:rPr>
          <w:rFonts w:eastAsia="仿宋_GB2312"/>
          <w:sz w:val="32"/>
          <w:szCs w:val="32"/>
        </w:rPr>
        <w:t>20</w:t>
      </w:r>
      <w:r>
        <w:rPr>
          <w:rFonts w:hint="eastAsia" w:eastAsia="仿宋_GB2312"/>
          <w:sz w:val="32"/>
          <w:szCs w:val="32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3</w:t>
      </w:r>
      <w:r>
        <w:rPr>
          <w:rFonts w:eastAsia="仿宋_GB2312"/>
          <w:sz w:val="32"/>
          <w:szCs w:val="32"/>
        </w:rPr>
        <w:t>年项目支出</w:t>
      </w:r>
      <w:r>
        <w:rPr>
          <w:rFonts w:hint="eastAsia" w:eastAsia="仿宋_GB2312"/>
          <w:sz w:val="32"/>
          <w:szCs w:val="32"/>
          <w:lang w:val="en-US" w:eastAsia="zh-CN"/>
        </w:rPr>
        <w:t>50.85</w:t>
      </w:r>
      <w:r>
        <w:rPr>
          <w:rFonts w:eastAsia="仿宋_GB2312"/>
          <w:sz w:val="32"/>
          <w:szCs w:val="32"/>
        </w:rPr>
        <w:t>万元，比上年</w:t>
      </w:r>
      <w:r>
        <w:rPr>
          <w:rFonts w:hint="eastAsia" w:eastAsia="仿宋_GB2312"/>
          <w:sz w:val="32"/>
          <w:szCs w:val="32"/>
        </w:rPr>
        <w:t>增加</w:t>
      </w:r>
      <w:r>
        <w:rPr>
          <w:rFonts w:hint="eastAsia" w:eastAsia="仿宋_GB2312"/>
          <w:sz w:val="32"/>
          <w:szCs w:val="32"/>
          <w:lang w:val="en-US" w:eastAsia="zh-CN"/>
        </w:rPr>
        <w:t>4.59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主要是</w:t>
      </w:r>
      <w:r>
        <w:rPr>
          <w:rFonts w:hint="eastAsia" w:eastAsia="仿宋_GB2312"/>
          <w:sz w:val="32"/>
          <w:szCs w:val="32"/>
        </w:rPr>
        <w:t>由于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综治视联网、网格化管理、平安建设等项目开支。</w:t>
      </w:r>
    </w:p>
    <w:p>
      <w:pPr>
        <w:spacing w:before="156" w:beforeLines="50" w:line="560" w:lineRule="exact"/>
        <w:ind w:firstLine="640" w:firstLineChars="200"/>
        <w:rPr>
          <w:rFonts w:hint="eastAsia"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三、</w:t>
      </w:r>
      <w:r>
        <w:rPr>
          <w:rFonts w:ascii="黑体" w:hAnsi="Times New Roman" w:eastAsia="黑体" w:cs="Times New Roman"/>
          <w:sz w:val="32"/>
          <w:szCs w:val="32"/>
        </w:rPr>
        <w:t>部门整体支出绩效情况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2023年是贯彻党的二十大精神的开局之年，是“十四五”规划实施的承上启下之年。本中心坚持以习近平新时代中国特色社会主义思想为指导，深入学习贯彻党的二十大精神、二十届二中全会精神，强化意识形态领域引导和管理，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区综治中心在区委政法委的坚强领导下，紧紧围绕区委“1235”工</w:t>
      </w:r>
      <w:bookmarkEnd w:id="0"/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作思路，深入推进“平安四型小区”和“平安村”创建、基层综治中心示范带动建设、综治民调等工作，</w:t>
      </w:r>
      <w:r>
        <w:rPr>
          <w:rFonts w:hint="eastAsia" w:ascii="仿宋" w:hAnsi="仿宋" w:eastAsia="仿宋" w:cs="仿宋"/>
          <w:color w:val="000000"/>
          <w:spacing w:val="0"/>
          <w:sz w:val="32"/>
          <w:szCs w:val="32"/>
          <w:lang w:val="en-US" w:eastAsia="zh-CN"/>
        </w:rPr>
        <w:t>2023年省综治民调我区以94.59分的高分，继续排名全市第一、全省前列。</w:t>
      </w:r>
    </w:p>
    <w:p>
      <w:pPr>
        <w:keepNext w:val="0"/>
        <w:keepLines w:val="0"/>
        <w:pageBreakBefore w:val="0"/>
        <w:widowControl w:val="0"/>
        <w:pBdr>
          <w:top w:val="single" w:color="FFFFFF" w:sz="4" w:space="0"/>
          <w:left w:val="single" w:color="FFFFFF" w:sz="4" w:space="0"/>
          <w:bottom w:val="single" w:color="FFFFFF" w:sz="4" w:space="15"/>
          <w:right w:val="single" w:color="FFFFFF" w:sz="4" w:space="1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  <w:t>（一）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全面压实工作责任。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出台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《南岳区202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年“平安四型小区”和“平安村”建设实施方案》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《202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年平安南岳建设工作考评办法》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shd w:val="clear" w:color="auto" w:fill="auto"/>
          <w:lang w:val="en-US" w:eastAsia="zh-CN"/>
        </w:rPr>
        <w:t>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建立平安建设工作月清单责任制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shd w:val="clear" w:color="auto" w:fill="auto"/>
          <w:lang w:val="en-US" w:eastAsia="zh-CN"/>
        </w:rPr>
        <w:t>，持续开展“零”发案村、社区（小区）创建活动。</w:t>
      </w:r>
    </w:p>
    <w:p>
      <w:pPr>
        <w:keepNext w:val="0"/>
        <w:keepLines w:val="0"/>
        <w:pageBreakBefore w:val="0"/>
        <w:widowControl w:val="0"/>
        <w:pBdr>
          <w:top w:val="single" w:color="FFFFFF" w:sz="4" w:space="0"/>
          <w:left w:val="single" w:color="FFFFFF" w:sz="4" w:space="0"/>
          <w:bottom w:val="single" w:color="FFFFFF" w:sz="4" w:space="15"/>
          <w:right w:val="single" w:color="FFFFFF" w:sz="4" w:space="1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3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u w:val="none"/>
          <w:shd w:val="clear" w:color="auto" w:fill="auto"/>
          <w:lang w:val="en-US" w:eastAsia="zh-CN"/>
        </w:rPr>
      </w:pP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（二）积极回应群众关切。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深入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推进“平安五小工程”和“七无”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u w:val="none"/>
          <w:shd w:val="clear" w:color="auto" w:fill="auto"/>
          <w:lang w:val="en-US" w:eastAsia="zh-CN"/>
        </w:rPr>
        <w:t>村、社区（小区）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建设，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全年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共解决群众急难愁盼的“平安五小工程”民生实事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问题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及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化解矛盾纠纷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571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件。</w:t>
      </w:r>
    </w:p>
    <w:p>
      <w:pPr>
        <w:keepNext w:val="0"/>
        <w:keepLines w:val="0"/>
        <w:pageBreakBefore w:val="0"/>
        <w:widowControl w:val="0"/>
        <w:pBdr>
          <w:top w:val="single" w:color="FFFFFF" w:sz="4" w:space="0"/>
          <w:left w:val="single" w:color="FFFFFF" w:sz="4" w:space="0"/>
          <w:bottom w:val="single" w:color="FFFFFF" w:sz="4" w:space="15"/>
          <w:right w:val="single" w:color="FFFFFF" w:sz="4" w:space="1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  <w:t>（三）坚决守好民调防线。一是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制定下发《南岳区“国庆平安行动”实施方案》，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统筹安排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全区各联创单位下沉一线，深入开展义务巡防、入户走访宣传等活动。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对全区7个社区、63个“平安四型小区”进行业务培训和调研走访，对居民群众关注度高、反响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烈的“雷霆行动”和</w:t>
      </w:r>
      <w:r>
        <w:rPr>
          <w:rFonts w:hint="eastAsia" w:ascii="仿宋" w:hAnsi="仿宋" w:eastAsia="仿宋" w:cs="仿宋"/>
          <w:color w:val="000000"/>
          <w:sz w:val="32"/>
          <w:szCs w:val="32"/>
          <w:highlight w:val="none"/>
          <w:lang w:val="en-US" w:eastAsia="zh-CN"/>
        </w:rPr>
        <w:t>“新型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环保香”改革进行延伸解读。</w:t>
      </w:r>
      <w:r>
        <w:rPr>
          <w:rFonts w:hint="eastAsia" w:ascii="仿宋" w:hAnsi="仿宋" w:eastAsia="仿宋" w:cs="仿宋"/>
          <w:b/>
          <w:color w:val="000000"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民调期间，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与区融媒体中心共同推出“小网格服务大民生”网格员风采专栏节目10期，深度挖掘基层优秀网格员在化解矛盾纠纷、推进平安南岳建设中的典型经验，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引导广大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居民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群众为家乡点赞喝彩。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此外，与南岳电信公司合作，对全区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35000余个电信手机号码推送平安建设彩信2条、短信6条。</w:t>
      </w:r>
    </w:p>
    <w:p>
      <w:pPr>
        <w:keepNext w:val="0"/>
        <w:keepLines w:val="0"/>
        <w:pageBreakBefore w:val="0"/>
        <w:widowControl w:val="0"/>
        <w:pBdr>
          <w:top w:val="single" w:color="FFFFFF" w:sz="4" w:space="0"/>
          <w:left w:val="single" w:color="FFFFFF" w:sz="4" w:space="0"/>
          <w:bottom w:val="single" w:color="FFFFFF" w:sz="4" w:space="15"/>
          <w:right w:val="single" w:color="FFFFFF" w:sz="4" w:space="1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3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（四）切实加强中心建设。一是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新建新村村综治中心综治视联网会议系统，真正实现区乡村三级综治视联网全覆盖。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二是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每周定期与乡镇（街道）、村（社区）综治中心进行综治视联网平台调试，确保设备正常运转。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三是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在</w:t>
      </w:r>
      <w:r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  <w:t>市域社会治理现代化试点示范区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创建期间，对全区所有综治中心的标识标牌、制度、职责等进行全面更换。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四是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成功申报基层综治中心示范带动建设省级示范点（祝融街道综治中心）、市级示范点（岳庙社区综治中心）各1个，目前相关工作正有序推进。</w:t>
      </w:r>
    </w:p>
    <w:p>
      <w:pPr>
        <w:keepNext w:val="0"/>
        <w:keepLines w:val="0"/>
        <w:pageBreakBefore w:val="0"/>
        <w:widowControl w:val="0"/>
        <w:pBdr>
          <w:top w:val="single" w:color="FFFFFF" w:sz="4" w:space="0"/>
          <w:left w:val="single" w:color="FFFFFF" w:sz="4" w:space="0"/>
          <w:bottom w:val="single" w:color="FFFFFF" w:sz="4" w:space="15"/>
          <w:right w:val="single" w:color="FFFFFF" w:sz="4" w:space="1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3" w:firstLineChars="200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（五）努力提升人员素质。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为提升全区各级综治中心工作人员业务能力和综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合素质，4月份组织召开2023年社会治安综合治理工作会暨网格化管理工作专题培训会，特邀市综治中心主任周帅现场授课。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pBdr>
          <w:top w:val="single" w:color="FFFFFF" w:sz="4" w:space="0"/>
          <w:left w:val="single" w:color="FFFFFF" w:sz="4" w:space="0"/>
          <w:bottom w:val="single" w:color="FFFFFF" w:sz="4" w:space="15"/>
          <w:right w:val="single" w:color="FFFFFF" w:sz="4" w:space="1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90" w:lineRule="exact"/>
        <w:ind w:firstLine="643" w:firstLineChars="200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kern w:val="2"/>
          <w:sz w:val="32"/>
          <w:szCs w:val="32"/>
          <w:lang w:val="en-US" w:eastAsia="zh-CN" w:bidi="ar-SA"/>
        </w:rPr>
        <w:t>（六）大力完善平台数据。</w:t>
      </w:r>
      <w:r>
        <w:rPr>
          <w:rFonts w:hint="eastAsia" w:ascii="仿宋" w:hAnsi="仿宋" w:eastAsia="仿宋" w:cs="仿宋"/>
          <w:b w:val="0"/>
          <w:bCs w:val="0"/>
          <w:color w:val="000000"/>
          <w:kern w:val="2"/>
          <w:sz w:val="32"/>
          <w:szCs w:val="32"/>
          <w:lang w:val="en-US" w:eastAsia="zh-CN" w:bidi="ar-SA"/>
        </w:rPr>
        <w:t>点对点调度“云治衡阳”平台数据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录入工作。目前系统共录入户籍人口57223人，流动人员651人，房屋数据16065栋，两新组织数据689个，重点青少年251人，特殊人群375人，网格119个，网格员499人。其中，录入矛盾纠纷事件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highlight w:val="none"/>
          <w:lang w:val="en-US" w:eastAsia="zh-CN" w:bidi="ar-SA"/>
        </w:rPr>
        <w:t>524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val="en-US" w:eastAsia="zh-CN" w:bidi="ar-SA"/>
        </w:rPr>
        <w:t>件，办结率100%。</w:t>
      </w:r>
    </w:p>
    <w:p>
      <w:pPr>
        <w:spacing w:line="560" w:lineRule="exact"/>
        <w:ind w:firstLine="640" w:firstLineChars="200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四、</w:t>
      </w:r>
      <w:r>
        <w:rPr>
          <w:rFonts w:ascii="黑体" w:hAnsi="Times New Roman" w:eastAsia="黑体" w:cs="Times New Roman"/>
          <w:sz w:val="32"/>
          <w:szCs w:val="32"/>
        </w:rPr>
        <w:t>存在的问题及原因分析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通过前述对我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中心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整体支出情况的分析，反映出目前整体支出主要在预算执行方面还存在一些问题和不足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，部分项目完成度有待提升。由于疫情冲击影响的客观因素，以及牢固树立过紧日子思想，主动压缩非重点、刚性支出的主观因素，导致部分预算项目如培训费等预算执行情况不够理想。我们将在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下年加以重视，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 xml:space="preserve">提前谋划，科学编制项目预算，进一步提高预算编制的精确性。    </w:t>
      </w:r>
    </w:p>
    <w:p>
      <w:pPr>
        <w:spacing w:line="560" w:lineRule="exact"/>
        <w:ind w:firstLine="640" w:firstLineChars="200"/>
        <w:rPr>
          <w:rFonts w:ascii="黑体" w:hAnsi="Times New Roman" w:eastAsia="黑体" w:cs="Times New Roman"/>
          <w:sz w:val="32"/>
          <w:szCs w:val="32"/>
        </w:rPr>
      </w:pPr>
      <w:r>
        <w:rPr>
          <w:rFonts w:hint="eastAsia" w:ascii="黑体" w:hAnsi="Times New Roman" w:eastAsia="黑体" w:cs="Times New Roman"/>
          <w:sz w:val="32"/>
          <w:szCs w:val="32"/>
        </w:rPr>
        <w:t>五、</w:t>
      </w:r>
      <w:r>
        <w:rPr>
          <w:rFonts w:ascii="黑体" w:hAnsi="Times New Roman" w:eastAsia="黑体" w:cs="Times New Roman"/>
          <w:sz w:val="32"/>
          <w:szCs w:val="32"/>
        </w:rPr>
        <w:t>下一步改进措施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针对上述存在的问题，拟采取以下改进措施：</w:t>
      </w:r>
    </w:p>
    <w:p>
      <w:pPr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强化预算管理，定期开展预算执行分析。通过定期对项目实施和预算执行情况进行梳理，及时掌握项目进度，督促项目早启动、早实施、早验收，对符合条件的项目按照项目进度支付相关款项，将预算资金管理贯穿于项目实施全过程中。</w:t>
      </w:r>
    </w:p>
    <w:sectPr>
      <w:footerReference r:id="rId3" w:type="default"/>
      <w:pgSz w:w="11906" w:h="16838"/>
      <w:pgMar w:top="1871" w:right="1531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7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7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639CCF1"/>
    <w:multiLevelType w:val="singleLevel"/>
    <w:tmpl w:val="F639CCF1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ZjMTdhMDNlMWI4ZmNhOTEwNDBiYzdjZWRmNjdmNjcifQ=="/>
  </w:docVars>
  <w:rsids>
    <w:rsidRoot w:val="58E06247"/>
    <w:rsid w:val="00035707"/>
    <w:rsid w:val="00041602"/>
    <w:rsid w:val="000741FF"/>
    <w:rsid w:val="00123E7F"/>
    <w:rsid w:val="00131F97"/>
    <w:rsid w:val="00146DC1"/>
    <w:rsid w:val="00167292"/>
    <w:rsid w:val="001F60FC"/>
    <w:rsid w:val="001F7083"/>
    <w:rsid w:val="00222CD1"/>
    <w:rsid w:val="002247AD"/>
    <w:rsid w:val="0027713A"/>
    <w:rsid w:val="002B58FA"/>
    <w:rsid w:val="00317ECE"/>
    <w:rsid w:val="00334A5C"/>
    <w:rsid w:val="00335CFE"/>
    <w:rsid w:val="00361093"/>
    <w:rsid w:val="004516F8"/>
    <w:rsid w:val="00477AE9"/>
    <w:rsid w:val="004B781D"/>
    <w:rsid w:val="004D228F"/>
    <w:rsid w:val="00502486"/>
    <w:rsid w:val="00516EC3"/>
    <w:rsid w:val="00567A0C"/>
    <w:rsid w:val="005F6DFA"/>
    <w:rsid w:val="00625DB2"/>
    <w:rsid w:val="006324F2"/>
    <w:rsid w:val="0063391E"/>
    <w:rsid w:val="006A0DEE"/>
    <w:rsid w:val="006E0BFD"/>
    <w:rsid w:val="006E1B5C"/>
    <w:rsid w:val="006E1FBB"/>
    <w:rsid w:val="007B0C87"/>
    <w:rsid w:val="00881676"/>
    <w:rsid w:val="008A63A3"/>
    <w:rsid w:val="008D2395"/>
    <w:rsid w:val="008D4839"/>
    <w:rsid w:val="008F3C56"/>
    <w:rsid w:val="009343E8"/>
    <w:rsid w:val="009A3230"/>
    <w:rsid w:val="009A4142"/>
    <w:rsid w:val="009A745E"/>
    <w:rsid w:val="00A52F06"/>
    <w:rsid w:val="00A879F6"/>
    <w:rsid w:val="00AE6FFD"/>
    <w:rsid w:val="00B0080E"/>
    <w:rsid w:val="00B30691"/>
    <w:rsid w:val="00BB7374"/>
    <w:rsid w:val="00C77DED"/>
    <w:rsid w:val="00CA0637"/>
    <w:rsid w:val="00CD539A"/>
    <w:rsid w:val="00CD72B7"/>
    <w:rsid w:val="00D02F96"/>
    <w:rsid w:val="00D53011"/>
    <w:rsid w:val="00D73A07"/>
    <w:rsid w:val="00D763F9"/>
    <w:rsid w:val="00DE3CCC"/>
    <w:rsid w:val="00DE5CB8"/>
    <w:rsid w:val="00E516E4"/>
    <w:rsid w:val="00EA231F"/>
    <w:rsid w:val="00EB574D"/>
    <w:rsid w:val="00EC1595"/>
    <w:rsid w:val="00ED6977"/>
    <w:rsid w:val="00F33FE0"/>
    <w:rsid w:val="00F40005"/>
    <w:rsid w:val="03AD36D6"/>
    <w:rsid w:val="09E57B43"/>
    <w:rsid w:val="0B756CA4"/>
    <w:rsid w:val="149B2A0B"/>
    <w:rsid w:val="1EF113D5"/>
    <w:rsid w:val="20E67351"/>
    <w:rsid w:val="28606852"/>
    <w:rsid w:val="29121970"/>
    <w:rsid w:val="29EF7861"/>
    <w:rsid w:val="30BE2A8F"/>
    <w:rsid w:val="429F3322"/>
    <w:rsid w:val="43102595"/>
    <w:rsid w:val="43DE2931"/>
    <w:rsid w:val="4A1504A0"/>
    <w:rsid w:val="52C14B04"/>
    <w:rsid w:val="55A02E49"/>
    <w:rsid w:val="58E06247"/>
    <w:rsid w:val="5DA220D3"/>
    <w:rsid w:val="5EEC01A1"/>
    <w:rsid w:val="5FD2383A"/>
    <w:rsid w:val="64A2122F"/>
    <w:rsid w:val="6713109A"/>
    <w:rsid w:val="67B42849"/>
    <w:rsid w:val="67BA52E0"/>
    <w:rsid w:val="70F22B5B"/>
    <w:rsid w:val="71BD756A"/>
    <w:rsid w:val="73FB4CB6"/>
    <w:rsid w:val="751B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spacing w:before="100" w:beforeAutospacing="1" w:after="0"/>
      <w:ind w:firstLine="42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9">
    <w:name w:val="样式3"/>
    <w:basedOn w:val="1"/>
    <w:autoRedefine/>
    <w:qFormat/>
    <w:uiPriority w:val="0"/>
    <w:rPr>
      <w:rFonts w:ascii="Times New Roman" w:hAnsi="Times New Roman" w:eastAsia="仿宋_GB2312" w:cs="Times New Roman"/>
      <w:spacing w:val="113"/>
      <w:sz w:val="32"/>
    </w:rPr>
  </w:style>
  <w:style w:type="paragraph" w:customStyle="1" w:styleId="10">
    <w:name w:val="样式4"/>
    <w:basedOn w:val="1"/>
    <w:autoRedefine/>
    <w:qFormat/>
    <w:uiPriority w:val="0"/>
    <w:rPr>
      <w:rFonts w:ascii="Times New Roman" w:hAnsi="Times New Roman" w:eastAsia="仿宋_GB2312" w:cs="Times New Roman"/>
      <w:snapToGrid w:val="0"/>
      <w:spacing w:val="79"/>
      <w:sz w:val="32"/>
    </w:rPr>
  </w:style>
  <w:style w:type="paragraph" w:customStyle="1" w:styleId="11">
    <w:name w:val="样式6"/>
    <w:basedOn w:val="1"/>
    <w:autoRedefine/>
    <w:qFormat/>
    <w:uiPriority w:val="0"/>
    <w:rPr>
      <w:rFonts w:ascii="Times New Roman" w:hAnsi="Times New Roman" w:eastAsia="仿宋_GB2312" w:cs="Times New Roman"/>
      <w:spacing w:val="57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600</Words>
  <Characters>3421</Characters>
  <Lines>28</Lines>
  <Paragraphs>8</Paragraphs>
  <TotalTime>0</TotalTime>
  <ScaleCrop>false</ScaleCrop>
  <LinksUpToDate>false</LinksUpToDate>
  <CharactersWithSpaces>4013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2020-10-27T13:06:00Z</dcterms:created>
  <dc:creator>Administrator</dc:creator>
  <cp:lastModifiedBy>杨烁烁</cp:lastModifiedBy>
  <cp:lastPrinted>2022-12-08T01:17:00Z</cp:lastPrinted>
  <dcterms:modified xsi:type="dcterms:W3CDTF">2024-04-26T02:18:37Z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AAB16F875AC34CE9B7213FD62B7E2944_13</vt:lpwstr>
  </property>
</Properties>
</file>