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eastAsia="方正小标宋_GBK"/>
          <w:sz w:val="44"/>
          <w:szCs w:val="44"/>
        </w:rPr>
      </w:pPr>
      <w:r>
        <w:rPr>
          <w:rFonts w:hint="eastAsia" w:ascii="方正小标宋简体" w:hAnsi="方正小标宋简体" w:eastAsia="方正小标宋简体" w:cs="方正小标宋简体"/>
          <w:sz w:val="44"/>
          <w:szCs w:val="44"/>
        </w:rPr>
        <w:t>南岳区应急管理局202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年度部门整体支出绩效</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评</w:t>
      </w:r>
      <w:bookmarkStart w:id="0" w:name="_GoBack"/>
      <w:bookmarkEnd w:id="0"/>
      <w:r>
        <w:rPr>
          <w:rFonts w:hint="eastAsia" w:ascii="方正小标宋简体" w:hAnsi="方正小标宋简体" w:eastAsia="方正小标宋简体" w:cs="方正小标宋简体"/>
          <w:sz w:val="44"/>
          <w:szCs w:val="44"/>
        </w:rPr>
        <w:t>报告</w:t>
      </w:r>
    </w:p>
    <w:p>
      <w:pPr>
        <w:spacing w:line="540" w:lineRule="exact"/>
        <w:ind w:firstLine="645"/>
        <w:rPr>
          <w:rFonts w:eastAsia="仿宋_GB2312"/>
          <w:sz w:val="32"/>
          <w:szCs w:val="32"/>
        </w:rPr>
      </w:pPr>
    </w:p>
    <w:p>
      <w:pPr>
        <w:spacing w:line="540" w:lineRule="exact"/>
        <w:ind w:firstLine="645"/>
        <w:rPr>
          <w:rFonts w:eastAsia="仿宋_GB2312"/>
          <w:sz w:val="32"/>
          <w:szCs w:val="32"/>
        </w:rPr>
      </w:pPr>
      <w:r>
        <w:rPr>
          <w:rFonts w:eastAsia="仿宋_GB2312"/>
          <w:sz w:val="32"/>
          <w:szCs w:val="32"/>
        </w:rPr>
        <w:t>根据《中共中央国务院关于全面实施预算绩效管理的意见》的文件精神，我</w:t>
      </w:r>
      <w:r>
        <w:rPr>
          <w:rFonts w:hint="eastAsia" w:eastAsia="仿宋_GB2312"/>
          <w:sz w:val="32"/>
          <w:szCs w:val="32"/>
        </w:rPr>
        <w:t>局</w:t>
      </w:r>
      <w:r>
        <w:rPr>
          <w:rFonts w:eastAsia="仿宋_GB2312"/>
          <w:sz w:val="32"/>
          <w:szCs w:val="32"/>
        </w:rPr>
        <w:t>对部门整体支出进行了绩效评价，现报告如下：</w:t>
      </w:r>
    </w:p>
    <w:p>
      <w:pPr>
        <w:spacing w:line="54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一、部门（单位）基本情况</w:t>
      </w:r>
    </w:p>
    <w:p>
      <w:pPr>
        <w:widowControl/>
        <w:spacing w:line="540" w:lineRule="exact"/>
        <w:ind w:firstLine="630" w:firstLineChars="196"/>
        <w:jc w:val="left"/>
        <w:rPr>
          <w:rFonts w:eastAsia="楷体_GB2312"/>
          <w:b/>
          <w:snapToGrid w:val="0"/>
          <w:kern w:val="0"/>
          <w:sz w:val="32"/>
          <w:szCs w:val="32"/>
        </w:rPr>
      </w:pPr>
      <w:r>
        <w:rPr>
          <w:rFonts w:eastAsia="楷体_GB2312"/>
          <w:b/>
          <w:snapToGrid w:val="0"/>
          <w:kern w:val="0"/>
          <w:sz w:val="32"/>
          <w:szCs w:val="32"/>
        </w:rPr>
        <w:t>（一）部门职能职责</w:t>
      </w:r>
    </w:p>
    <w:p>
      <w:pPr>
        <w:spacing w:line="540" w:lineRule="exact"/>
        <w:ind w:firstLine="645"/>
        <w:rPr>
          <w:rFonts w:eastAsia="仿宋_GB2312"/>
          <w:sz w:val="32"/>
          <w:szCs w:val="32"/>
        </w:rPr>
      </w:pPr>
      <w:r>
        <w:rPr>
          <w:rFonts w:hint="eastAsia" w:eastAsia="仿宋_GB2312"/>
          <w:sz w:val="32"/>
          <w:szCs w:val="32"/>
        </w:rPr>
        <w:t>(一) 负责应急管理工作，指导全区应对安全生产类、自然灾害类等突发事件和综合防灾减灾救灾工作。负责安全生产综合监督管理和权限内工矿商贸行业安全生产监督管理工作。</w:t>
      </w:r>
    </w:p>
    <w:p>
      <w:pPr>
        <w:spacing w:line="540" w:lineRule="exact"/>
        <w:ind w:firstLine="645"/>
        <w:rPr>
          <w:rFonts w:eastAsia="仿宋_GB2312"/>
          <w:sz w:val="32"/>
          <w:szCs w:val="32"/>
        </w:rPr>
      </w:pPr>
      <w:r>
        <w:rPr>
          <w:rFonts w:hint="eastAsia" w:eastAsia="仿宋_GB2312"/>
          <w:sz w:val="32"/>
          <w:szCs w:val="32"/>
        </w:rPr>
        <w:t>(二)贯彻实施相关法律法规，部门规章、规程和标准，组织编制全区应急体系建设、安全生产和综合防灾减灾规划，组织起草相关规范性文件，组织拟订相关政策并监督实施。</w:t>
      </w:r>
    </w:p>
    <w:p>
      <w:pPr>
        <w:spacing w:line="540" w:lineRule="exact"/>
        <w:ind w:firstLine="645"/>
        <w:rPr>
          <w:rFonts w:eastAsia="仿宋_GB2312"/>
          <w:sz w:val="32"/>
          <w:szCs w:val="32"/>
        </w:rPr>
      </w:pPr>
      <w:r>
        <w:rPr>
          <w:rFonts w:hint="eastAsia" w:eastAsia="仿宋_GB2312"/>
          <w:sz w:val="32"/>
          <w:szCs w:val="32"/>
        </w:rPr>
        <w:t>(三)指导应急预案体系建设，建立完善事故灾难和自然灾害分级应对制度，组织编制南岳区总体应急预案和安全生产类、自然灾害类专项预案，综合协调应急预案衔接工作，组织开展预案演练，推动应急避难设施建设。</w:t>
      </w:r>
    </w:p>
    <w:p>
      <w:pPr>
        <w:spacing w:line="540" w:lineRule="exact"/>
        <w:ind w:firstLine="645"/>
        <w:rPr>
          <w:rFonts w:eastAsia="仿宋_GB2312"/>
          <w:sz w:val="32"/>
          <w:szCs w:val="32"/>
        </w:rPr>
      </w:pPr>
      <w:r>
        <w:rPr>
          <w:rFonts w:hint="eastAsia" w:eastAsia="仿宋_GB2312"/>
          <w:sz w:val="32"/>
          <w:szCs w:val="32"/>
        </w:rPr>
        <w:t>(四)牵头推进全区统一的应急管理信息系统建设，负责信息传输渠道的规划和布局，建立监测预警和灾情报告制度，健全自然史害信息资源获取和共享机制，依法统一发布灾情。</w:t>
      </w:r>
    </w:p>
    <w:p>
      <w:pPr>
        <w:spacing w:line="540" w:lineRule="exact"/>
        <w:ind w:firstLine="645"/>
        <w:rPr>
          <w:rFonts w:eastAsia="仿宋_GB2312"/>
          <w:sz w:val="32"/>
          <w:szCs w:val="32"/>
        </w:rPr>
      </w:pPr>
      <w:r>
        <w:rPr>
          <w:rFonts w:hint="eastAsia" w:eastAsia="仿宋_GB2312"/>
          <w:sz w:val="32"/>
          <w:szCs w:val="32"/>
        </w:rPr>
        <w:t>(五)组织指导协调安全生产类、自然灾害类等突发事件应急救授，承担区应对-般灾害指挥部工作，综合研判突发事件发展态势并提出应对建议，协助区委、区政府指定的负责同志组织一般及以上灾害应急处置工作。</w:t>
      </w:r>
    </w:p>
    <w:p>
      <w:pPr>
        <w:spacing w:line="540" w:lineRule="exact"/>
        <w:ind w:firstLine="645"/>
        <w:rPr>
          <w:rFonts w:eastAsia="仿宋_GB2312"/>
          <w:sz w:val="32"/>
          <w:szCs w:val="32"/>
        </w:rPr>
      </w:pPr>
      <w:r>
        <w:rPr>
          <w:rFonts w:hint="eastAsia" w:eastAsia="仿宋_GB2312"/>
          <w:sz w:val="32"/>
          <w:szCs w:val="32"/>
        </w:rPr>
        <w:t>(六)统一协调指挥各类应急专业队伍，建立应急协调联动机制，推进指挥平台对接，负责解放军和武警部队参与应急救援相关衔接工作。</w:t>
      </w:r>
    </w:p>
    <w:p>
      <w:pPr>
        <w:spacing w:line="540" w:lineRule="exact"/>
        <w:ind w:firstLine="645"/>
        <w:rPr>
          <w:rFonts w:eastAsia="仿宋_GB2312"/>
          <w:sz w:val="32"/>
          <w:szCs w:val="32"/>
        </w:rPr>
      </w:pPr>
      <w:r>
        <w:rPr>
          <w:rFonts w:hint="eastAsia" w:eastAsia="仿宋_GB2312"/>
          <w:sz w:val="32"/>
          <w:szCs w:val="32"/>
        </w:rPr>
        <w:t>(七)统筹全区应急救援力量建设，负责消防、森林火灾扑救、抗洪抢险、地震和地质灾害救授、生产安全事故救援等专业应急救援力量建设，依权限做好驻岳国家综合性应急救援队伍建设的相关工作，指导地方及社会应急救援力量建设。</w:t>
      </w:r>
    </w:p>
    <w:p>
      <w:pPr>
        <w:spacing w:line="540" w:lineRule="exact"/>
        <w:ind w:firstLine="645"/>
        <w:rPr>
          <w:rFonts w:eastAsia="仿宋_GB2312"/>
          <w:sz w:val="32"/>
          <w:szCs w:val="32"/>
        </w:rPr>
      </w:pPr>
      <w:r>
        <w:rPr>
          <w:rFonts w:hint="eastAsia" w:eastAsia="仿宋_GB2312"/>
          <w:sz w:val="32"/>
          <w:szCs w:val="32"/>
        </w:rPr>
        <w:t>(八)负责协调全区消防管理有关工作，指导全区消防监督、火灾预防、火灾扑救等工作。</w:t>
      </w:r>
    </w:p>
    <w:p>
      <w:pPr>
        <w:spacing w:line="540" w:lineRule="exact"/>
        <w:ind w:firstLine="645"/>
        <w:rPr>
          <w:rFonts w:eastAsia="仿宋_GB2312"/>
          <w:sz w:val="32"/>
          <w:szCs w:val="32"/>
        </w:rPr>
      </w:pPr>
      <w:r>
        <w:rPr>
          <w:rFonts w:hint="eastAsia" w:eastAsia="仿宋_GB2312"/>
          <w:sz w:val="32"/>
          <w:szCs w:val="32"/>
        </w:rPr>
        <w:t>(九)指导协调全区森林火灾、水旱灾害、地震和地质灾害等防治工作，负责自然灾害综合监测预警工作，指导开展自然灾害综合风险评估工作。</w:t>
      </w:r>
    </w:p>
    <w:p>
      <w:pPr>
        <w:spacing w:line="540" w:lineRule="exact"/>
        <w:ind w:firstLine="645"/>
        <w:rPr>
          <w:rFonts w:eastAsia="仿宋_GB2312"/>
          <w:sz w:val="32"/>
          <w:szCs w:val="32"/>
        </w:rPr>
      </w:pPr>
      <w:r>
        <w:rPr>
          <w:rFonts w:hint="eastAsia" w:eastAsia="仿宋_GB2312"/>
          <w:sz w:val="32"/>
          <w:szCs w:val="32"/>
        </w:rPr>
        <w:t>(十)组织协调灾害救助工作，组织指导灾情核查、损失评估、救灾捐赠工作，按权限管理、分配中央、省、市级下达和区级救灾抗灾款物并监督使用。</w:t>
      </w:r>
    </w:p>
    <w:p>
      <w:pPr>
        <w:spacing w:line="540" w:lineRule="exact"/>
        <w:ind w:firstLine="645"/>
        <w:rPr>
          <w:rFonts w:eastAsia="仿宋_GB2312"/>
          <w:sz w:val="32"/>
          <w:szCs w:val="32"/>
        </w:rPr>
      </w:pPr>
      <w:r>
        <w:rPr>
          <w:rFonts w:hint="eastAsia" w:eastAsia="仿宋_GB2312"/>
          <w:sz w:val="32"/>
          <w:szCs w:val="32"/>
        </w:rPr>
        <w:t>(十一)依法行使安全生产综合监督管理职权，指导协调、监督检查区直有关部门和各乡镇(街道)的安全生产工作，组织开展安全生产巡查、考核工作。</w:t>
      </w:r>
    </w:p>
    <w:p>
      <w:pPr>
        <w:spacing w:line="540" w:lineRule="exact"/>
        <w:ind w:firstLine="645"/>
        <w:rPr>
          <w:rFonts w:eastAsia="仿宋_GB2312"/>
          <w:sz w:val="32"/>
          <w:szCs w:val="32"/>
        </w:rPr>
      </w:pPr>
      <w:r>
        <w:rPr>
          <w:rFonts w:hint="eastAsia" w:eastAsia="仿宋_GB2312"/>
          <w:sz w:val="32"/>
          <w:szCs w:val="32"/>
        </w:rPr>
        <w:t>(十二)按照分级、属地原则，依法监督检查权限内工矿</w:t>
      </w:r>
    </w:p>
    <w:p>
      <w:pPr>
        <w:spacing w:line="540" w:lineRule="exact"/>
        <w:rPr>
          <w:rFonts w:eastAsia="仿宋_GB2312"/>
          <w:sz w:val="32"/>
          <w:szCs w:val="32"/>
        </w:rPr>
      </w:pPr>
      <w:r>
        <w:rPr>
          <w:rFonts w:hint="eastAsia" w:eastAsia="仿宋_GB2312"/>
          <w:sz w:val="32"/>
          <w:szCs w:val="32"/>
        </w:rPr>
        <w:t>商贸企业贯彻执行安全生产法律法规情况及其安全生产条件和有关设备(特种设备除外)、材料、劳动防护用品的安全生产管理工作。依法组织并指导监督实施安全生产准入制度。负责危险化学品安全监督管理综合工作和烟花爆竹经营安全监督管理工作。</w:t>
      </w:r>
    </w:p>
    <w:p>
      <w:pPr>
        <w:spacing w:line="540" w:lineRule="exact"/>
        <w:ind w:firstLine="645"/>
        <w:rPr>
          <w:rFonts w:eastAsia="仿宋_GB2312"/>
          <w:sz w:val="32"/>
          <w:szCs w:val="32"/>
        </w:rPr>
      </w:pPr>
      <w:r>
        <w:rPr>
          <w:rFonts w:hint="eastAsia" w:eastAsia="仿宋_GB2312"/>
          <w:sz w:val="32"/>
          <w:szCs w:val="32"/>
        </w:rPr>
        <w:t>(十三)负责全区非煤矿山安全生产监督管理工作。</w:t>
      </w:r>
    </w:p>
    <w:p>
      <w:pPr>
        <w:spacing w:line="540" w:lineRule="exact"/>
        <w:ind w:firstLine="645"/>
        <w:rPr>
          <w:rFonts w:eastAsia="仿宋_GB2312"/>
          <w:sz w:val="32"/>
          <w:szCs w:val="32"/>
        </w:rPr>
      </w:pPr>
      <w:r>
        <w:rPr>
          <w:rFonts w:hint="eastAsia" w:eastAsia="仿宋_GB2312"/>
          <w:sz w:val="32"/>
          <w:szCs w:val="32"/>
        </w:rPr>
        <w:t>(十四)依法组织指导生产安全事故调查处理，监督事故查处和责任追究落实情况。组织开展自然灾害类突发事件的调查评估工作。</w:t>
      </w:r>
    </w:p>
    <w:p>
      <w:pPr>
        <w:spacing w:line="540" w:lineRule="exact"/>
        <w:ind w:firstLine="645"/>
        <w:rPr>
          <w:rFonts w:eastAsia="仿宋_GB2312"/>
          <w:sz w:val="32"/>
          <w:szCs w:val="32"/>
        </w:rPr>
      </w:pPr>
      <w:r>
        <w:rPr>
          <w:rFonts w:hint="eastAsia" w:eastAsia="仿宋_GB2312"/>
          <w:sz w:val="32"/>
          <w:szCs w:val="32"/>
        </w:rPr>
        <w:t>(十五)制定全区应急物资储备和应急救授装备规划并组织实施，会同区发展改革局等部门建立健全应急物资信息平台调拨制度，在救灾时统一调度。</w:t>
      </w:r>
    </w:p>
    <w:p>
      <w:pPr>
        <w:spacing w:line="540" w:lineRule="exact"/>
        <w:ind w:firstLine="645"/>
        <w:rPr>
          <w:rFonts w:eastAsia="仿宋_GB2312"/>
          <w:sz w:val="32"/>
          <w:szCs w:val="32"/>
        </w:rPr>
      </w:pPr>
      <w:r>
        <w:rPr>
          <w:rFonts w:hint="eastAsia" w:eastAsia="仿宋_GB2312"/>
          <w:sz w:val="32"/>
          <w:szCs w:val="32"/>
        </w:rPr>
        <w:t>(十六)负责应急管理、安全生产宣传教育和培训工作，组织指导应急管理、安全生产的科学技术研究，推广应用和信息化建设工作。</w:t>
      </w:r>
    </w:p>
    <w:p>
      <w:pPr>
        <w:spacing w:line="540" w:lineRule="exact"/>
        <w:ind w:firstLine="645"/>
        <w:rPr>
          <w:rFonts w:eastAsia="仿宋_GB2312"/>
          <w:sz w:val="32"/>
          <w:szCs w:val="32"/>
        </w:rPr>
      </w:pPr>
      <w:r>
        <w:rPr>
          <w:rFonts w:hint="eastAsia" w:eastAsia="仿宋_GB2312"/>
          <w:sz w:val="32"/>
          <w:szCs w:val="32"/>
        </w:rPr>
        <w:t>(十七)开展应急管理对外交流与合作，组织参与安全生产类、自然灾害类等突发事件的对外救援工作。</w:t>
      </w:r>
    </w:p>
    <w:p>
      <w:pPr>
        <w:spacing w:line="540" w:lineRule="exact"/>
        <w:ind w:firstLine="645"/>
        <w:rPr>
          <w:rFonts w:eastAsia="仿宋_GB2312"/>
          <w:sz w:val="32"/>
          <w:szCs w:val="32"/>
        </w:rPr>
      </w:pPr>
      <w:r>
        <w:rPr>
          <w:rFonts w:hint="eastAsia" w:eastAsia="仿宋_GB2312"/>
          <w:sz w:val="32"/>
          <w:szCs w:val="32"/>
        </w:rPr>
        <w:t>(十八)承担区防汛抗旱指挥部日常工作，协调区防汛抗旱指挥部成员单位的相关工作，组织执行国家防汛抗旱总指挥部、相关流域防汛抗旱指挥机构、市防汛抗旱指挥部和区防汛抗旱指挥部的指示和命令。</w:t>
      </w:r>
    </w:p>
    <w:p>
      <w:pPr>
        <w:spacing w:line="540" w:lineRule="exact"/>
        <w:ind w:firstLine="645"/>
        <w:rPr>
          <w:rFonts w:eastAsia="仿宋_GB2312"/>
          <w:sz w:val="32"/>
          <w:szCs w:val="32"/>
        </w:rPr>
      </w:pPr>
      <w:r>
        <w:rPr>
          <w:rFonts w:hint="eastAsia" w:eastAsia="仿宋_GB2312"/>
          <w:sz w:val="32"/>
          <w:szCs w:val="32"/>
        </w:rPr>
        <w:t>(十九)完成区委、区政府交办的其他任务。</w:t>
      </w:r>
    </w:p>
    <w:p>
      <w:pPr>
        <w:spacing w:line="540" w:lineRule="exact"/>
        <w:ind w:firstLine="645"/>
        <w:rPr>
          <w:rFonts w:eastAsia="仿宋_GB2312"/>
          <w:sz w:val="32"/>
          <w:szCs w:val="32"/>
        </w:rPr>
      </w:pPr>
      <w:r>
        <w:rPr>
          <w:rFonts w:hint="eastAsia" w:eastAsia="仿宋_GB2312"/>
          <w:sz w:val="32"/>
          <w:szCs w:val="32"/>
        </w:rPr>
        <w:t>(二十)职能转变。区应急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spacing w:line="540" w:lineRule="exact"/>
        <w:ind w:firstLine="645"/>
        <w:rPr>
          <w:rFonts w:eastAsia="仿宋_GB2312"/>
          <w:sz w:val="32"/>
          <w:szCs w:val="32"/>
        </w:rPr>
      </w:pPr>
      <w:r>
        <w:rPr>
          <w:rFonts w:hint="eastAsia" w:eastAsia="仿宋_GB2312"/>
          <w:sz w:val="32"/>
          <w:szCs w:val="32"/>
        </w:rPr>
        <w:t>(二十一)职责分工。</w:t>
      </w:r>
    </w:p>
    <w:p>
      <w:pPr>
        <w:spacing w:line="540" w:lineRule="exact"/>
        <w:ind w:firstLine="645"/>
        <w:rPr>
          <w:rFonts w:eastAsia="仿宋_GB2312"/>
          <w:sz w:val="32"/>
          <w:szCs w:val="32"/>
        </w:rPr>
      </w:pPr>
      <w:r>
        <w:rPr>
          <w:rFonts w:hint="eastAsia" w:eastAsia="仿宋_GB2312"/>
          <w:sz w:val="32"/>
          <w:szCs w:val="32"/>
        </w:rPr>
        <w:t>1.与区自然资源局、区农业农村局、区林业局等部门在自然灾害防救方面的职责分工。</w:t>
      </w:r>
    </w:p>
    <w:p>
      <w:pPr>
        <w:spacing w:line="540" w:lineRule="exact"/>
        <w:ind w:firstLine="645"/>
        <w:rPr>
          <w:rFonts w:eastAsia="仿宋_GB2312"/>
          <w:sz w:val="32"/>
          <w:szCs w:val="32"/>
        </w:rPr>
      </w:pPr>
      <w:r>
        <w:rPr>
          <w:rFonts w:hint="eastAsia" w:eastAsia="仿宋_GB2312"/>
          <w:sz w:val="32"/>
          <w:szCs w:val="32"/>
        </w:rPr>
        <w:t>(1)区应急局负责组织编制南岳区总体应急预案和安全生产类、自然灾害类专项预案，综合协调应急预案衔接工作，组织开展预案演练。按照分级负责的原则，指导自然灾害类应急救援；组织协调一般及以上灾害应急救援工作，并按权限做出决定；承担区应对一般灾害指挥部工作，协助区委、区政府指定的负责同志组织一般及以上灾害应急处置工作。组织编制综合防灾减灾规划，指导协调相关部门森林火灾、水旱灾害、地震和地质灾害等防治工作；会同区自然资源局，区农业农村局、区气象局、区林业局等有关部门建立统一的应急管理信息平台，建立监测预警和灾情报告制度，健全自然灾害信息资源获取和共享机制，依法统一发布灾情。开展多灾种和灾害链综合监测预警，指导开展自然灾害综合风险评估。负责森林火情监测预警工作，发布森林火险、火灾信息。</w:t>
      </w:r>
    </w:p>
    <w:p>
      <w:pPr>
        <w:spacing w:line="540" w:lineRule="exact"/>
        <w:ind w:firstLine="645"/>
        <w:rPr>
          <w:rFonts w:eastAsia="仿宋_GB2312"/>
          <w:sz w:val="32"/>
          <w:szCs w:val="32"/>
        </w:rPr>
      </w:pPr>
      <w:r>
        <w:rPr>
          <w:rFonts w:hint="eastAsia" w:eastAsia="仿宋_GB2312"/>
          <w:sz w:val="32"/>
          <w:szCs w:val="32"/>
        </w:rPr>
        <w:t>(2)区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spacing w:line="540" w:lineRule="exact"/>
        <w:ind w:firstLine="645"/>
        <w:rPr>
          <w:rFonts w:eastAsia="仿宋_GB2312"/>
          <w:sz w:val="32"/>
          <w:szCs w:val="32"/>
        </w:rPr>
      </w:pPr>
      <w:r>
        <w:rPr>
          <w:rFonts w:hint="eastAsia" w:eastAsia="仿宋_GB2312"/>
          <w:sz w:val="32"/>
          <w:szCs w:val="32"/>
        </w:rPr>
        <w:t>(3)区农业农村局负责落实综合防灾减灾规划相关要求，组织编制洪水干旱灾害防治规划和防护标准并指导实施；承担水情旱情监测预警工作；组织编制重要河流、水库和重要水利工程的防御洪水抗御旱灾调度和应急水量调度方案，按程序报批并组织实施；承担防御洪水应急抢险的技术支撑工作；承担台风防御期间重要水工程调度工作。</w:t>
      </w:r>
    </w:p>
    <w:p>
      <w:pPr>
        <w:spacing w:line="540" w:lineRule="exact"/>
        <w:ind w:firstLine="645"/>
        <w:rPr>
          <w:rFonts w:eastAsia="仿宋_GB2312"/>
          <w:sz w:val="32"/>
          <w:szCs w:val="32"/>
        </w:rPr>
      </w:pPr>
      <w:r>
        <w:rPr>
          <w:rFonts w:hint="eastAsia" w:eastAsia="仿宋_GB2312"/>
          <w:sz w:val="32"/>
          <w:szCs w:val="32"/>
        </w:rPr>
        <w:t>(4)区林业局负责落实综合防灾减灾规划相关要求，组织编制森林火灾防治规划和防护标准并指导实施；指导开展防火巡护、火源管理、防火设施建设等工作；组织指导国有林场、树木园开展防火宣传教育、监测预警、督促检查等工作。</w:t>
      </w:r>
    </w:p>
    <w:p>
      <w:pPr>
        <w:spacing w:line="540" w:lineRule="exact"/>
        <w:ind w:firstLine="645"/>
        <w:rPr>
          <w:rFonts w:eastAsia="仿宋_GB2312"/>
          <w:sz w:val="32"/>
          <w:szCs w:val="32"/>
        </w:rPr>
      </w:pPr>
      <w:r>
        <w:rPr>
          <w:rFonts w:hint="eastAsia" w:eastAsia="仿宋_GB2312"/>
          <w:sz w:val="32"/>
          <w:szCs w:val="32"/>
        </w:rPr>
        <w:t>(5)必要时区自然资源局、区农业农村局、区林业局等部门可以提请区应急局，以区应急指挥机构名义部署相关防治工作。</w:t>
      </w:r>
    </w:p>
    <w:p>
      <w:pPr>
        <w:spacing w:line="540" w:lineRule="exact"/>
        <w:ind w:firstLine="645"/>
        <w:rPr>
          <w:rFonts w:eastAsia="仿宋_GB2312"/>
          <w:sz w:val="32"/>
          <w:szCs w:val="32"/>
        </w:rPr>
      </w:pPr>
      <w:r>
        <w:rPr>
          <w:rFonts w:hint="eastAsia" w:eastAsia="仿宋_GB2312"/>
          <w:sz w:val="32"/>
          <w:szCs w:val="32"/>
        </w:rPr>
        <w:t>2.与区发展改革局在救灾物资储备方面的职责分工。</w:t>
      </w:r>
    </w:p>
    <w:p>
      <w:pPr>
        <w:spacing w:line="540" w:lineRule="exact"/>
        <w:ind w:firstLine="645"/>
        <w:rPr>
          <w:rFonts w:eastAsia="仿宋_GB2312"/>
          <w:sz w:val="32"/>
          <w:szCs w:val="32"/>
        </w:rPr>
      </w:pPr>
      <w:r>
        <w:rPr>
          <w:rFonts w:hint="eastAsia" w:eastAsia="仿宋_GB2312"/>
          <w:sz w:val="32"/>
          <w:szCs w:val="32"/>
        </w:rPr>
        <w:t>(1)区应急局负责提出区级救灾抗灾物资的储备需求，负贲按权限提出中央、省市级下达和区级教灾物资的动用决策，组织编制区级敦灾抗灾物资储备规划、品种目录和标准， 全同区发展改革局等部门确定年度购置计划，根据需要下达动用指令。</w:t>
      </w:r>
    </w:p>
    <w:p>
      <w:pPr>
        <w:spacing w:line="540" w:lineRule="exact"/>
        <w:ind w:firstLine="645"/>
        <w:rPr>
          <w:rFonts w:eastAsia="仿宋_GB2312"/>
          <w:sz w:val="32"/>
          <w:szCs w:val="32"/>
        </w:rPr>
      </w:pPr>
      <w:r>
        <w:rPr>
          <w:rFonts w:hint="eastAsia" w:eastAsia="仿宋_GB2312"/>
          <w:sz w:val="32"/>
          <w:szCs w:val="32"/>
        </w:rPr>
        <w:t>(2)区发展改革局根据区级救灾抗灾物资储备规划，品种目录和标准、年度购置计划，负责中央、省市级下达和区级救灾抗灾物资的收储、轮换和日常管理，根据区应急局的动用指令按程序组织调出。</w:t>
      </w:r>
    </w:p>
    <w:p>
      <w:pPr>
        <w:spacing w:line="540" w:lineRule="exact"/>
        <w:ind w:firstLine="645"/>
        <w:rPr>
          <w:rFonts w:eastAsia="仿宋_GB2312"/>
          <w:sz w:val="32"/>
          <w:szCs w:val="32"/>
        </w:rPr>
      </w:pPr>
      <w:r>
        <w:rPr>
          <w:rFonts w:hint="eastAsia" w:eastAsia="仿宋_GB2312"/>
          <w:sz w:val="32"/>
          <w:szCs w:val="32"/>
        </w:rPr>
        <w:t>3.关于交通运输、铁路、水利、建筑和城市公用设施、民爆器材、邮政、通信、卫生、旅游、高危体育项目、特种设备、消防、宗教、农业机械等行业领域安全生产监督管理问题。公安、住建、发改、卫生健康、城管执法、交通运输、文化旅游、市场监管、消防、民族宗教事物、农业农村、商务等负有安全生产监督管理职责的部门负责本行业领域的安会生产监督管理工作;区应急局从综合监督管理全区安全生产工作的角度，指导协调和监督检查上述部门的安全生产监督管理工作。</w:t>
      </w:r>
    </w:p>
    <w:p>
      <w:pPr>
        <w:widowControl/>
        <w:spacing w:line="540" w:lineRule="exact"/>
        <w:ind w:firstLine="640" w:firstLineChars="200"/>
        <w:jc w:val="left"/>
        <w:rPr>
          <w:rFonts w:eastAsia="仿宋_GB2312"/>
          <w:sz w:val="32"/>
          <w:szCs w:val="32"/>
        </w:rPr>
      </w:pPr>
      <w:r>
        <w:rPr>
          <w:rFonts w:hint="eastAsia" w:eastAsia="仿宋_GB2312"/>
          <w:sz w:val="32"/>
          <w:szCs w:val="32"/>
        </w:rPr>
        <w:t xml:space="preserve">4.关于烟花爆竹安全监督管理的职责。区应急局负责监督管理烟花爆竹经营单位贯彻执行安全生产法律法规的情况，负责烟花爆竹经营单位安全条件审查和经营(零售)许可证发放工作，组织查处烟花爆竹生产安全事故；区公安分局负责烟花爆竹道路运输许可证发放、烟花爆竹运输路线确定和管理烟花爆竹燃放等工作，会同有关部门建立联合执法机制，依法打击和取缔烟花爆竹非法生产、买卖、储存行为。    </w:t>
      </w:r>
    </w:p>
    <w:p>
      <w:pPr>
        <w:widowControl/>
        <w:spacing w:line="540" w:lineRule="exact"/>
        <w:ind w:firstLine="643" w:firstLineChars="200"/>
        <w:jc w:val="left"/>
        <w:rPr>
          <w:rFonts w:eastAsia="楷体_GB2312"/>
          <w:b/>
          <w:sz w:val="32"/>
          <w:szCs w:val="32"/>
        </w:rPr>
      </w:pPr>
      <w:r>
        <w:rPr>
          <w:rFonts w:eastAsia="楷体_GB2312"/>
          <w:b/>
          <w:sz w:val="32"/>
          <w:szCs w:val="32"/>
        </w:rPr>
        <w:t>（二）机构设置情况</w:t>
      </w:r>
    </w:p>
    <w:p>
      <w:pPr>
        <w:widowControl/>
        <w:spacing w:line="540" w:lineRule="exact"/>
        <w:ind w:firstLine="627" w:firstLineChars="196"/>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年末</w:t>
      </w:r>
      <w:r>
        <w:rPr>
          <w:rFonts w:ascii="Times New Roman" w:hAnsi="Times New Roman" w:eastAsia="仿宋_GB2312" w:cs="Times New Roman"/>
          <w:kern w:val="0"/>
          <w:sz w:val="32"/>
          <w:szCs w:val="32"/>
        </w:rPr>
        <w:t>，我</w:t>
      </w:r>
      <w:r>
        <w:rPr>
          <w:rFonts w:hint="eastAsia"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内设处室</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个，所属事业单位</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个。内设处室分别是</w:t>
      </w:r>
      <w:r>
        <w:rPr>
          <w:rFonts w:hint="eastAsia" w:ascii="Times New Roman" w:hAnsi="Times New Roman" w:eastAsia="仿宋_GB2312" w:cs="Times New Roman"/>
          <w:kern w:val="0"/>
          <w:sz w:val="32"/>
          <w:szCs w:val="32"/>
        </w:rPr>
        <w:t>办公室、应急指挥中心（应急管理股）、政策法规股（行政审批服务股）、危险化学品安全监督管理股（烟花爆竹安全监督管理股）、非煤矿山和工贸行业安全监督管理股、安全生产综合协调股、火灾防治管理股、防汛抗旱股（地震地质灾害救援股）。</w:t>
      </w:r>
      <w:r>
        <w:rPr>
          <w:rFonts w:ascii="Times New Roman" w:hAnsi="Times New Roman" w:eastAsia="仿宋_GB2312" w:cs="Times New Roman"/>
          <w:kern w:val="0"/>
          <w:sz w:val="32"/>
          <w:szCs w:val="32"/>
        </w:rPr>
        <w:t>所属事业单位分别是</w:t>
      </w:r>
      <w:r>
        <w:rPr>
          <w:rFonts w:hint="eastAsia" w:ascii="Times New Roman" w:hAnsi="Times New Roman" w:eastAsia="仿宋_GB2312" w:cs="Times New Roman"/>
          <w:kern w:val="0"/>
          <w:sz w:val="32"/>
          <w:szCs w:val="32"/>
        </w:rPr>
        <w:t>南岳区应急管理综合行政执法大队、南岳区应急事务中心。</w:t>
      </w:r>
    </w:p>
    <w:p>
      <w:pPr>
        <w:widowControl/>
        <w:spacing w:line="540" w:lineRule="exact"/>
        <w:ind w:firstLine="630" w:firstLineChars="196"/>
        <w:jc w:val="left"/>
        <w:rPr>
          <w:rFonts w:eastAsia="楷体_GB2312"/>
          <w:b/>
          <w:sz w:val="32"/>
          <w:szCs w:val="32"/>
        </w:rPr>
      </w:pPr>
      <w:r>
        <w:rPr>
          <w:rFonts w:eastAsia="楷体_GB2312"/>
          <w:b/>
          <w:sz w:val="32"/>
          <w:szCs w:val="32"/>
        </w:rPr>
        <w:t>（三）人员编制情况</w:t>
      </w:r>
    </w:p>
    <w:p>
      <w:pPr>
        <w:spacing w:line="540" w:lineRule="exact"/>
        <w:ind w:firstLine="640" w:firstLineChars="200"/>
        <w:rPr>
          <w:rFonts w:ascii="黑体" w:hAnsi="Times New Roman" w:eastAsia="黑体" w:cs="Times New Roman"/>
          <w:sz w:val="32"/>
          <w:szCs w:val="32"/>
        </w:rPr>
      </w:pP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3</w:t>
      </w:r>
      <w:r>
        <w:rPr>
          <w:rFonts w:eastAsia="仿宋_GB2312"/>
          <w:sz w:val="32"/>
          <w:szCs w:val="32"/>
        </w:rPr>
        <w:t>年末，我单位共有编制</w:t>
      </w:r>
      <w:r>
        <w:rPr>
          <w:rFonts w:hint="eastAsia" w:eastAsia="仿宋_GB2312"/>
          <w:sz w:val="32"/>
          <w:szCs w:val="32"/>
          <w:lang w:val="en-US" w:eastAsia="zh-CN"/>
        </w:rPr>
        <w:t>23</w:t>
      </w:r>
      <w:r>
        <w:rPr>
          <w:rFonts w:eastAsia="仿宋_GB2312"/>
          <w:sz w:val="32"/>
          <w:szCs w:val="32"/>
        </w:rPr>
        <w:t>人，其中行政编制</w:t>
      </w:r>
      <w:r>
        <w:rPr>
          <w:rFonts w:hint="eastAsia" w:eastAsia="仿宋_GB2312"/>
          <w:sz w:val="32"/>
          <w:szCs w:val="32"/>
          <w:lang w:val="en-US" w:eastAsia="zh-CN"/>
        </w:rPr>
        <w:t>5</w:t>
      </w:r>
      <w:r>
        <w:rPr>
          <w:rFonts w:eastAsia="仿宋_GB2312"/>
          <w:sz w:val="32"/>
          <w:szCs w:val="32"/>
        </w:rPr>
        <w:t>人，事业编制</w:t>
      </w:r>
      <w:r>
        <w:rPr>
          <w:rFonts w:hint="eastAsia" w:eastAsia="仿宋_GB2312"/>
          <w:sz w:val="32"/>
          <w:szCs w:val="32"/>
        </w:rPr>
        <w:t>1</w:t>
      </w:r>
      <w:r>
        <w:rPr>
          <w:rFonts w:hint="eastAsia" w:eastAsia="仿宋_GB2312"/>
          <w:sz w:val="32"/>
          <w:szCs w:val="32"/>
          <w:lang w:val="en-US" w:eastAsia="zh-CN"/>
        </w:rPr>
        <w:t>7</w:t>
      </w:r>
      <w:r>
        <w:rPr>
          <w:rFonts w:eastAsia="仿宋_GB2312"/>
          <w:sz w:val="32"/>
          <w:szCs w:val="32"/>
        </w:rPr>
        <w:t>人。年末实有在职人员</w:t>
      </w:r>
      <w:r>
        <w:rPr>
          <w:rFonts w:hint="eastAsia" w:eastAsia="仿宋_GB2312"/>
          <w:sz w:val="32"/>
          <w:szCs w:val="32"/>
        </w:rPr>
        <w:t>1</w:t>
      </w:r>
      <w:r>
        <w:rPr>
          <w:rFonts w:hint="eastAsia" w:eastAsia="仿宋_GB2312"/>
          <w:sz w:val="32"/>
          <w:szCs w:val="32"/>
          <w:lang w:val="en-US" w:eastAsia="zh-CN"/>
        </w:rPr>
        <w:t>9</w:t>
      </w:r>
      <w:r>
        <w:rPr>
          <w:rFonts w:eastAsia="仿宋_GB2312"/>
          <w:sz w:val="32"/>
          <w:szCs w:val="32"/>
        </w:rPr>
        <w:t>人</w:t>
      </w:r>
      <w:r>
        <w:rPr>
          <w:rFonts w:hint="eastAsia" w:eastAsia="仿宋_GB2312"/>
          <w:sz w:val="32"/>
          <w:szCs w:val="32"/>
          <w:lang w:eastAsia="zh-CN"/>
        </w:rPr>
        <w:t>（</w:t>
      </w:r>
      <w:r>
        <w:rPr>
          <w:rFonts w:hint="eastAsia" w:eastAsia="仿宋_GB2312"/>
          <w:sz w:val="32"/>
          <w:szCs w:val="32"/>
          <w:lang w:val="en-US" w:eastAsia="zh-CN"/>
        </w:rPr>
        <w:t>门票处分流进入3人</w:t>
      </w:r>
      <w:r>
        <w:rPr>
          <w:rFonts w:hint="eastAsia" w:eastAsia="仿宋_GB2312"/>
          <w:sz w:val="32"/>
          <w:szCs w:val="32"/>
          <w:lang w:eastAsia="zh-CN"/>
        </w:rPr>
        <w:t>）</w:t>
      </w:r>
      <w:r>
        <w:rPr>
          <w:rFonts w:eastAsia="仿宋_GB2312"/>
          <w:sz w:val="32"/>
          <w:szCs w:val="32"/>
        </w:rPr>
        <w:t>，</w:t>
      </w:r>
      <w:r>
        <w:rPr>
          <w:rFonts w:hint="eastAsia" w:eastAsia="仿宋_GB2312"/>
          <w:sz w:val="32"/>
          <w:szCs w:val="32"/>
        </w:rPr>
        <w:t>退</w:t>
      </w:r>
      <w:r>
        <w:rPr>
          <w:rFonts w:eastAsia="仿宋_GB2312"/>
          <w:sz w:val="32"/>
          <w:szCs w:val="32"/>
        </w:rPr>
        <w:t>休人员</w:t>
      </w:r>
      <w:r>
        <w:rPr>
          <w:rFonts w:hint="eastAsia" w:eastAsia="仿宋_GB2312"/>
          <w:sz w:val="32"/>
          <w:szCs w:val="32"/>
        </w:rPr>
        <w:t>1</w:t>
      </w:r>
      <w:r>
        <w:rPr>
          <w:rFonts w:eastAsia="仿宋_GB2312"/>
          <w:sz w:val="32"/>
          <w:szCs w:val="32"/>
        </w:rPr>
        <w:t>人。</w:t>
      </w:r>
    </w:p>
    <w:p>
      <w:pPr>
        <w:widowControl/>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一般公共预算支出情况</w:t>
      </w:r>
    </w:p>
    <w:p>
      <w:pPr>
        <w:widowControl/>
        <w:spacing w:line="54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pPr>
        <w:spacing w:line="540" w:lineRule="exact"/>
        <w:ind w:firstLine="709"/>
        <w:rPr>
          <w:rFonts w:ascii="仿宋_GB2312" w:hAnsi="仿宋" w:eastAsia="仿宋_GB2312" w:cs="Times New Roman"/>
          <w:color w:val="FF0000"/>
          <w:sz w:val="32"/>
          <w:szCs w:val="32"/>
        </w:rPr>
      </w:pPr>
      <w:r>
        <w:rPr>
          <w:rFonts w:eastAsia="仿宋_GB2312"/>
          <w:sz w:val="32"/>
          <w:szCs w:val="32"/>
        </w:rPr>
        <w:t>基本支出系保障我</w:t>
      </w:r>
      <w:r>
        <w:rPr>
          <w:rFonts w:hint="eastAsia" w:eastAsia="仿宋_GB2312"/>
          <w:sz w:val="32"/>
          <w:szCs w:val="32"/>
        </w:rPr>
        <w:t>局</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机构正常运转、完成日常工作任务而发生的各项支出，包括用于在职和离退休人员基本工资、津贴补贴等人员经费以及办公费、印刷费、水电费、办公设备购置等日常公用经费。20</w:t>
      </w:r>
      <w:r>
        <w:rPr>
          <w:rFonts w:hint="eastAsia" w:eastAsia="仿宋_GB2312"/>
          <w:sz w:val="32"/>
          <w:szCs w:val="32"/>
        </w:rPr>
        <w:t>2</w:t>
      </w:r>
      <w:r>
        <w:rPr>
          <w:rFonts w:hint="eastAsia" w:eastAsia="仿宋_GB2312"/>
          <w:sz w:val="32"/>
          <w:szCs w:val="32"/>
          <w:lang w:val="en-US" w:eastAsia="zh-CN"/>
        </w:rPr>
        <w:t>3</w:t>
      </w:r>
      <w:r>
        <w:rPr>
          <w:rFonts w:eastAsia="仿宋_GB2312"/>
          <w:sz w:val="32"/>
          <w:szCs w:val="32"/>
        </w:rPr>
        <w:t>年基本支出</w:t>
      </w:r>
      <w:r>
        <w:rPr>
          <w:rFonts w:hint="eastAsia" w:eastAsia="仿宋_GB2312"/>
          <w:sz w:val="32"/>
          <w:szCs w:val="32"/>
          <w:lang w:val="en-US" w:eastAsia="zh-CN"/>
        </w:rPr>
        <w:t>311.01</w:t>
      </w:r>
      <w:r>
        <w:rPr>
          <w:rFonts w:eastAsia="仿宋_GB2312"/>
          <w:sz w:val="32"/>
          <w:szCs w:val="32"/>
        </w:rPr>
        <w:t>万元，较上年</w:t>
      </w:r>
      <w:r>
        <w:rPr>
          <w:rFonts w:hint="eastAsia" w:eastAsia="仿宋_GB2312"/>
          <w:sz w:val="32"/>
          <w:szCs w:val="32"/>
          <w:lang w:val="en-US" w:eastAsia="zh-CN"/>
        </w:rPr>
        <w:t>增加68.74</w:t>
      </w:r>
      <w:r>
        <w:rPr>
          <w:rFonts w:eastAsia="仿宋_GB2312"/>
          <w:sz w:val="32"/>
          <w:szCs w:val="32"/>
        </w:rPr>
        <w:t>万元。</w:t>
      </w:r>
      <w:r>
        <w:rPr>
          <w:rFonts w:eastAsia="仿宋_GB2312"/>
          <w:color w:val="000000"/>
          <w:sz w:val="32"/>
          <w:szCs w:val="32"/>
        </w:rPr>
        <w:t>基本支出中人员经费</w:t>
      </w:r>
      <w:r>
        <w:rPr>
          <w:rFonts w:hint="eastAsia" w:eastAsia="仿宋_GB2312"/>
          <w:color w:val="000000"/>
          <w:sz w:val="32"/>
          <w:szCs w:val="32"/>
          <w:lang w:val="en-US" w:eastAsia="zh-CN"/>
        </w:rPr>
        <w:t>259.01</w:t>
      </w:r>
      <w:r>
        <w:rPr>
          <w:rFonts w:eastAsia="仿宋_GB2312"/>
          <w:color w:val="000000"/>
          <w:sz w:val="32"/>
          <w:szCs w:val="32"/>
        </w:rPr>
        <w:t>万元，占基本支出的</w:t>
      </w:r>
      <w:r>
        <w:rPr>
          <w:rFonts w:hint="eastAsia" w:eastAsia="仿宋_GB2312"/>
          <w:color w:val="000000"/>
          <w:sz w:val="32"/>
          <w:szCs w:val="32"/>
          <w:lang w:val="en-US" w:eastAsia="zh-CN"/>
        </w:rPr>
        <w:t>83.28</w:t>
      </w:r>
      <w:r>
        <w:rPr>
          <w:rFonts w:eastAsia="仿宋_GB2312"/>
          <w:color w:val="000000"/>
          <w:sz w:val="32"/>
          <w:szCs w:val="32"/>
        </w:rPr>
        <w:t>%，</w:t>
      </w:r>
      <w:r>
        <w:rPr>
          <w:rFonts w:hint="eastAsia" w:eastAsia="仿宋_GB2312"/>
          <w:color w:val="000000"/>
          <w:sz w:val="32"/>
          <w:szCs w:val="32"/>
        </w:rPr>
        <w:t>较上年</w:t>
      </w:r>
      <w:r>
        <w:rPr>
          <w:rFonts w:hint="eastAsia" w:eastAsia="仿宋_GB2312"/>
          <w:color w:val="000000"/>
          <w:sz w:val="32"/>
          <w:szCs w:val="32"/>
          <w:lang w:val="en-US" w:eastAsia="zh-CN"/>
        </w:rPr>
        <w:t>增加35.39</w:t>
      </w:r>
      <w:r>
        <w:rPr>
          <w:rFonts w:hint="eastAsia" w:eastAsia="仿宋_GB2312"/>
          <w:color w:val="000000"/>
          <w:sz w:val="32"/>
          <w:szCs w:val="32"/>
        </w:rPr>
        <w:t>%；</w:t>
      </w:r>
      <w:r>
        <w:rPr>
          <w:rFonts w:eastAsia="仿宋_GB2312"/>
          <w:color w:val="000000"/>
          <w:sz w:val="32"/>
          <w:szCs w:val="32"/>
        </w:rPr>
        <w:t>日常公用经费</w:t>
      </w:r>
      <w:r>
        <w:rPr>
          <w:rFonts w:hint="eastAsia" w:eastAsia="仿宋_GB2312"/>
          <w:color w:val="000000"/>
          <w:sz w:val="32"/>
          <w:szCs w:val="32"/>
        </w:rPr>
        <w:t>48.</w:t>
      </w:r>
      <w:r>
        <w:rPr>
          <w:rFonts w:hint="eastAsia" w:eastAsia="仿宋_GB2312"/>
          <w:color w:val="000000"/>
          <w:sz w:val="32"/>
          <w:szCs w:val="32"/>
          <w:lang w:val="en-US" w:eastAsia="zh-CN"/>
        </w:rPr>
        <w:t>37</w:t>
      </w:r>
      <w:r>
        <w:rPr>
          <w:rFonts w:eastAsia="仿宋_GB2312"/>
          <w:color w:val="000000"/>
          <w:sz w:val="32"/>
          <w:szCs w:val="32"/>
        </w:rPr>
        <w:t>万元，占基本支出的</w:t>
      </w:r>
      <w:r>
        <w:rPr>
          <w:rFonts w:hint="eastAsia" w:eastAsia="仿宋_GB2312"/>
          <w:color w:val="000000"/>
          <w:sz w:val="32"/>
          <w:szCs w:val="32"/>
          <w:lang w:val="en-US" w:eastAsia="zh-CN"/>
        </w:rPr>
        <w:t>15.55</w:t>
      </w:r>
      <w:r>
        <w:rPr>
          <w:rFonts w:eastAsia="仿宋_GB2312"/>
          <w:color w:val="000000"/>
          <w:sz w:val="32"/>
          <w:szCs w:val="32"/>
        </w:rPr>
        <w:t>%，较上年</w:t>
      </w:r>
      <w:r>
        <w:rPr>
          <w:rFonts w:hint="eastAsia" w:eastAsia="仿宋_GB2312"/>
          <w:color w:val="000000"/>
          <w:sz w:val="32"/>
          <w:szCs w:val="32"/>
          <w:lang w:val="en-US" w:eastAsia="zh-CN"/>
        </w:rPr>
        <w:t>减少0.35</w:t>
      </w:r>
      <w:r>
        <w:rPr>
          <w:rFonts w:eastAsia="仿宋_GB2312"/>
          <w:color w:val="000000"/>
          <w:sz w:val="32"/>
          <w:szCs w:val="32"/>
        </w:rPr>
        <w:t>%</w:t>
      </w:r>
      <w:r>
        <w:rPr>
          <w:rFonts w:hint="eastAsia" w:eastAsia="仿宋_GB2312"/>
          <w:color w:val="000000"/>
          <w:sz w:val="32"/>
          <w:szCs w:val="32"/>
        </w:rPr>
        <w:t>，主要原因是</w:t>
      </w:r>
      <w:r>
        <w:rPr>
          <w:rFonts w:hint="eastAsia" w:ascii="仿宋_GB2312" w:hAnsi="仿宋" w:eastAsia="仿宋_GB2312" w:cs="Times New Roman"/>
          <w:sz w:val="32"/>
          <w:szCs w:val="32"/>
        </w:rPr>
        <w:t>日常工作需要。</w:t>
      </w:r>
    </w:p>
    <w:p>
      <w:pPr>
        <w:widowControl/>
        <w:spacing w:line="54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snapToGrid w:val="0"/>
        <w:spacing w:line="540" w:lineRule="exact"/>
        <w:ind w:firstLine="640" w:firstLineChars="200"/>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项目支出系我</w:t>
      </w:r>
      <w:r>
        <w:rPr>
          <w:rFonts w:hint="eastAsia"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为完成</w:t>
      </w:r>
      <w:r>
        <w:rPr>
          <w:rFonts w:hint="eastAsia" w:ascii="Times New Roman" w:hAnsi="Times New Roman" w:eastAsia="仿宋_GB2312" w:cs="Times New Roman"/>
          <w:kern w:val="0"/>
          <w:sz w:val="32"/>
          <w:szCs w:val="32"/>
        </w:rPr>
        <w:t>安全生产</w:t>
      </w:r>
      <w:r>
        <w:rPr>
          <w:rFonts w:ascii="Times New Roman" w:hAnsi="Times New Roman" w:eastAsia="仿宋_GB2312" w:cs="Times New Roman"/>
          <w:kern w:val="0"/>
          <w:sz w:val="32"/>
          <w:szCs w:val="32"/>
        </w:rPr>
        <w:t>管理工作而发生的支出，包括行业务工作经费和运行维护经费。业务工作经费支出主要用于</w:t>
      </w:r>
      <w:r>
        <w:rPr>
          <w:rFonts w:hint="eastAsia" w:ascii="Times New Roman" w:hAnsi="Times New Roman" w:eastAsia="仿宋_GB2312" w:cs="Times New Roman"/>
          <w:kern w:val="0"/>
          <w:sz w:val="32"/>
          <w:szCs w:val="32"/>
        </w:rPr>
        <w:t>安委办、防汛抗旱、隐患治理、安全生产三年整治行动等一般行政管理事务、灾害风险防治、安全监管、应急管理</w:t>
      </w:r>
      <w:r>
        <w:rPr>
          <w:rFonts w:ascii="Times New Roman" w:hAnsi="Times New Roman" w:eastAsia="仿宋_GB2312" w:cs="Times New Roman"/>
          <w:kern w:val="0"/>
          <w:sz w:val="32"/>
          <w:szCs w:val="32"/>
        </w:rPr>
        <w:t>和</w:t>
      </w:r>
      <w:r>
        <w:rPr>
          <w:rFonts w:hint="eastAsia" w:ascii="Times New Roman" w:hAnsi="Times New Roman" w:eastAsia="仿宋_GB2312" w:cs="Times New Roman"/>
          <w:kern w:val="0"/>
          <w:sz w:val="32"/>
          <w:szCs w:val="32"/>
        </w:rPr>
        <w:t>林业草原防灾减灾</w:t>
      </w:r>
      <w:r>
        <w:rPr>
          <w:rFonts w:ascii="Times New Roman" w:hAnsi="Times New Roman" w:eastAsia="仿宋_GB2312" w:cs="Times New Roman"/>
          <w:kern w:val="0"/>
          <w:sz w:val="32"/>
          <w:szCs w:val="32"/>
        </w:rPr>
        <w:t>等方面。20</w:t>
      </w: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年项目支出</w:t>
      </w:r>
      <w:r>
        <w:rPr>
          <w:rFonts w:hint="eastAsia" w:ascii="Times New Roman" w:hAnsi="Times New Roman" w:eastAsia="仿宋_GB2312" w:cs="Times New Roman"/>
          <w:kern w:val="0"/>
          <w:sz w:val="32"/>
          <w:szCs w:val="32"/>
          <w:lang w:val="en-US" w:eastAsia="zh-CN"/>
        </w:rPr>
        <w:t>652.74</w:t>
      </w:r>
      <w:r>
        <w:rPr>
          <w:rFonts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val="en-US" w:eastAsia="zh-CN"/>
        </w:rPr>
        <w:t>增加136.59</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，其中：用于农林水支出</w:t>
      </w:r>
      <w:r>
        <w:rPr>
          <w:rFonts w:hint="eastAsia" w:ascii="Times New Roman" w:hAnsi="Times New Roman" w:eastAsia="仿宋_GB2312" w:cs="Times New Roman"/>
          <w:kern w:val="0"/>
          <w:sz w:val="32"/>
          <w:szCs w:val="32"/>
          <w:lang w:val="en-US" w:eastAsia="zh-CN"/>
        </w:rPr>
        <w:t>13.68</w:t>
      </w:r>
      <w:r>
        <w:rPr>
          <w:rFonts w:hint="eastAsia"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val="en-US" w:eastAsia="zh-CN"/>
        </w:rPr>
        <w:t>减少77.01</w:t>
      </w:r>
      <w:r>
        <w:rPr>
          <w:rFonts w:hint="eastAsia" w:ascii="Times New Roman" w:hAnsi="Times New Roman" w:eastAsia="仿宋_GB2312" w:cs="Times New Roman"/>
          <w:kern w:val="0"/>
          <w:sz w:val="32"/>
          <w:szCs w:val="32"/>
        </w:rPr>
        <w:t>万元。主要原因是</w:t>
      </w:r>
      <w:r>
        <w:rPr>
          <w:rFonts w:hint="eastAsia" w:ascii="Times New Roman" w:hAnsi="Times New Roman" w:eastAsia="仿宋_GB2312" w:cs="Times New Roman"/>
          <w:kern w:val="0"/>
          <w:sz w:val="32"/>
          <w:szCs w:val="32"/>
          <w:lang w:val="en-US" w:eastAsia="zh-CN"/>
        </w:rPr>
        <w:t>森林防火装备购置经费列入了灾害防治及应急管理支出中</w:t>
      </w:r>
      <w:r>
        <w:rPr>
          <w:rFonts w:hint="eastAsia" w:ascii="Times New Roman" w:hAnsi="Times New Roman" w:eastAsia="仿宋_GB2312" w:cs="Times New Roman"/>
          <w:kern w:val="0"/>
          <w:sz w:val="32"/>
          <w:szCs w:val="32"/>
        </w:rPr>
        <w:t>。用于灾害防治及应急管理支出</w:t>
      </w:r>
      <w:r>
        <w:rPr>
          <w:rFonts w:hint="eastAsia" w:ascii="Times New Roman" w:hAnsi="Times New Roman" w:eastAsia="仿宋_GB2312" w:cs="Times New Roman"/>
          <w:kern w:val="0"/>
          <w:sz w:val="32"/>
          <w:szCs w:val="32"/>
          <w:lang w:val="en-US" w:eastAsia="zh-CN"/>
        </w:rPr>
        <w:t>587.99</w:t>
      </w:r>
      <w:r>
        <w:rPr>
          <w:rFonts w:hint="eastAsia"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val="en-US" w:eastAsia="zh-CN"/>
        </w:rPr>
        <w:t>增加190.28</w:t>
      </w:r>
      <w:r>
        <w:rPr>
          <w:rFonts w:hint="eastAsia" w:ascii="Times New Roman" w:hAnsi="Times New Roman" w:eastAsia="仿宋_GB2312" w:cs="Times New Roman"/>
          <w:kern w:val="0"/>
          <w:sz w:val="32"/>
          <w:szCs w:val="32"/>
        </w:rPr>
        <w:t>万元。主要原因是</w:t>
      </w:r>
      <w:r>
        <w:rPr>
          <w:rFonts w:hint="eastAsia" w:ascii="Times New Roman" w:hAnsi="Times New Roman" w:eastAsia="仿宋_GB2312" w:cs="Times New Roman"/>
          <w:kern w:val="0"/>
          <w:sz w:val="32"/>
          <w:szCs w:val="32"/>
          <w:lang w:val="en-US" w:eastAsia="zh-CN"/>
        </w:rPr>
        <w:t>新增全区项目森林防火工具车、森林防火水泵以及上级拨款中央自然灾害救灾资金等。用于一般公共服务支出5万元，比上年增加5万元。主要原因是新增省市结算补助资金。用于国有资本经营预算支出46.07万元，比上年增加46.07万元。主要原因是临聘人员经费在此项目中列支。</w:t>
      </w:r>
    </w:p>
    <w:p>
      <w:pPr>
        <w:widowControl/>
        <w:spacing w:line="54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部门整体支出绩效情况</w:t>
      </w:r>
    </w:p>
    <w:p>
      <w:pPr>
        <w:snapToGrid w:val="0"/>
        <w:spacing w:line="54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2023年，深入学习贯彻习近平总书记关于安全生产、消防工作重要论述重要指示批示精神，以重大事故隐患排查整治2023行动和“打好安全生产翻身仗”为抓手，着力构建大安全大应急框架，不断完善安全生产体系，牢固树立“人民至上、生命之上”的安全发展理念，坚持“主动防、超前治、全力救”工作思路，扎实抓好国务院安全生产“十五条硬措施”和底线工作“五全一常态”机制落细落实，坚决守住不发生较大及以上生产安全事故的底线，截至10月底，除发生一起死亡1人的道路交通事故外，未发生其他生产安全事故，安全生产形势持续稳定向好。</w:t>
      </w:r>
    </w:p>
    <w:p>
      <w:pPr>
        <w:adjustRightInd w:val="0"/>
        <w:snapToGrid w:val="0"/>
        <w:spacing w:line="540" w:lineRule="exact"/>
        <w:ind w:firstLine="710" w:firstLineChars="22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一、坚持瞄准安全总目标，高位推动不打折扣</w:t>
      </w:r>
    </w:p>
    <w:p>
      <w:pPr>
        <w:adjustRightInd w:val="0"/>
        <w:snapToGrid w:val="0"/>
        <w:spacing w:line="540" w:lineRule="exact"/>
        <w:ind w:firstLine="643" w:firstLineChars="200"/>
        <w:rPr>
          <w:rFonts w:hint="eastAsia" w:ascii="仿宋_GB2312" w:hAnsi="仿宋_GB2312" w:eastAsia="仿宋_GB2312" w:cs="仿宋_GB2312"/>
          <w:sz w:val="32"/>
          <w:szCs w:val="32"/>
        </w:rPr>
      </w:pPr>
      <w:r>
        <w:rPr>
          <w:rFonts w:hint="eastAsia" w:ascii="Times New Roman" w:hAnsi="Times New Roman" w:eastAsia="仿宋"/>
          <w:b/>
          <w:bCs/>
          <w:sz w:val="32"/>
          <w:szCs w:val="32"/>
        </w:rPr>
        <w:t>（一）领导带头抓推进。</w:t>
      </w:r>
      <w:r>
        <w:rPr>
          <w:rFonts w:hint="eastAsia" w:ascii="仿宋_GB2312" w:hAnsi="仿宋_GB2312" w:eastAsia="仿宋_GB2312" w:cs="仿宋_GB2312"/>
          <w:sz w:val="32"/>
          <w:szCs w:val="32"/>
        </w:rPr>
        <w:t>区委常委会、区政府常务会年内先后20次研究部署推进安全生产工作；区委、区政府主要领导先后23次带队深入建筑工地、老旧小区、香期客栈、景区景点等重点领域调研督导安全生产工作，对重大事故隐患落实书记、区长“双交办”制度。其他党政领导按照“五全一常态”机制工作要求，每月对分管行业领域、联点村（社区）安全生产工作进行全面安排、全程推动、全力落实；各乡镇街道、各部门领导干部深入一线查隐患、抓整改、防风险，切实担负起“促一方发展、保一方平安”的政治责任。</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（二）健全机制抓落实。</w:t>
      </w:r>
      <w:r>
        <w:rPr>
          <w:rFonts w:hint="eastAsia" w:ascii="仿宋_GB2312" w:hAnsi="仿宋_GB2312" w:eastAsia="仿宋_GB2312" w:cs="仿宋_GB2312"/>
          <w:sz w:val="32"/>
          <w:szCs w:val="32"/>
        </w:rPr>
        <w:t>出台《南岳区党政领导干部安全生产责任制实施办法》《区委、区政府领导班子安全生产职责清单和年度任务清单》，完善“党政同责、一岗双责、齐抓共管”的安全生产责任体系。细化各部门安全生产监管责任，做到任务清单化、责任具体化、督导常态化。按照“业务相近”原则明确了仓储物流、外卖配送、密室逃脱、私人影院、直播（电商）带货等18个新兴行业的监督管理部门，率先在全市明确了《夜市安全监管职责规定》，坚决消除监管盲区。区安委会研究出台《区安委会工作规则》，督促各专委会切实履职。</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（三）多方投入抓治本。</w:t>
      </w:r>
      <w:r>
        <w:rPr>
          <w:rFonts w:hint="eastAsia" w:ascii="仿宋_GB2312" w:hAnsi="仿宋_GB2312" w:eastAsia="仿宋_GB2312" w:cs="仿宋_GB2312"/>
          <w:sz w:val="32"/>
          <w:szCs w:val="32"/>
        </w:rPr>
        <w:t>在政府财政资金极度困难的情况下，投入2571万元，统筹推进“老旧小区改造”+“安全隐患整治”，祝融路片区和祝圣片区2个老旧片区全部纳入改造计划并加快实施；争取中央预算资金2156万元，对全区燃气综合管道系统进行改造；投入280万元，对14处房屋建筑消防安全隐患进行整治；投入180余万元，对11处农村公路缺失、破损安全护栏，1.3公里道路隐患，10处中心景区道路路基塌陷、防滑层磨损严重等严重影响旅游交通安全和居民出行安全的隐患进行治理，安全隐患实现治标又治本。</w:t>
      </w:r>
    </w:p>
    <w:p>
      <w:pPr>
        <w:adjustRightInd w:val="0"/>
        <w:snapToGrid w:val="0"/>
        <w:spacing w:line="540" w:lineRule="exact"/>
        <w:ind w:firstLine="710" w:firstLineChars="22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二、坚持专项整治主抓手，强化监管不走过场</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（一）深入开展重大事故隐患排查整治2023行动。</w:t>
      </w:r>
      <w:r>
        <w:rPr>
          <w:rFonts w:hint="eastAsia" w:ascii="仿宋_GB2312" w:hAnsi="仿宋_GB2312" w:eastAsia="仿宋_GB2312" w:cs="仿宋_GB2312"/>
          <w:sz w:val="32"/>
          <w:szCs w:val="32"/>
        </w:rPr>
        <w:t>紧盯重要部位、重点时段和关键节点，深刻汲取国内几起重大事故教训，结合打好安全生产翻身仗工作，先后组织开展安全生产风险隐患排查整治、“导入式”、“起底式”排查、专项督导检查等活动，严格落实重大事故隐患“一单四制”制度，全面实行隐患排查、建档、整改、验收、销号闭环管理，确保各项隐患问题整改到位。今年以来，全区各级各部门共开展督导253次，检查企业914家，发现隐患2671处，录入国家重大事故隐患排查整治系统24处，区安委会成员单位开展重大事故隐患专项排查整治行动进企业宣传活动96次，组织安全生产专题培训1350人次。同时，抓好省、市安委办交办的16批次共200处问题隐患的整改。</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（二）全力打好安全生产翻身仗。</w:t>
      </w:r>
      <w:r>
        <w:rPr>
          <w:rFonts w:hint="eastAsia" w:ascii="仿宋_GB2312" w:hAnsi="仿宋_GB2312" w:eastAsia="仿宋_GB2312" w:cs="仿宋_GB2312"/>
          <w:sz w:val="32"/>
          <w:szCs w:val="32"/>
        </w:rPr>
        <w:t>印发《南岳区打好安全生产翻身仗工作方案》，明确责任分工，印发《南岳区“打好安全生产翻身仗”工作专班工作规则》，高位推动专班运行。落实一周一专报、一月一调度、一季一督查一通报机制，印发工作专报28期，向各专业委员会发送《工作提示函》7份，《隐患交办函》8份。采取明查暗访、联合执法、交叉执法等方式，加大重大事故隐患执法力度，建立健全责任倒查机制，对排查整治不力的4个部门、1个乡镇街道和4家生产经营单位进行通报约谈警示。《南岳区聚焦“责、挖、改、罚”四个环节，助推重大事故隐患排查整治》的经验做法，被省《打好安全生产翻身仗工作专报》第32期推介。</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（三）全面推进居民自建房安全整治。</w:t>
      </w:r>
      <w:r>
        <w:rPr>
          <w:rFonts w:hint="eastAsia" w:ascii="仿宋_GB2312" w:hAnsi="仿宋_GB2312" w:eastAsia="仿宋_GB2312" w:cs="仿宋_GB2312"/>
          <w:sz w:val="32"/>
          <w:szCs w:val="32"/>
        </w:rPr>
        <w:t>区政府安排专项资金200多万元，用于自建房排查、结构安全鉴定、结构安全隐患整治、农村六类重点人员房屋维修加固、及隐患整治后结构安全评估鉴定工作，全区自建房10055栋（经营性自建房2258栋、非经营性自建房7797栋），结构安全隐患209栋，其中，经营性C\D级房屋21栋，已全部整治销号；非经营性自建房C\D级房屋87栋、已整治销号51栋，剩余的正在进行整治销号中；消防安全隐患1054栋，已全部整治销号；经营性安全隐患1418全部已整治；建设合法合规性隐患1629栋，已全部整治。实现了“人不进危房、危房不进人”“带险不经营、经营不带险”的整治目标。</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（四）持续推进道路交通顽瘴痼疾整治。</w:t>
      </w:r>
      <w:r>
        <w:rPr>
          <w:rFonts w:hint="eastAsia" w:ascii="仿宋_GB2312" w:hAnsi="仿宋_GB2312" w:eastAsia="仿宋_GB2312" w:cs="仿宋_GB2312"/>
          <w:sz w:val="32"/>
          <w:szCs w:val="32"/>
        </w:rPr>
        <w:t>紧紧围绕道路隐患排查治理、重要节点安保、区域风险防控、农村交通安全管理等方面，加大交通运输企业监管力度，积极完善、更新城市交通标志标线标牌设施。落实城市、农村“三同时”制度对国省道、农村120公里道路开展临水临崖路段隐患排查治理，排查整治风险隐患点段5处，完成省市督导交办6处问题的整改，对12辆无牌环卫洒水车进行集中封存。积极开展交通安全“敲门行动”“荧光行动”，组织召开“交通安全宣传教育屋场恳谈会”。推进乡镇、街道“两站两员”建设实体化运转，充分发挥“两站两员”主观能动性，道交安APP四项指数录入名列全市前列。开展驻站执法检查，助推农村地区道路交通安全。加大“三车”、“两客一危一校一货一面”及拖拉机、摩托车、电动自行车等重点车辆交通违法整治，今年以来，共查处各类交通违法行为16309起，罚款202万元，全区安全头盔佩戴率达90%。</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（五）深入开展城镇燃气安全集中整治。</w:t>
      </w:r>
      <w:r>
        <w:rPr>
          <w:rFonts w:hint="eastAsia" w:ascii="仿宋_GB2312" w:hAnsi="仿宋_GB2312" w:eastAsia="仿宋_GB2312" w:cs="仿宋_GB2312"/>
          <w:sz w:val="32"/>
          <w:szCs w:val="32"/>
        </w:rPr>
        <w:t>深刻汲取“6.21”宁夏银川燃气爆炸事故教训，举一反三，全面排查燃气管网和涉及燃气各领域安全风险隐患，有效防范化解重大安全风险。研究制定了《南岳区城镇燃气安全专项整治工作实施方案》，邀请燃气专家对专项整治工作专班、一线执法人员、社区燃气安全协管员、燃气企业安全责任人进行燃气安全知识培训。正式启动燃气安全专项整治工作信息系统APP，形成燃气安全专项整治日常检查常态化、标准化模式。燃气安全专项整治以来，共检查餐饮经营场所448家，督促完成隐患整改263处，取缔非法销售瓶装液化气黑窝点2处，查封燃气瓶37个。</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（六）全民参与狠抓旅游环境安全整治。</w:t>
      </w:r>
      <w:r>
        <w:rPr>
          <w:rFonts w:hint="eastAsia" w:ascii="仿宋_GB2312" w:hAnsi="仿宋_GB2312" w:eastAsia="仿宋_GB2312" w:cs="仿宋_GB2312"/>
          <w:sz w:val="32"/>
          <w:szCs w:val="32"/>
        </w:rPr>
        <w:t>今年南岳经历了三年疫情之后来岳游客的爆发式增长，我们始终把游客安全、社会安全放在第一位，在吃住行游购娱方面带头查隐患、抓治理、优服务，想在前做在前，确保了1300多万游客零事故。坚持以“猛药去疴”的决心开展旅游安全整治“雷霆行动”，大力优化旅游安全环境，采取“县级领导+联点单位+乡镇（街道）+村（社区）+执法力量”包路段、包门店的五级联包模式，构建齐抓共管的旅游安全大整治格局，不断增强游客的认可度、安全感和点赞量。截至目前，在中心景区查处违法违规车辆25台，处罚金额15万元，有力维护中心景区旅游秩序平安稳定。《湖南安全与防灾》杂志2023年第8期“本期策划”栏目对南岳区旅游安全经验做法进行了专题报道。</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（七）严格开展“打非治违”。</w:t>
      </w:r>
      <w:r>
        <w:rPr>
          <w:rFonts w:hint="eastAsia" w:ascii="仿宋_GB2312" w:hAnsi="仿宋_GB2312" w:eastAsia="仿宋_GB2312" w:cs="仿宋_GB2312"/>
          <w:sz w:val="32"/>
          <w:szCs w:val="32"/>
        </w:rPr>
        <w:t>坚持计划执法和联合执法有机结合，始终保持“打非治违”高压态势。今年以来，各部门抽查检查企业1306家次，立案查处45家，罚款46.32万元，下达责令限期整改指令书153份，立案调查169起，责令停产整顿3起，取缔关闭2处，经济处罚183.5万元。紧盯春节、清明节、中元节等重点时间段，开展烟花爆竹“打非治违”行动，查处非法经营烟花爆竹110件，并集中销毁。</w:t>
      </w:r>
    </w:p>
    <w:p>
      <w:pPr>
        <w:adjustRightInd w:val="0"/>
        <w:snapToGrid w:val="0"/>
        <w:spacing w:line="54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同时在水利、电力、商贸、仓储物流、学生防溺水等其他行业领域，针对安全生产薄弱环节和可能发生生产安全事故风险点，扎实推进风险隐患排查整治工作，确保了各行业领域的安全稳定。</w:t>
      </w:r>
    </w:p>
    <w:p>
      <w:pPr>
        <w:adjustRightInd w:val="0"/>
        <w:snapToGrid w:val="0"/>
        <w:spacing w:line="540" w:lineRule="exact"/>
        <w:ind w:firstLine="710" w:firstLineChars="221"/>
        <w:rPr>
          <w:rFonts w:hint="eastAsia" w:ascii="Times New Roman" w:hAnsi="Times New Roman" w:eastAsia="仿宋"/>
          <w:sz w:val="32"/>
          <w:szCs w:val="32"/>
        </w:rPr>
      </w:pPr>
      <w:r>
        <w:rPr>
          <w:rFonts w:hint="eastAsia" w:ascii="楷体_GB2312" w:hAnsi="楷体_GB2312" w:eastAsia="楷体_GB2312" w:cs="楷体_GB2312"/>
          <w:b/>
          <w:bCs/>
          <w:sz w:val="32"/>
          <w:szCs w:val="32"/>
        </w:rPr>
        <w:t>三、坚持消防管控硬措施，积极作为不予懈怠</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（一）持续优化消防安全治理环境。</w:t>
      </w:r>
      <w:r>
        <w:rPr>
          <w:rFonts w:hint="eastAsia" w:ascii="仿宋_GB2312" w:hAnsi="仿宋_GB2312" w:eastAsia="仿宋_GB2312" w:cs="仿宋_GB2312"/>
          <w:sz w:val="32"/>
          <w:szCs w:val="32"/>
        </w:rPr>
        <w:t>着力提升消防监督执法工作能力，不断优化执法队伍人员和装备配置，强化执法人员业务素质培养。积极组织公安派出所、街道社区消防检查人员培训，提高消防安全基层综合治理水平和能力。落实窗口服务改革措施，优化群众办事效率，全面提升消防服务能力。积极组织部门联合会商，提前介入对新投入使用场所消防安全问题指导把关，解决消防安全隐患于未然。深入开展消防安全宣传教育，今年以来，全区共制作发放《消防安全知识手册》、《冬季防火安全》、《家庭火灾防火常识》等消防宣传资料共3.5万余份，发送手机短信6万余条次，区内重点单位、重点场所共制作展板、公告栏30幅，悬挂各类电子显示屏、宣传横幅100余幅，消防宣传延伸到了各街头巷尾、村组社区和居民小区，全区消防安全治理环境进一步得到优化提升。</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（二）重拳出击整治消防安全隐患。</w:t>
      </w:r>
      <w:r>
        <w:rPr>
          <w:rFonts w:hint="eastAsia" w:ascii="仿宋_GB2312" w:hAnsi="仿宋_GB2312" w:eastAsia="仿宋_GB2312" w:cs="仿宋_GB2312"/>
          <w:sz w:val="32"/>
          <w:szCs w:val="32"/>
        </w:rPr>
        <w:t>狠抓隐患治理，紧密结合“重大事故隐患排查整治2023行动”“打好安全生产翻身仗”，全力开展区域性突出火灾隐患治理、环保油、九小场所专项整治、校外托管机构专项治理、高层建筑排查整治、香期客栈经营性场所专项整治等一系列专项行动，有力消除了一大批突出的火灾隐患，截至目前，全区共检查单位2256家次，发现并整改隐患3700余处，行政处罚33起，罚款13.2万元，挂牌督办重大火灾隐患3起。加强部门协作，充分发挥消安委统筹协调作用，不断强化各行业部门的“三管三必须”责任意识，努力构造全社会“大消防”的格局。一年来，共召开消防联席会、会商会和联合整治行动12次，着力解决了一批如香期客栈地下室违规住客等消防安全隐患问题；组织分行业、分类型的集中培训和业务培训50余次，开展联合执法100余次，发送交办函30余份，积极推动政府将消防监督执法工作纳入各职能部门年度工作考评，有力提升了消安委成员单位的消防监督执法能力，进一步完善了各成员单位的协作配合机制，区域火灾防范基础进一步夯实。</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（三）全域提升应急救援制胜本领。</w:t>
      </w:r>
      <w:r>
        <w:rPr>
          <w:rFonts w:hint="eastAsia" w:ascii="仿宋_GB2312" w:hAnsi="仿宋_GB2312" w:eastAsia="仿宋_GB2312" w:cs="仿宋_GB2312"/>
          <w:sz w:val="32"/>
          <w:szCs w:val="32"/>
        </w:rPr>
        <w:t>坚持战斗力标准，抓住“实战化训练”关键，紧盯应急救援薄弱环节，深化全员大练兵活动，常态化开展演练联训、应急竞赛比武等活动，不断提升消防救援队伍竞技化、专业化和全员化水平。今年以来，消防救援队伍共开展重点行业领域演练120余次，水域救援随机拉练16次，山岳救援想定作业36次；针对南岳辖区特点，南岳山岳救援队借鉴国内外先进的山岳救援工作经验，设置了专门的训练科目，积极开展实地适用性训练，万福消防救援站在9月份参加2023年度格锐德世界绳索救援大赛亚洲赛中取得单项冠军、团体赛亚军的好成绩。截至10月20日，全区共接处警情97次，扑救处置火情火灾 69 次，抢险救援19 次，社会救助 9次，营救救助受困人员21人，挽回直接经济损失1600余万元，充分彰显了“主力军、国家队”的专业本领。</w:t>
      </w:r>
    </w:p>
    <w:p>
      <w:pPr>
        <w:adjustRightInd w:val="0"/>
        <w:snapToGrid w:val="0"/>
        <w:spacing w:line="540" w:lineRule="exact"/>
        <w:ind w:firstLine="710" w:firstLineChars="22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四、坚持防灾减灾着力点，精准防范不留盲区</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（一）精细化抓防汛备汛。</w:t>
      </w:r>
      <w:r>
        <w:rPr>
          <w:rFonts w:hint="eastAsia" w:ascii="仿宋_GB2312" w:hAnsi="仿宋_GB2312" w:eastAsia="仿宋_GB2312" w:cs="仿宋_GB2312"/>
          <w:sz w:val="32"/>
          <w:szCs w:val="32"/>
        </w:rPr>
        <w:t>修订完善防汛预案和10座水库调度规程，加大山洪灾害防御知识宣传力度，向村居民发放了山洪灾害防御宣传资料1000余份，组织水旱灾害防御抢险技术培训和全覆盖的责任人履职培训。严格落实以行政首长为核心的防汛责任制，完善防汛备汛手册，聚焦水库“四个责任人”和河长制责任落实。组织对全区山洪灾害防御平台、雨水情遥测站点等设施设备检修确保设施设备完好率100%。落实强降雨期间危险区人员转移避险措施，严格按照“四个一律”要求，抓牢“五个关键环节”，确保应转尽转，确保人民群众生命安全。</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（二）全领域抓防灾减灾。</w:t>
      </w:r>
      <w:r>
        <w:rPr>
          <w:rFonts w:hint="eastAsia" w:ascii="仿宋_GB2312" w:hAnsi="仿宋_GB2312" w:eastAsia="仿宋_GB2312" w:cs="仿宋_GB2312"/>
          <w:sz w:val="32"/>
          <w:szCs w:val="32"/>
        </w:rPr>
        <w:t>建立区、乡镇、村、组、监测员五级灾害群测群防监测网络，加强灾害信息队伍建设，每个村配备一名灾情信息员，做到及时预警。健全拓展资金投入渠道，落实资金340余万元，采购物资装备，建立区级物资储备库为主，乡（镇）物资储备库为辅的救灾物资储备网络体系。持续推进综合减灾示范社区建设，目前，全区已成功创建省级综合减灾示范社区6个。10月19日，成功处置南岳镇延寿村地质灾害滑坡隐患，避险转移安置1户6人。</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（三）严要求抓森林防灭火。</w:t>
      </w:r>
      <w:r>
        <w:rPr>
          <w:rFonts w:hint="eastAsia" w:ascii="仿宋_GB2312" w:hAnsi="仿宋_GB2312" w:eastAsia="仿宋_GB2312" w:cs="仿宋_GB2312"/>
          <w:sz w:val="32"/>
          <w:szCs w:val="32"/>
        </w:rPr>
        <w:t>全区森林覆盖率高达91.58%，始终在“防”和“救”上下功夫、出实招，实现连续14年森林火灾事故“零发生”。在防火特护期，严格落实区级领导夜守山头；率先在中心景区出入口推广使用“防火码”，掌握入林入山人员情况；在重点部位和重点路段，设置“天翼大喇叭”与“村村响”遥相呼应；视频监控和无人机巡航配合，发现火点烟点后自动报警；投入200余万元为22个林边村（社区）全部配齐了便携式水泵、水囊，为各乡镇街道半专业队配齐高扬程高压水泵；在林(景)区修建森林消防水池43个，总蓄水量2628立方，消防管道2.5万多米，消防栓174个，基本实现景区消防水源全覆盖。《中国应急管理报》、国家森林草原防灭火指挥部办公室官网分别书面推介南岳区森林防火经验做法。</w:t>
      </w:r>
    </w:p>
    <w:p>
      <w:pPr>
        <w:adjustRightInd w:val="0"/>
        <w:snapToGrid w:val="0"/>
        <w:spacing w:line="540" w:lineRule="exact"/>
        <w:ind w:firstLine="710" w:firstLineChars="22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五、坚持夯实基础基本面，提升能力不遗余力</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（一）坚持宣教先行，树牢安全理念。</w:t>
      </w:r>
      <w:r>
        <w:rPr>
          <w:rFonts w:hint="eastAsia" w:ascii="仿宋_GB2312" w:hAnsi="仿宋_GB2312" w:eastAsia="仿宋_GB2312" w:cs="仿宋_GB2312"/>
          <w:sz w:val="32"/>
          <w:szCs w:val="32"/>
        </w:rPr>
        <w:t>邀请市应急管理局相关领导为区委理论学习中心组作“学习习近平关于安全生产、消防工作重要论述和‘十五条硬措施’”专题授课。在南岳融媒“天下南岳”开辟安全专栏。今年来，发表新闻报道稿件236篇，其中省级以上45篇，持续开展安全宣传“五进”活动，将安全生产和应急管理培训纳入党校各级主体班教学内容；深入开展安全生产大培训，全区各级各部门举办各类安全生产和消防培训120余期，受训人数达3000余人。积极开展“5.12全国防灾减灾日”、安全生产月、119消防宣传日、“安康杯”竞赛、森林防火宣传月等宣教活动，组织拍摄《南岳区安全生产警示教育片》，积极组织各级各部门参加全国安全生产网络竞赛和线上“逃生演练训练营”活动，通过系统宣传形式，在全社会营造了浓厚的安全氛围。</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（二）着力基层基础，提升应急能力。</w:t>
      </w:r>
      <w:r>
        <w:rPr>
          <w:rFonts w:hint="eastAsia" w:ascii="仿宋_GB2312" w:hAnsi="仿宋_GB2312" w:eastAsia="仿宋_GB2312" w:cs="仿宋_GB2312"/>
          <w:sz w:val="32"/>
          <w:szCs w:val="32"/>
        </w:rPr>
        <w:t>持续推进乡镇“六有”“四延”和村（社区）“三有”建设，把工作机构、应急队伍、应急保障、激励机制等建设作为加强乡镇（街道）应急管理能力建设的重点，通过明确职能定位、划清责任边界、配强人员队伍、加大投入保障、健全工作机制等，确保每个乡镇（街道）都建设一支真正有力量的应急队伍，满足本区域各类突发事件应对工作需要。配齐配强了25个村（社区）应急管理信息员和宣传员，实行隐患排查治理、应急信息网格化管理，9月份，祝融街道应急队伍参加全市基层应急能力比武中取得第二名的好成绩。</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（三）注重综合治理，强化安全保障。</w:t>
      </w:r>
      <w:r>
        <w:rPr>
          <w:rFonts w:hint="eastAsia" w:ascii="仿宋_GB2312" w:hAnsi="仿宋_GB2312" w:eastAsia="仿宋_GB2312" w:cs="仿宋_GB2312"/>
          <w:sz w:val="32"/>
          <w:szCs w:val="32"/>
        </w:rPr>
        <w:t xml:space="preserve">建立健全应急物资保障制度，积极开展以有场地设施、有物资装备、有工作制度等为主要内容的村（社区）应急服务站建设，与辖区超市、医疗机构签订协议，加强辖区突发情况下的物资医疗保障；优化村（社区）应急服务站和微型消防站设置，加强了装备保障，逐步实现社区微型消防站全覆盖。结合安全生产“五进”活动，全面开展工伤预防宣传。聘请“第三方”专业机构开展安全生产排查检查。在全区危险化学品、烟花爆竹、建筑施工、道路运输等高危行业领域推行安全生产责任保险。 </w:t>
      </w:r>
    </w:p>
    <w:p>
      <w:pPr>
        <w:adjustRightInd w:val="0"/>
        <w:snapToGrid w:val="0"/>
        <w:spacing w:line="540" w:lineRule="exact"/>
        <w:ind w:firstLine="710" w:firstLineChars="22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（四）坚持以练为战，提升处置能力。</w:t>
      </w:r>
      <w:r>
        <w:rPr>
          <w:rFonts w:hint="eastAsia" w:ascii="仿宋_GB2312" w:hAnsi="仿宋_GB2312" w:eastAsia="仿宋_GB2312" w:cs="仿宋_GB2312"/>
          <w:sz w:val="32"/>
          <w:szCs w:val="32"/>
        </w:rPr>
        <w:t>区财政将投入100万元，全面启动区应急指挥中心提质改造建设，大力推动“统一指挥、专常兼备、反应灵敏、上下联动、平战结合”的应急救援体制机制建设；编制了“1+4+35+24”应急预案体系，有计划组织开展了道路交通、管道燃气泄露、校园安全、地质灾害、森林火灾等事故应急救援演练30多次。坚持站稳人民立场，以多元化手段加强综合应急救援能力建设，不断提升应急处置能力，今年8月11日凌晨，中心景区内，两男子坠崖失联，应急、消防、公安、卫健等部门协同配合，经过5小时救援，两人被成功救出。今年以来，景区成功避险转移救助游客500余人次，实现景区旅游安全事故零发生，以“救人、救急、救助”相结合的方式，最大限度维护人民群众和游客生命财产安全。</w:t>
      </w:r>
    </w:p>
    <w:p>
      <w:pPr>
        <w:adjustRightInd w:val="0"/>
        <w:snapToGrid w:val="0"/>
        <w:spacing w:line="54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我区在安全生产和消防工作方面做了大量工作，保持了良好的局面，但距市委、市政府的要求和人民群众的期盼仍有不少差距。守“安”于心，践“安”于行。下阶段，我们将严格按照市委、市政府统一部署，进一步提高政治站位、层层压实责任，以永远在路上的决心，严而又严、细而又细地抓实抓好安全生产和消防各项工作，为建设宜居宜业宜游的全域旅游示范区和全省第三届旅发大会顺利举办创造良好的安全环境，让天下南岳更平安，百姓更幸福！</w:t>
      </w:r>
    </w:p>
    <w:p>
      <w:pPr>
        <w:widowControl/>
        <w:spacing w:line="54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存在的问题及原因分析</w:t>
      </w:r>
    </w:p>
    <w:p>
      <w:pPr>
        <w:adjustRightInd w:val="0"/>
        <w:snapToGrid w:val="0"/>
        <w:spacing w:line="540" w:lineRule="exact"/>
        <w:ind w:firstLine="707" w:firstLineChars="221"/>
        <w:rPr>
          <w:rFonts w:ascii="仿宋_GB2312" w:eastAsia="仿宋_GB2312"/>
          <w:sz w:val="32"/>
          <w:szCs w:val="32"/>
        </w:rPr>
      </w:pPr>
      <w:r>
        <w:rPr>
          <w:rFonts w:hint="eastAsia" w:ascii="黑体" w:hAnsi="黑体" w:eastAsia="黑体" w:cs="Times New Roman"/>
          <w:sz w:val="32"/>
          <w:szCs w:val="32"/>
        </w:rPr>
        <w:t>（一）</w:t>
      </w:r>
      <w:r>
        <w:rPr>
          <w:rFonts w:hint="eastAsia" w:ascii="仿宋_GB2312" w:eastAsia="仿宋_GB2312"/>
          <w:sz w:val="32"/>
          <w:szCs w:val="32"/>
        </w:rPr>
        <w:t>办公经费和人员经费严重不足，工作难度大。</w:t>
      </w:r>
    </w:p>
    <w:p>
      <w:pPr>
        <w:adjustRightInd w:val="0"/>
        <w:snapToGrid w:val="0"/>
        <w:spacing w:line="540" w:lineRule="exact"/>
        <w:ind w:firstLine="707" w:firstLineChars="221"/>
        <w:rPr>
          <w:rFonts w:ascii="仿宋_GB2312" w:eastAsia="仿宋_GB2312"/>
          <w:sz w:val="32"/>
          <w:szCs w:val="32"/>
        </w:rPr>
      </w:pPr>
      <w:r>
        <w:rPr>
          <w:rFonts w:hint="eastAsia" w:ascii="黑体" w:hAnsi="黑体" w:eastAsia="黑体" w:cs="Times New Roman"/>
          <w:sz w:val="32"/>
          <w:szCs w:val="32"/>
        </w:rPr>
        <w:t>（二）</w:t>
      </w:r>
      <w:r>
        <w:rPr>
          <w:rFonts w:hint="eastAsia" w:ascii="仿宋_GB2312" w:eastAsia="仿宋_GB2312"/>
          <w:sz w:val="32"/>
          <w:szCs w:val="32"/>
        </w:rPr>
        <w:t>机构改革，防灾减灾任务艰巨，部分人员存在业务不熟，灾情报送、资金物资管理使用等相关工作还有待于加强。</w:t>
      </w:r>
    </w:p>
    <w:p>
      <w:pPr>
        <w:widowControl/>
        <w:numPr>
          <w:ilvl w:val="0"/>
          <w:numId w:val="1"/>
        </w:numPr>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spacing w:line="540" w:lineRule="exact"/>
        <w:ind w:firstLine="640" w:firstLineChars="200"/>
        <w:rPr>
          <w:rFonts w:eastAsia="仿宋_GB2312"/>
          <w:sz w:val="32"/>
          <w:szCs w:val="32"/>
        </w:rPr>
      </w:pPr>
      <w:r>
        <w:rPr>
          <w:rFonts w:eastAsia="仿宋_GB2312"/>
          <w:sz w:val="32"/>
          <w:szCs w:val="32"/>
        </w:rPr>
        <w:t>针对上述存在的问题，拟采取以下改进措施：</w:t>
      </w:r>
    </w:p>
    <w:p>
      <w:pPr>
        <w:widowControl/>
        <w:spacing w:line="540" w:lineRule="exact"/>
        <w:ind w:firstLine="640" w:firstLineChars="200"/>
        <w:jc w:val="left"/>
        <w:rPr>
          <w:rFonts w:eastAsia="仿宋_GB2312"/>
          <w:sz w:val="32"/>
          <w:szCs w:val="32"/>
        </w:rPr>
      </w:pPr>
      <w:r>
        <w:rPr>
          <w:rFonts w:hint="eastAsia" w:ascii="仿宋_GB2312" w:hAnsi="仿宋_GB2312" w:eastAsia="仿宋_GB2312" w:cs="仿宋_GB2312"/>
          <w:bCs/>
          <w:sz w:val="32"/>
          <w:szCs w:val="32"/>
        </w:rPr>
        <w:t>强化预算管理，定期开展预算执行分析。</w:t>
      </w:r>
      <w:r>
        <w:rPr>
          <w:rFonts w:hint="eastAsia" w:eastAsia="仿宋_GB2312"/>
          <w:sz w:val="32"/>
          <w:szCs w:val="32"/>
        </w:rPr>
        <w:t>通过定期对项目实施和预算执行情况进行梳理，及时掌握项目进度，督促项目实施单位早启动、早实施、早验收，对符合条件的项目按照项目进度支付相关款项，将预算资金管理贯穿于项目实施全过程中。对未启动项目及时分析原因，根据资金使用情况调整下年预算安排。</w:t>
      </w:r>
    </w:p>
    <w:p>
      <w:pPr>
        <w:widowControl/>
        <w:spacing w:line="600" w:lineRule="exact"/>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pPr>
        <w:pStyle w:val="1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南岳区应急管理局</w:t>
      </w:r>
    </w:p>
    <w:p>
      <w:pPr>
        <w:pStyle w:val="1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2024年4月8日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A871F"/>
    <w:multiLevelType w:val="singleLevel"/>
    <w:tmpl w:val="692A871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ZWEzYWI3ZDMyNWUxM2FmOTAxN2NmYTE2NjY0MjkifQ=="/>
  </w:docVars>
  <w:rsids>
    <w:rsidRoot w:val="58E06247"/>
    <w:rsid w:val="00881676"/>
    <w:rsid w:val="009A06BF"/>
    <w:rsid w:val="00B75D6C"/>
    <w:rsid w:val="00BA5D9F"/>
    <w:rsid w:val="06150111"/>
    <w:rsid w:val="0E073D80"/>
    <w:rsid w:val="103C1D0B"/>
    <w:rsid w:val="11020FDA"/>
    <w:rsid w:val="122809DF"/>
    <w:rsid w:val="134358DA"/>
    <w:rsid w:val="149B2A0B"/>
    <w:rsid w:val="1A3466F8"/>
    <w:rsid w:val="20E67351"/>
    <w:rsid w:val="27391C0E"/>
    <w:rsid w:val="28606852"/>
    <w:rsid w:val="29121970"/>
    <w:rsid w:val="29EF7861"/>
    <w:rsid w:val="2ADA6473"/>
    <w:rsid w:val="300019C9"/>
    <w:rsid w:val="30BE2A8F"/>
    <w:rsid w:val="3395221E"/>
    <w:rsid w:val="3BC56E0B"/>
    <w:rsid w:val="429F3322"/>
    <w:rsid w:val="43102595"/>
    <w:rsid w:val="4A1504A0"/>
    <w:rsid w:val="510A3162"/>
    <w:rsid w:val="52C14B04"/>
    <w:rsid w:val="55A02E49"/>
    <w:rsid w:val="58E06247"/>
    <w:rsid w:val="5DA220D3"/>
    <w:rsid w:val="623B79B4"/>
    <w:rsid w:val="64A2122F"/>
    <w:rsid w:val="651C4F15"/>
    <w:rsid w:val="6713109A"/>
    <w:rsid w:val="67B42849"/>
    <w:rsid w:val="6CC77E94"/>
    <w:rsid w:val="71BD756A"/>
    <w:rsid w:val="751B6785"/>
    <w:rsid w:val="79113BBF"/>
    <w:rsid w:val="7B784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Indent"/>
    <w:basedOn w:val="1"/>
    <w:qFormat/>
    <w:uiPriority w:val="0"/>
    <w:pPr>
      <w:ind w:firstLine="200" w:firstLineChars="200"/>
    </w:pPr>
  </w:style>
  <w:style w:type="paragraph" w:styleId="4">
    <w:name w:val="Body Text Indent"/>
    <w:basedOn w:val="1"/>
    <w:autoRedefine/>
    <w:unhideWhenUsed/>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4"/>
    <w:autoRedefine/>
    <w:unhideWhenUsed/>
    <w:qFormat/>
    <w:uiPriority w:val="99"/>
    <w:pPr>
      <w:ind w:firstLine="420" w:firstLineChars="200"/>
    </w:pPr>
  </w:style>
  <w:style w:type="paragraph" w:customStyle="1" w:styleId="10">
    <w:name w:val="正文-公1"/>
    <w:basedOn w:val="1"/>
    <w:autoRedefine/>
    <w:unhideWhenUsed/>
    <w:qFormat/>
    <w:uiPriority w:val="99"/>
  </w:style>
  <w:style w:type="paragraph" w:customStyle="1" w:styleId="11">
    <w:name w:val="样式3"/>
    <w:basedOn w:val="1"/>
    <w:autoRedefine/>
    <w:qFormat/>
    <w:uiPriority w:val="0"/>
    <w:rPr>
      <w:rFonts w:ascii="Times New Roman" w:hAnsi="Times New Roman" w:eastAsia="仿宋_GB2312" w:cs="Times New Roman"/>
      <w:spacing w:val="113"/>
      <w:sz w:val="32"/>
    </w:rPr>
  </w:style>
  <w:style w:type="paragraph" w:customStyle="1" w:styleId="12">
    <w:name w:val="样式4"/>
    <w:basedOn w:val="1"/>
    <w:autoRedefine/>
    <w:qFormat/>
    <w:uiPriority w:val="0"/>
    <w:rPr>
      <w:rFonts w:ascii="Times New Roman" w:hAnsi="Times New Roman" w:eastAsia="仿宋_GB2312" w:cs="Times New Roman"/>
      <w:snapToGrid w:val="0"/>
      <w:spacing w:val="79"/>
      <w:sz w:val="32"/>
    </w:rPr>
  </w:style>
  <w:style w:type="paragraph" w:customStyle="1" w:styleId="13">
    <w:name w:val="样式6"/>
    <w:basedOn w:val="1"/>
    <w:autoRedefine/>
    <w:qFormat/>
    <w:uiPriority w:val="0"/>
    <w:rPr>
      <w:rFonts w:ascii="Times New Roman" w:hAnsi="Times New Roman" w:eastAsia="仿宋_GB2312" w:cs="Times New Roman"/>
      <w:spacing w:val="57"/>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7290</Words>
  <Characters>7512</Characters>
  <Lines>53</Lines>
  <Paragraphs>15</Paragraphs>
  <TotalTime>371</TotalTime>
  <ScaleCrop>false</ScaleCrop>
  <LinksUpToDate>false</LinksUpToDate>
  <CharactersWithSpaces>7521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2020-10-27T13:06:00Z</dcterms:created>
  <dc:creator>Administrator</dc:creator>
  <cp:lastModifiedBy>Cassiel</cp:lastModifiedBy>
  <cp:lastPrinted>2023-02-14T09:06:00Z</cp:lastPrinted>
  <dcterms:modified xsi:type="dcterms:W3CDTF">2024-04-19T03:34:19Z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771F8C724EAA47748721D1DAB961D91F</vt:lpwstr>
  </property>
</Properties>
</file>