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EE2" w:rsidRDefault="008C2EE2" w:rsidP="008C2EE2">
      <w:pPr>
        <w:widowControl/>
        <w:rPr>
          <w:rFonts w:ascii="方正小标宋简体" w:eastAsia="方正小标宋简体" w:hAnsi="方正小标宋简体" w:cs="方正小标宋简体"/>
          <w:sz w:val="44"/>
          <w:szCs w:val="44"/>
        </w:rPr>
      </w:pPr>
    </w:p>
    <w:p w:rsidR="00275844" w:rsidRPr="00275844" w:rsidRDefault="00275844" w:rsidP="00275844">
      <w:pPr>
        <w:widowControl/>
        <w:ind w:firstLineChars="400" w:firstLine="1760"/>
        <w:rPr>
          <w:rFonts w:ascii="方正小标宋简体" w:eastAsia="方正小标宋简体" w:hAnsi="方正小标宋简体" w:cs="方正小标宋简体"/>
          <w:sz w:val="44"/>
          <w:szCs w:val="44"/>
        </w:rPr>
      </w:pPr>
      <w:r w:rsidRPr="00275844">
        <w:rPr>
          <w:rFonts w:ascii="方正小标宋简体" w:eastAsia="方正小标宋简体" w:hAnsi="方正小标宋简体" w:cs="方正小标宋简体" w:hint="eastAsia"/>
          <w:sz w:val="44"/>
          <w:szCs w:val="44"/>
        </w:rPr>
        <w:t>南岳区自然资源综合执法大队</w:t>
      </w:r>
    </w:p>
    <w:p w:rsidR="00E4748B" w:rsidRPr="00B02D1F" w:rsidRDefault="00D15FE9" w:rsidP="00275844">
      <w:pPr>
        <w:widowControl/>
        <w:ind w:firstLineChars="200" w:firstLine="8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w:t>
      </w:r>
      <w:r w:rsidR="00C50870" w:rsidRPr="00B02D1F">
        <w:rPr>
          <w:rFonts w:ascii="方正小标宋简体" w:eastAsia="方正小标宋简体" w:hAnsi="方正小标宋简体" w:cs="方正小标宋简体" w:hint="eastAsia"/>
          <w:sz w:val="44"/>
          <w:szCs w:val="44"/>
        </w:rPr>
        <w:t>年度部门整体支出绩效评价报告</w:t>
      </w:r>
    </w:p>
    <w:p w:rsidR="00B02D1F" w:rsidRPr="003A44C4" w:rsidRDefault="003A44C4" w:rsidP="003A44C4">
      <w:pPr>
        <w:spacing w:line="600" w:lineRule="exact"/>
        <w:ind w:firstLine="645"/>
        <w:rPr>
          <w:rFonts w:eastAsia="仿宋_GB2312"/>
          <w:sz w:val="32"/>
          <w:szCs w:val="32"/>
        </w:rPr>
      </w:pPr>
      <w:r>
        <w:rPr>
          <w:rFonts w:eastAsia="仿宋_GB2312"/>
          <w:sz w:val="32"/>
          <w:szCs w:val="32"/>
        </w:rPr>
        <w:t>根据《中共中央国务院关于全面实施预算绩效管理的意见》的文件精神，我</w:t>
      </w:r>
      <w:r w:rsidR="00275844">
        <w:rPr>
          <w:rFonts w:eastAsia="仿宋_GB2312" w:hint="eastAsia"/>
          <w:sz w:val="32"/>
          <w:szCs w:val="32"/>
        </w:rPr>
        <w:t>大队</w:t>
      </w:r>
      <w:r>
        <w:rPr>
          <w:rFonts w:eastAsia="仿宋_GB2312"/>
          <w:sz w:val="32"/>
          <w:szCs w:val="32"/>
        </w:rPr>
        <w:t>对部门整体支出进行了绩效评价，现报告如下：</w:t>
      </w:r>
    </w:p>
    <w:p w:rsidR="00E4748B" w:rsidRDefault="00C50870">
      <w:pPr>
        <w:ind w:firstLineChars="200" w:firstLine="640"/>
        <w:rPr>
          <w:rFonts w:ascii="黑体" w:eastAsia="黑体" w:hAnsi="Times New Roman" w:cs="Times New Roman"/>
          <w:sz w:val="32"/>
          <w:szCs w:val="32"/>
        </w:rPr>
      </w:pPr>
      <w:r>
        <w:rPr>
          <w:rFonts w:ascii="黑体" w:eastAsia="黑体" w:hAnsi="Times New Roman" w:cs="Times New Roman" w:hint="eastAsia"/>
          <w:sz w:val="32"/>
          <w:szCs w:val="32"/>
        </w:rPr>
        <w:t>一、部门（单位）基本情况</w:t>
      </w:r>
    </w:p>
    <w:p w:rsidR="00E4748B" w:rsidRDefault="00C50870">
      <w:pPr>
        <w:widowControl/>
        <w:spacing w:line="600" w:lineRule="exact"/>
        <w:ind w:firstLineChars="196" w:firstLine="630"/>
        <w:jc w:val="left"/>
        <w:rPr>
          <w:rFonts w:eastAsia="楷体_GB2312"/>
          <w:b/>
          <w:snapToGrid w:val="0"/>
          <w:kern w:val="0"/>
          <w:sz w:val="32"/>
          <w:szCs w:val="32"/>
        </w:rPr>
      </w:pPr>
      <w:r>
        <w:rPr>
          <w:rFonts w:eastAsia="楷体_GB2312"/>
          <w:b/>
          <w:snapToGrid w:val="0"/>
          <w:kern w:val="0"/>
          <w:sz w:val="32"/>
          <w:szCs w:val="32"/>
        </w:rPr>
        <w:t>（一）部门职能职责</w:t>
      </w:r>
    </w:p>
    <w:p w:rsidR="00275844" w:rsidRDefault="00275844" w:rsidP="00275844">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）负责履行全区林业行政执法的职责。</w:t>
      </w:r>
      <w:r>
        <w:rPr>
          <w:rFonts w:ascii="Times New Roman" w:eastAsia="仿宋_GB2312" w:hAnsi="Times New Roman" w:cs="Times New Roman"/>
          <w:kern w:val="0"/>
          <w:sz w:val="32"/>
          <w:szCs w:val="32"/>
        </w:rPr>
        <w:t> </w:t>
      </w:r>
    </w:p>
    <w:p w:rsidR="00275844" w:rsidRDefault="00275844" w:rsidP="00275844">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）负责区人民政府授权或委托的所涉及部门的行政管理、行政执法；负责对南岳核心景区内建设项目和</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一乡一镇</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个村村民建房的监管。</w:t>
      </w:r>
      <w:r>
        <w:rPr>
          <w:rFonts w:ascii="Times New Roman" w:eastAsia="仿宋_GB2312" w:hAnsi="Times New Roman" w:cs="Times New Roman"/>
          <w:kern w:val="0"/>
          <w:sz w:val="32"/>
          <w:szCs w:val="32"/>
        </w:rPr>
        <w:t> </w:t>
      </w:r>
    </w:p>
    <w:p w:rsidR="00275844" w:rsidRDefault="00275844" w:rsidP="00275844">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）协助配合相关职能部门做好南岳核心景区内的旅游环境综合治理工作。</w:t>
      </w:r>
      <w:r>
        <w:rPr>
          <w:rFonts w:ascii="Times New Roman" w:eastAsia="仿宋_GB2312" w:hAnsi="Times New Roman" w:cs="Times New Roman"/>
          <w:kern w:val="0"/>
          <w:sz w:val="32"/>
          <w:szCs w:val="32"/>
        </w:rPr>
        <w:t> </w:t>
      </w:r>
    </w:p>
    <w:p w:rsidR="00275844" w:rsidRDefault="00275844" w:rsidP="00275844">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）承办区委、区人民政府、自然资源局交办的其他事项。</w:t>
      </w:r>
      <w:r>
        <w:rPr>
          <w:rFonts w:ascii="Times New Roman" w:eastAsia="仿宋_GB2312" w:hAnsi="Times New Roman" w:cs="Times New Roman"/>
          <w:kern w:val="0"/>
          <w:sz w:val="32"/>
          <w:szCs w:val="32"/>
        </w:rPr>
        <w:t> </w:t>
      </w:r>
    </w:p>
    <w:p w:rsidR="00E4748B" w:rsidRDefault="00C50870" w:rsidP="00275844">
      <w:pPr>
        <w:widowControl/>
        <w:spacing w:line="600" w:lineRule="exact"/>
        <w:ind w:firstLineChars="196" w:firstLine="630"/>
        <w:jc w:val="left"/>
        <w:rPr>
          <w:rFonts w:eastAsia="楷体_GB2312"/>
          <w:b/>
          <w:sz w:val="32"/>
          <w:szCs w:val="32"/>
        </w:rPr>
      </w:pPr>
      <w:r>
        <w:rPr>
          <w:rFonts w:eastAsia="楷体_GB2312"/>
          <w:b/>
          <w:sz w:val="32"/>
          <w:szCs w:val="32"/>
        </w:rPr>
        <w:t>（二）机构设置情况</w:t>
      </w:r>
    </w:p>
    <w:p w:rsidR="00275844" w:rsidRDefault="00D15FE9" w:rsidP="00275844">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2023</w:t>
      </w:r>
      <w:r w:rsidR="001746FD">
        <w:rPr>
          <w:rFonts w:ascii="Times New Roman" w:eastAsia="仿宋_GB2312" w:hAnsi="Times New Roman" w:cs="Times New Roman" w:hint="eastAsia"/>
          <w:sz w:val="32"/>
          <w:szCs w:val="32"/>
        </w:rPr>
        <w:t>年末</w:t>
      </w:r>
      <w:r w:rsidR="001746FD">
        <w:rPr>
          <w:rFonts w:ascii="Times New Roman" w:eastAsia="仿宋_GB2312" w:hAnsi="Times New Roman" w:cs="Times New Roman"/>
          <w:sz w:val="32"/>
          <w:szCs w:val="32"/>
        </w:rPr>
        <w:t>，</w:t>
      </w:r>
      <w:r w:rsidR="00275844">
        <w:rPr>
          <w:rFonts w:ascii="Times New Roman" w:eastAsia="仿宋_GB2312" w:hAnsi="Times New Roman" w:cs="Times New Roman" w:hint="eastAsia"/>
          <w:kern w:val="0"/>
          <w:sz w:val="32"/>
          <w:szCs w:val="32"/>
        </w:rPr>
        <w:t>我大队</w:t>
      </w:r>
      <w:r w:rsidR="00275844">
        <w:rPr>
          <w:rFonts w:ascii="Times New Roman" w:eastAsia="仿宋_GB2312" w:hAnsi="Times New Roman" w:cs="Times New Roman"/>
          <w:kern w:val="0"/>
          <w:sz w:val="32"/>
          <w:szCs w:val="32"/>
        </w:rPr>
        <w:t>内设</w:t>
      </w:r>
      <w:r w:rsidR="00275844">
        <w:rPr>
          <w:rFonts w:ascii="Times New Roman" w:eastAsia="仿宋_GB2312" w:hAnsi="Times New Roman" w:cs="Times New Roman" w:hint="eastAsia"/>
          <w:kern w:val="0"/>
          <w:sz w:val="32"/>
          <w:szCs w:val="32"/>
        </w:rPr>
        <w:t>股</w:t>
      </w:r>
      <w:r w:rsidR="00275844">
        <w:rPr>
          <w:rFonts w:ascii="Times New Roman" w:eastAsia="仿宋_GB2312" w:hAnsi="Times New Roman" w:cs="Times New Roman"/>
          <w:kern w:val="0"/>
          <w:sz w:val="32"/>
          <w:szCs w:val="32"/>
        </w:rPr>
        <w:t>室</w:t>
      </w:r>
      <w:r w:rsidR="00275844">
        <w:rPr>
          <w:rFonts w:ascii="Times New Roman" w:eastAsia="仿宋_GB2312" w:hAnsi="Times New Roman" w:cs="Times New Roman" w:hint="eastAsia"/>
          <w:kern w:val="0"/>
          <w:sz w:val="32"/>
          <w:szCs w:val="32"/>
        </w:rPr>
        <w:t>6</w:t>
      </w:r>
      <w:bookmarkStart w:id="0" w:name="_GoBack"/>
      <w:bookmarkEnd w:id="0"/>
      <w:r w:rsidR="00275844">
        <w:rPr>
          <w:rFonts w:ascii="Times New Roman" w:eastAsia="仿宋_GB2312" w:hAnsi="Times New Roman" w:cs="Times New Roman"/>
          <w:kern w:val="0"/>
          <w:sz w:val="32"/>
          <w:szCs w:val="32"/>
        </w:rPr>
        <w:t>个</w:t>
      </w:r>
      <w:r w:rsidR="00275844">
        <w:rPr>
          <w:rFonts w:ascii="仿宋_GB2312" w:eastAsia="仿宋_GB2312" w:hAnsi="Times New Roman" w:cs="Times New Roman"/>
          <w:sz w:val="30"/>
          <w:szCs w:val="30"/>
        </w:rPr>
        <w:t>，分别是办公室、法规股、一中队、二中队、三中队</w:t>
      </w:r>
      <w:r w:rsidR="00275844">
        <w:rPr>
          <w:rFonts w:ascii="仿宋_GB2312" w:eastAsia="仿宋_GB2312" w:hAnsi="Times New Roman" w:cs="Times New Roman" w:hint="eastAsia"/>
          <w:sz w:val="30"/>
          <w:szCs w:val="30"/>
        </w:rPr>
        <w:t>、四中队</w:t>
      </w:r>
      <w:r w:rsidR="00275844">
        <w:rPr>
          <w:rFonts w:ascii="Times New Roman" w:eastAsia="仿宋_GB2312" w:hAnsi="Times New Roman" w:cs="Times New Roman" w:hint="eastAsia"/>
          <w:kern w:val="0"/>
          <w:sz w:val="32"/>
          <w:szCs w:val="32"/>
        </w:rPr>
        <w:t>。</w:t>
      </w:r>
    </w:p>
    <w:p w:rsidR="00E4748B" w:rsidRDefault="00C50870" w:rsidP="00275844">
      <w:pPr>
        <w:pStyle w:val="a5"/>
        <w:shd w:val="clear" w:color="auto" w:fill="FFFFFF"/>
        <w:spacing w:before="0" w:beforeAutospacing="0" w:after="120" w:afterAutospacing="0"/>
        <w:ind w:firstLine="600"/>
        <w:jc w:val="both"/>
        <w:rPr>
          <w:rFonts w:eastAsia="楷体_GB2312"/>
          <w:b/>
          <w:sz w:val="32"/>
          <w:szCs w:val="32"/>
        </w:rPr>
      </w:pPr>
      <w:r>
        <w:rPr>
          <w:rFonts w:eastAsia="楷体_GB2312"/>
          <w:b/>
          <w:sz w:val="32"/>
          <w:szCs w:val="32"/>
        </w:rPr>
        <w:t>（三）人员编制情况</w:t>
      </w:r>
    </w:p>
    <w:p w:rsidR="001746FD" w:rsidRPr="001746FD" w:rsidRDefault="00D15FE9" w:rsidP="001746FD">
      <w:pPr>
        <w:ind w:firstLineChars="200" w:firstLine="640"/>
        <w:rPr>
          <w:rFonts w:ascii="黑体" w:eastAsia="黑体" w:hAnsi="Times New Roman" w:cs="Times New Roman"/>
          <w:sz w:val="32"/>
          <w:szCs w:val="32"/>
        </w:rPr>
      </w:pPr>
      <w:r>
        <w:rPr>
          <w:rFonts w:eastAsia="仿宋_GB2312"/>
          <w:sz w:val="32"/>
          <w:szCs w:val="32"/>
        </w:rPr>
        <w:t>2023</w:t>
      </w:r>
      <w:r w:rsidR="00C50870">
        <w:rPr>
          <w:rFonts w:eastAsia="仿宋_GB2312"/>
          <w:sz w:val="32"/>
          <w:szCs w:val="32"/>
        </w:rPr>
        <w:t>年末，我单位共有</w:t>
      </w:r>
      <w:r>
        <w:rPr>
          <w:rFonts w:eastAsia="仿宋_GB2312" w:hint="eastAsia"/>
          <w:sz w:val="32"/>
          <w:szCs w:val="32"/>
        </w:rPr>
        <w:t>18</w:t>
      </w:r>
      <w:r w:rsidR="00C50870">
        <w:rPr>
          <w:rFonts w:eastAsia="仿宋_GB2312"/>
          <w:sz w:val="32"/>
          <w:szCs w:val="32"/>
        </w:rPr>
        <w:t>编制人，其中行政编制</w:t>
      </w:r>
      <w:r w:rsidR="00F32DE3">
        <w:rPr>
          <w:rFonts w:eastAsia="仿宋_GB2312" w:hint="eastAsia"/>
          <w:sz w:val="32"/>
          <w:szCs w:val="32"/>
        </w:rPr>
        <w:t>0</w:t>
      </w:r>
      <w:r w:rsidR="006772D8">
        <w:rPr>
          <w:rFonts w:eastAsia="仿宋_GB2312" w:hint="eastAsia"/>
          <w:sz w:val="32"/>
          <w:szCs w:val="32"/>
        </w:rPr>
        <w:t>人</w:t>
      </w:r>
      <w:r w:rsidR="00C50870">
        <w:rPr>
          <w:rFonts w:eastAsia="仿宋_GB2312"/>
          <w:sz w:val="32"/>
          <w:szCs w:val="32"/>
        </w:rPr>
        <w:t>，</w:t>
      </w:r>
      <w:r w:rsidR="00D5731C">
        <w:rPr>
          <w:rFonts w:eastAsia="仿宋_GB2312" w:hint="eastAsia"/>
          <w:sz w:val="32"/>
          <w:szCs w:val="32"/>
        </w:rPr>
        <w:t>参照公务员法管理事业</w:t>
      </w:r>
      <w:r w:rsidR="00C50870">
        <w:rPr>
          <w:rFonts w:eastAsia="仿宋_GB2312"/>
          <w:sz w:val="32"/>
          <w:szCs w:val="32"/>
        </w:rPr>
        <w:t>编制</w:t>
      </w:r>
      <w:r>
        <w:rPr>
          <w:rFonts w:eastAsia="仿宋_GB2312" w:hint="eastAsia"/>
          <w:sz w:val="32"/>
          <w:szCs w:val="32"/>
        </w:rPr>
        <w:t>18</w:t>
      </w:r>
      <w:r w:rsidR="00C50870">
        <w:rPr>
          <w:rFonts w:eastAsia="仿宋_GB2312"/>
          <w:sz w:val="32"/>
          <w:szCs w:val="32"/>
        </w:rPr>
        <w:t>人。年末实有在职人员</w:t>
      </w:r>
      <w:r>
        <w:rPr>
          <w:rFonts w:eastAsia="仿宋_GB2312" w:hint="eastAsia"/>
          <w:sz w:val="32"/>
          <w:szCs w:val="32"/>
        </w:rPr>
        <w:t>18</w:t>
      </w:r>
      <w:r w:rsidR="00C50870">
        <w:rPr>
          <w:rFonts w:eastAsia="仿宋_GB2312"/>
          <w:sz w:val="32"/>
          <w:szCs w:val="32"/>
        </w:rPr>
        <w:t>人，</w:t>
      </w:r>
      <w:r w:rsidR="00C50870">
        <w:rPr>
          <w:rFonts w:eastAsia="仿宋_GB2312"/>
          <w:sz w:val="32"/>
          <w:szCs w:val="32"/>
        </w:rPr>
        <w:lastRenderedPageBreak/>
        <w:t>离休人员</w:t>
      </w:r>
      <w:r w:rsidR="00D5731C">
        <w:rPr>
          <w:rFonts w:eastAsia="仿宋_GB2312" w:hint="eastAsia"/>
          <w:sz w:val="32"/>
          <w:szCs w:val="32"/>
        </w:rPr>
        <w:t>1</w:t>
      </w:r>
      <w:r w:rsidR="00C50870">
        <w:rPr>
          <w:rFonts w:eastAsia="仿宋_GB2312"/>
          <w:sz w:val="32"/>
          <w:szCs w:val="32"/>
        </w:rPr>
        <w:t>人。</w:t>
      </w:r>
    </w:p>
    <w:p w:rsidR="00E4748B" w:rsidRDefault="00C50870">
      <w:pPr>
        <w:widowControl/>
        <w:numPr>
          <w:ilvl w:val="0"/>
          <w:numId w:val="2"/>
        </w:num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一般公共预算支出情况</w:t>
      </w:r>
    </w:p>
    <w:p w:rsidR="00E4748B" w:rsidRDefault="00C50870">
      <w:pPr>
        <w:widowControl/>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（一）基本支出情况</w:t>
      </w:r>
    </w:p>
    <w:p w:rsidR="00F437A6" w:rsidRPr="00F32DE3" w:rsidRDefault="00D5731C" w:rsidP="00F32DE3">
      <w:pPr>
        <w:rPr>
          <w:rFonts w:eastAsia="仿宋_GB2312"/>
          <w:color w:val="000000"/>
          <w:sz w:val="32"/>
          <w:szCs w:val="32"/>
        </w:rPr>
      </w:pPr>
      <w:r>
        <w:rPr>
          <w:rFonts w:eastAsia="仿宋_GB2312"/>
          <w:sz w:val="32"/>
          <w:szCs w:val="32"/>
        </w:rPr>
        <w:t>基本支出系保障我</w:t>
      </w:r>
      <w:r w:rsidR="00F32DE3">
        <w:rPr>
          <w:rFonts w:eastAsia="仿宋_GB2312" w:hint="eastAsia"/>
          <w:sz w:val="32"/>
          <w:szCs w:val="32"/>
        </w:rPr>
        <w:t>大队</w:t>
      </w:r>
      <w:r w:rsidR="00C50870">
        <w:rPr>
          <w:rFonts w:eastAsia="仿宋_GB2312"/>
          <w:sz w:val="32"/>
          <w:szCs w:val="32"/>
        </w:rPr>
        <w:t>机构正常运转、完成日常工作任务而发生的各项支出，包括用于在职和离退休人员基本工资、津贴补贴等人员经费以及办公费、印刷费、水电费、办公设备购置等日常公用经费。</w:t>
      </w:r>
      <w:r w:rsidR="00D15FE9">
        <w:rPr>
          <w:rFonts w:eastAsia="仿宋_GB2312"/>
          <w:sz w:val="32"/>
          <w:szCs w:val="32"/>
        </w:rPr>
        <w:t>2023</w:t>
      </w:r>
      <w:r w:rsidR="00C50870">
        <w:rPr>
          <w:rFonts w:eastAsia="仿宋_GB2312"/>
          <w:sz w:val="32"/>
          <w:szCs w:val="32"/>
        </w:rPr>
        <w:t>年基本支出</w:t>
      </w:r>
      <w:r w:rsidR="00D15FE9">
        <w:rPr>
          <w:rFonts w:eastAsia="仿宋_GB2312" w:hint="eastAsia"/>
          <w:sz w:val="32"/>
          <w:szCs w:val="32"/>
        </w:rPr>
        <w:t>283.15</w:t>
      </w:r>
      <w:r w:rsidR="00C50870">
        <w:rPr>
          <w:rFonts w:eastAsia="仿宋_GB2312"/>
          <w:sz w:val="32"/>
          <w:szCs w:val="32"/>
        </w:rPr>
        <w:t>万元，较上年</w:t>
      </w:r>
      <w:r w:rsidR="00D15FE9">
        <w:rPr>
          <w:rFonts w:eastAsia="仿宋_GB2312" w:hint="eastAsia"/>
          <w:sz w:val="32"/>
          <w:szCs w:val="32"/>
        </w:rPr>
        <w:t>269.02</w:t>
      </w:r>
      <w:r w:rsidR="00A83B82">
        <w:rPr>
          <w:rFonts w:eastAsia="仿宋_GB2312" w:hint="eastAsia"/>
          <w:sz w:val="32"/>
          <w:szCs w:val="32"/>
        </w:rPr>
        <w:t>万元</w:t>
      </w:r>
      <w:r w:rsidR="00AE6310">
        <w:rPr>
          <w:rFonts w:eastAsia="仿宋_GB2312" w:hint="eastAsia"/>
          <w:sz w:val="32"/>
          <w:szCs w:val="32"/>
        </w:rPr>
        <w:t>增加</w:t>
      </w:r>
      <w:r w:rsidR="00D15FE9">
        <w:rPr>
          <w:rFonts w:eastAsia="仿宋_GB2312" w:hint="eastAsia"/>
          <w:sz w:val="32"/>
          <w:szCs w:val="32"/>
        </w:rPr>
        <w:t>14.13</w:t>
      </w:r>
      <w:r w:rsidR="00C50870">
        <w:rPr>
          <w:rFonts w:eastAsia="仿宋_GB2312"/>
          <w:sz w:val="32"/>
          <w:szCs w:val="32"/>
        </w:rPr>
        <w:t>万元。</w:t>
      </w:r>
      <w:r w:rsidR="00C50870">
        <w:rPr>
          <w:rFonts w:eastAsia="仿宋_GB2312"/>
          <w:color w:val="000000"/>
          <w:sz w:val="32"/>
          <w:szCs w:val="32"/>
        </w:rPr>
        <w:t>基本支出中人员经费</w:t>
      </w:r>
      <w:r w:rsidR="00D15FE9">
        <w:rPr>
          <w:rFonts w:eastAsia="仿宋_GB2312" w:hint="eastAsia"/>
          <w:color w:val="000000"/>
          <w:sz w:val="32"/>
          <w:szCs w:val="32"/>
        </w:rPr>
        <w:t>247.26</w:t>
      </w:r>
      <w:r w:rsidR="00C50870">
        <w:rPr>
          <w:rFonts w:eastAsia="仿宋_GB2312"/>
          <w:color w:val="000000"/>
          <w:sz w:val="32"/>
          <w:szCs w:val="32"/>
        </w:rPr>
        <w:t>万元，占基本支出的</w:t>
      </w:r>
      <w:r w:rsidR="00D15FE9">
        <w:rPr>
          <w:rFonts w:eastAsia="仿宋_GB2312" w:hint="eastAsia"/>
          <w:color w:val="000000"/>
          <w:sz w:val="32"/>
          <w:szCs w:val="32"/>
        </w:rPr>
        <w:t>87.32</w:t>
      </w:r>
      <w:r w:rsidR="00C50870">
        <w:rPr>
          <w:rFonts w:eastAsia="仿宋_GB2312"/>
          <w:color w:val="000000"/>
          <w:sz w:val="32"/>
          <w:szCs w:val="32"/>
        </w:rPr>
        <w:t>%</w:t>
      </w:r>
      <w:r w:rsidR="00C50870">
        <w:rPr>
          <w:rFonts w:eastAsia="仿宋_GB2312"/>
          <w:color w:val="000000"/>
          <w:sz w:val="32"/>
          <w:szCs w:val="32"/>
        </w:rPr>
        <w:t>，</w:t>
      </w:r>
      <w:r w:rsidR="00C50870">
        <w:rPr>
          <w:rFonts w:eastAsia="仿宋_GB2312" w:hint="eastAsia"/>
          <w:color w:val="000000"/>
          <w:sz w:val="32"/>
          <w:szCs w:val="32"/>
        </w:rPr>
        <w:t>与上年</w:t>
      </w:r>
      <w:r w:rsidR="00D15FE9">
        <w:rPr>
          <w:rFonts w:eastAsia="仿宋_GB2312" w:hint="eastAsia"/>
          <w:color w:val="000000"/>
          <w:sz w:val="32"/>
          <w:szCs w:val="32"/>
        </w:rPr>
        <w:t>238.42</w:t>
      </w:r>
      <w:r w:rsidR="00D50658">
        <w:rPr>
          <w:rFonts w:eastAsia="仿宋_GB2312" w:hint="eastAsia"/>
          <w:color w:val="000000"/>
          <w:sz w:val="32"/>
          <w:szCs w:val="32"/>
        </w:rPr>
        <w:t>万元</w:t>
      </w:r>
      <w:r w:rsidR="00AE6310">
        <w:rPr>
          <w:rFonts w:eastAsia="仿宋_GB2312" w:hint="eastAsia"/>
          <w:sz w:val="32"/>
          <w:szCs w:val="32"/>
        </w:rPr>
        <w:t>增加</w:t>
      </w:r>
      <w:r w:rsidR="00D15FE9">
        <w:rPr>
          <w:rFonts w:eastAsia="仿宋_GB2312" w:hint="eastAsia"/>
          <w:color w:val="000000"/>
          <w:sz w:val="32"/>
          <w:szCs w:val="32"/>
        </w:rPr>
        <w:t>8.84</w:t>
      </w:r>
      <w:r w:rsidR="00D50658">
        <w:rPr>
          <w:rFonts w:eastAsia="仿宋_GB2312" w:hint="eastAsia"/>
          <w:color w:val="000000"/>
          <w:sz w:val="32"/>
          <w:szCs w:val="32"/>
        </w:rPr>
        <w:t>万元</w:t>
      </w:r>
      <w:r w:rsidR="00D15FE9">
        <w:rPr>
          <w:rFonts w:eastAsia="仿宋_GB2312" w:hint="eastAsia"/>
          <w:color w:val="000000"/>
          <w:sz w:val="32"/>
          <w:szCs w:val="32"/>
        </w:rPr>
        <w:t>；</w:t>
      </w:r>
      <w:r w:rsidR="00D50658">
        <w:rPr>
          <w:rFonts w:eastAsia="仿宋_GB2312" w:hint="eastAsia"/>
          <w:color w:val="000000"/>
          <w:sz w:val="32"/>
          <w:szCs w:val="32"/>
        </w:rPr>
        <w:t>增加原因为：</w:t>
      </w:r>
      <w:r w:rsidR="00F32DE3" w:rsidRPr="00F32DE3">
        <w:rPr>
          <w:rFonts w:eastAsia="仿宋_GB2312" w:hint="eastAsia"/>
          <w:color w:val="000000"/>
          <w:sz w:val="32"/>
          <w:szCs w:val="32"/>
        </w:rPr>
        <w:t>人员增加导致的工资福利及公用经费增加</w:t>
      </w:r>
      <w:r w:rsidR="00C50870">
        <w:rPr>
          <w:rFonts w:eastAsia="仿宋_GB2312" w:hint="eastAsia"/>
          <w:color w:val="000000"/>
          <w:sz w:val="32"/>
          <w:szCs w:val="32"/>
        </w:rPr>
        <w:t>；</w:t>
      </w:r>
      <w:r w:rsidR="00C50870">
        <w:rPr>
          <w:rFonts w:eastAsia="仿宋_GB2312"/>
          <w:color w:val="000000"/>
          <w:sz w:val="32"/>
          <w:szCs w:val="32"/>
        </w:rPr>
        <w:t>日常公用经费</w:t>
      </w:r>
      <w:r w:rsidR="00D15FE9">
        <w:rPr>
          <w:rFonts w:eastAsia="仿宋_GB2312" w:hint="eastAsia"/>
          <w:color w:val="000000"/>
          <w:sz w:val="32"/>
          <w:szCs w:val="32"/>
        </w:rPr>
        <w:t>35.89</w:t>
      </w:r>
      <w:r w:rsidR="00C50870">
        <w:rPr>
          <w:rFonts w:eastAsia="仿宋_GB2312"/>
          <w:color w:val="000000"/>
          <w:sz w:val="32"/>
          <w:szCs w:val="32"/>
        </w:rPr>
        <w:t>万元，占基本支出的</w:t>
      </w:r>
      <w:r w:rsidR="00D15FE9">
        <w:rPr>
          <w:rFonts w:eastAsia="仿宋_GB2312" w:hint="eastAsia"/>
          <w:color w:val="000000"/>
          <w:sz w:val="32"/>
          <w:szCs w:val="32"/>
        </w:rPr>
        <w:t>12.68</w:t>
      </w:r>
      <w:r w:rsidR="00C50870">
        <w:rPr>
          <w:rFonts w:eastAsia="仿宋_GB2312"/>
          <w:color w:val="000000"/>
          <w:sz w:val="32"/>
          <w:szCs w:val="32"/>
        </w:rPr>
        <w:t>%</w:t>
      </w:r>
      <w:r w:rsidR="00C50870">
        <w:rPr>
          <w:rFonts w:eastAsia="仿宋_GB2312"/>
          <w:color w:val="000000"/>
          <w:sz w:val="32"/>
          <w:szCs w:val="32"/>
        </w:rPr>
        <w:t>，较上年</w:t>
      </w:r>
      <w:r w:rsidR="00D15FE9">
        <w:rPr>
          <w:rFonts w:eastAsia="仿宋_GB2312" w:hint="eastAsia"/>
          <w:color w:val="000000"/>
          <w:sz w:val="32"/>
          <w:szCs w:val="32"/>
        </w:rPr>
        <w:t>30.60</w:t>
      </w:r>
      <w:r w:rsidR="00D50658">
        <w:rPr>
          <w:rFonts w:eastAsia="仿宋_GB2312" w:hint="eastAsia"/>
          <w:color w:val="000000"/>
          <w:sz w:val="32"/>
          <w:szCs w:val="32"/>
        </w:rPr>
        <w:t>万元</w:t>
      </w:r>
      <w:r w:rsidR="00D15FE9">
        <w:rPr>
          <w:rFonts w:eastAsia="仿宋_GB2312" w:hint="eastAsia"/>
          <w:color w:val="000000"/>
          <w:sz w:val="32"/>
          <w:szCs w:val="32"/>
        </w:rPr>
        <w:t>增加</w:t>
      </w:r>
      <w:r w:rsidR="00D15FE9">
        <w:rPr>
          <w:rFonts w:eastAsia="仿宋_GB2312" w:hint="eastAsia"/>
          <w:color w:val="000000"/>
          <w:sz w:val="32"/>
          <w:szCs w:val="32"/>
        </w:rPr>
        <w:t>5.29</w:t>
      </w:r>
      <w:r w:rsidR="00D15FE9">
        <w:rPr>
          <w:rFonts w:eastAsia="仿宋_GB2312" w:hint="eastAsia"/>
          <w:color w:val="000000"/>
          <w:sz w:val="32"/>
          <w:szCs w:val="32"/>
        </w:rPr>
        <w:t>万元增加</w:t>
      </w:r>
      <w:r w:rsidR="00D15FE9">
        <w:rPr>
          <w:rFonts w:eastAsia="仿宋_GB2312" w:hint="eastAsia"/>
          <w:color w:val="000000"/>
          <w:sz w:val="32"/>
          <w:szCs w:val="32"/>
        </w:rPr>
        <w:t>17.29</w:t>
      </w:r>
      <w:r w:rsidR="00C50870">
        <w:rPr>
          <w:rFonts w:eastAsia="仿宋_GB2312"/>
          <w:color w:val="000000"/>
          <w:sz w:val="32"/>
          <w:szCs w:val="32"/>
        </w:rPr>
        <w:t>%</w:t>
      </w:r>
      <w:r w:rsidR="00C50870">
        <w:rPr>
          <w:rFonts w:eastAsia="仿宋_GB2312" w:hint="eastAsia"/>
          <w:color w:val="000000"/>
          <w:sz w:val="32"/>
          <w:szCs w:val="32"/>
        </w:rPr>
        <w:t>，主要原因是</w:t>
      </w:r>
      <w:r w:rsidR="008A4F6A" w:rsidRPr="00F32DE3">
        <w:rPr>
          <w:rFonts w:eastAsia="仿宋_GB2312" w:hint="eastAsia"/>
          <w:color w:val="000000"/>
          <w:sz w:val="32"/>
          <w:szCs w:val="32"/>
        </w:rPr>
        <w:t>人员增加导致的工资福利及公用经费增加</w:t>
      </w:r>
      <w:r w:rsidR="00F437A6">
        <w:rPr>
          <w:rFonts w:eastAsia="仿宋_GB2312" w:hint="eastAsia"/>
          <w:color w:val="000000"/>
          <w:sz w:val="32"/>
          <w:szCs w:val="32"/>
        </w:rPr>
        <w:t>。</w:t>
      </w:r>
    </w:p>
    <w:p w:rsidR="00E4748B" w:rsidRDefault="00C50870" w:rsidP="00F437A6">
      <w:pPr>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（二）</w:t>
      </w:r>
      <w:r>
        <w:rPr>
          <w:rFonts w:ascii="楷体_GB2312" w:eastAsia="楷体_GB2312" w:hAnsi="Times New Roman" w:cs="Times New Roman"/>
          <w:b/>
          <w:sz w:val="32"/>
          <w:szCs w:val="32"/>
        </w:rPr>
        <w:t>项目支出情况</w:t>
      </w:r>
    </w:p>
    <w:p w:rsidR="00E4748B" w:rsidRDefault="00F32DE3">
      <w:pPr>
        <w:tabs>
          <w:tab w:val="left" w:pos="2296"/>
        </w:tabs>
        <w:spacing w:line="600" w:lineRule="exact"/>
        <w:ind w:firstLineChars="200" w:firstLine="640"/>
        <w:rPr>
          <w:rFonts w:ascii="Times New Roman" w:eastAsia="仿宋_GB2312" w:hAnsi="Times New Roman" w:cs="Times New Roman"/>
          <w:sz w:val="32"/>
          <w:szCs w:val="32"/>
        </w:rPr>
      </w:pPr>
      <w:r>
        <w:rPr>
          <w:rFonts w:eastAsia="仿宋_GB2312"/>
          <w:sz w:val="32"/>
          <w:szCs w:val="32"/>
        </w:rPr>
        <w:t>项目支出系</w:t>
      </w:r>
      <w:r>
        <w:rPr>
          <w:rFonts w:eastAsia="仿宋_GB2312" w:hint="eastAsia"/>
          <w:sz w:val="32"/>
          <w:szCs w:val="32"/>
        </w:rPr>
        <w:t>我大队</w:t>
      </w:r>
      <w:r>
        <w:rPr>
          <w:rFonts w:eastAsia="仿宋_GB2312"/>
          <w:sz w:val="32"/>
          <w:szCs w:val="32"/>
        </w:rPr>
        <w:t>为完成财政财务管理工作而发生的支出，包括行业务工作经费和运行维护经费</w:t>
      </w:r>
      <w:r w:rsidR="00FC08F5">
        <w:rPr>
          <w:rFonts w:eastAsia="仿宋_GB2312"/>
          <w:sz w:val="32"/>
          <w:szCs w:val="32"/>
        </w:rPr>
        <w:t>。</w:t>
      </w:r>
      <w:r w:rsidR="00D15FE9">
        <w:rPr>
          <w:rFonts w:eastAsia="仿宋_GB2312"/>
          <w:sz w:val="32"/>
          <w:szCs w:val="32"/>
        </w:rPr>
        <w:t>2023</w:t>
      </w:r>
      <w:r w:rsidR="00C50870">
        <w:rPr>
          <w:rFonts w:eastAsia="仿宋_GB2312"/>
          <w:sz w:val="32"/>
          <w:szCs w:val="32"/>
        </w:rPr>
        <w:t>年项目支出</w:t>
      </w:r>
      <w:r w:rsidR="008A4F6A">
        <w:rPr>
          <w:rFonts w:eastAsia="仿宋_GB2312" w:hint="eastAsia"/>
          <w:sz w:val="32"/>
          <w:szCs w:val="32"/>
        </w:rPr>
        <w:t>100.86</w:t>
      </w:r>
      <w:r w:rsidR="00C50870">
        <w:rPr>
          <w:rFonts w:eastAsia="仿宋_GB2312"/>
          <w:sz w:val="32"/>
          <w:szCs w:val="32"/>
        </w:rPr>
        <w:t>万元，比上年</w:t>
      </w:r>
      <w:r w:rsidR="008A4F6A">
        <w:rPr>
          <w:rFonts w:eastAsia="仿宋_GB2312" w:hint="eastAsia"/>
          <w:sz w:val="32"/>
          <w:szCs w:val="32"/>
        </w:rPr>
        <w:t>120.45</w:t>
      </w:r>
      <w:r w:rsidR="00A84192">
        <w:rPr>
          <w:rFonts w:eastAsia="仿宋_GB2312" w:hint="eastAsia"/>
          <w:sz w:val="32"/>
          <w:szCs w:val="32"/>
        </w:rPr>
        <w:t>万元</w:t>
      </w:r>
      <w:r w:rsidR="00AE6310">
        <w:rPr>
          <w:rFonts w:eastAsia="仿宋_GB2312" w:hint="eastAsia"/>
          <w:sz w:val="32"/>
          <w:szCs w:val="32"/>
        </w:rPr>
        <w:t>减少</w:t>
      </w:r>
      <w:r w:rsidR="008A4F6A">
        <w:rPr>
          <w:rFonts w:eastAsia="仿宋_GB2312" w:hint="eastAsia"/>
          <w:sz w:val="32"/>
          <w:szCs w:val="32"/>
        </w:rPr>
        <w:t>19.59</w:t>
      </w:r>
      <w:r w:rsidR="00C50870">
        <w:rPr>
          <w:rFonts w:eastAsia="仿宋_GB2312"/>
          <w:sz w:val="32"/>
          <w:szCs w:val="32"/>
        </w:rPr>
        <w:t>万元</w:t>
      </w:r>
      <w:r w:rsidR="00C50870">
        <w:rPr>
          <w:rFonts w:eastAsia="仿宋_GB2312" w:hint="eastAsia"/>
          <w:sz w:val="32"/>
          <w:szCs w:val="32"/>
        </w:rPr>
        <w:t>，</w:t>
      </w:r>
      <w:r w:rsidR="00A84192">
        <w:rPr>
          <w:rFonts w:eastAsia="仿宋_GB2312"/>
          <w:sz w:val="32"/>
          <w:szCs w:val="32"/>
        </w:rPr>
        <w:t>其中业务工作经费支出</w:t>
      </w:r>
      <w:r w:rsidR="00A84192">
        <w:rPr>
          <w:rFonts w:eastAsia="仿宋_GB2312" w:hint="eastAsia"/>
          <w:sz w:val="32"/>
          <w:szCs w:val="32"/>
        </w:rPr>
        <w:t>0</w:t>
      </w:r>
      <w:r w:rsidR="00A84192">
        <w:rPr>
          <w:rFonts w:eastAsia="仿宋_GB2312"/>
          <w:sz w:val="32"/>
          <w:szCs w:val="32"/>
        </w:rPr>
        <w:t>万元，比上年</w:t>
      </w:r>
      <w:r w:rsidR="00A84192">
        <w:rPr>
          <w:rFonts w:eastAsia="仿宋_GB2312" w:hint="eastAsia"/>
          <w:sz w:val="32"/>
          <w:szCs w:val="32"/>
        </w:rPr>
        <w:t>减少</w:t>
      </w:r>
      <w:r w:rsidR="00A84192">
        <w:rPr>
          <w:rFonts w:eastAsia="仿宋_GB2312" w:hint="eastAsia"/>
          <w:sz w:val="32"/>
          <w:szCs w:val="32"/>
        </w:rPr>
        <w:t>0</w:t>
      </w:r>
      <w:r w:rsidR="00A84192">
        <w:rPr>
          <w:rFonts w:eastAsia="仿宋_GB2312"/>
          <w:sz w:val="32"/>
          <w:szCs w:val="32"/>
        </w:rPr>
        <w:t>万元，</w:t>
      </w:r>
      <w:r w:rsidR="00C50870">
        <w:rPr>
          <w:rFonts w:eastAsia="仿宋_GB2312"/>
          <w:sz w:val="32"/>
          <w:szCs w:val="32"/>
        </w:rPr>
        <w:t>主要是</w:t>
      </w:r>
      <w:r w:rsidR="00C50870">
        <w:rPr>
          <w:rFonts w:eastAsia="仿宋_GB2312" w:hint="eastAsia"/>
          <w:sz w:val="32"/>
          <w:szCs w:val="32"/>
        </w:rPr>
        <w:t>压缩一般性支出</w:t>
      </w:r>
      <w:r w:rsidR="00C50870">
        <w:rPr>
          <w:rFonts w:eastAsia="仿宋_GB2312"/>
          <w:sz w:val="32"/>
          <w:szCs w:val="32"/>
        </w:rPr>
        <w:t>；运行维护经费支出</w:t>
      </w:r>
      <w:r w:rsidR="008A4F6A">
        <w:rPr>
          <w:rFonts w:eastAsia="仿宋_GB2312" w:hint="eastAsia"/>
          <w:sz w:val="32"/>
          <w:szCs w:val="32"/>
        </w:rPr>
        <w:t>100.86</w:t>
      </w:r>
      <w:r w:rsidR="00C50870">
        <w:rPr>
          <w:rFonts w:eastAsia="仿宋_GB2312"/>
          <w:sz w:val="32"/>
          <w:szCs w:val="32"/>
        </w:rPr>
        <w:t>元，</w:t>
      </w:r>
      <w:r w:rsidR="00EA6BBE">
        <w:rPr>
          <w:rFonts w:eastAsia="仿宋_GB2312"/>
          <w:sz w:val="32"/>
          <w:szCs w:val="32"/>
        </w:rPr>
        <w:t>比上年</w:t>
      </w:r>
      <w:r w:rsidR="008A4F6A">
        <w:rPr>
          <w:rFonts w:eastAsia="仿宋_GB2312" w:hint="eastAsia"/>
          <w:sz w:val="32"/>
          <w:szCs w:val="32"/>
        </w:rPr>
        <w:t>120.45</w:t>
      </w:r>
      <w:r w:rsidR="00EA6BBE">
        <w:rPr>
          <w:rFonts w:eastAsia="仿宋_GB2312" w:hint="eastAsia"/>
          <w:sz w:val="32"/>
          <w:szCs w:val="32"/>
        </w:rPr>
        <w:t>万元减少</w:t>
      </w:r>
      <w:r w:rsidR="008A4F6A">
        <w:rPr>
          <w:rFonts w:eastAsia="仿宋_GB2312" w:hint="eastAsia"/>
          <w:sz w:val="32"/>
          <w:szCs w:val="32"/>
        </w:rPr>
        <w:t>19.59</w:t>
      </w:r>
      <w:r w:rsidR="00EA6BBE">
        <w:rPr>
          <w:rFonts w:eastAsia="仿宋_GB2312"/>
          <w:sz w:val="32"/>
          <w:szCs w:val="32"/>
        </w:rPr>
        <w:t>万元</w:t>
      </w:r>
      <w:r w:rsidR="00C50870">
        <w:rPr>
          <w:rFonts w:eastAsia="仿宋_GB2312"/>
          <w:sz w:val="32"/>
          <w:szCs w:val="32"/>
        </w:rPr>
        <w:t>，</w:t>
      </w:r>
      <w:r w:rsidR="00AE6310">
        <w:rPr>
          <w:rFonts w:eastAsia="仿宋_GB2312" w:hint="eastAsia"/>
          <w:sz w:val="32"/>
          <w:szCs w:val="32"/>
        </w:rPr>
        <w:t>减少</w:t>
      </w:r>
      <w:r w:rsidR="008A4F6A">
        <w:rPr>
          <w:rFonts w:eastAsia="仿宋_GB2312" w:hint="eastAsia"/>
          <w:sz w:val="32"/>
          <w:szCs w:val="32"/>
        </w:rPr>
        <w:t>16.26</w:t>
      </w:r>
      <w:r w:rsidR="00C50870">
        <w:rPr>
          <w:rFonts w:eastAsia="仿宋_GB2312"/>
          <w:sz w:val="32"/>
          <w:szCs w:val="32"/>
        </w:rPr>
        <w:t>%</w:t>
      </w:r>
      <w:r w:rsidR="00C50870">
        <w:rPr>
          <w:rFonts w:eastAsia="仿宋_GB2312"/>
          <w:sz w:val="32"/>
          <w:szCs w:val="32"/>
        </w:rPr>
        <w:t>，主要是</w:t>
      </w:r>
      <w:r w:rsidR="000666F6">
        <w:rPr>
          <w:rFonts w:eastAsia="仿宋_GB2312" w:hint="eastAsia"/>
          <w:color w:val="000000"/>
          <w:sz w:val="32"/>
          <w:szCs w:val="32"/>
        </w:rPr>
        <w:t>厉行节约、</w:t>
      </w:r>
      <w:r w:rsidR="00AE6310">
        <w:rPr>
          <w:rFonts w:eastAsia="仿宋_GB2312" w:hint="eastAsia"/>
          <w:sz w:val="32"/>
          <w:szCs w:val="32"/>
        </w:rPr>
        <w:t>无大额项目支出</w:t>
      </w:r>
      <w:r w:rsidR="00ED5AA3">
        <w:rPr>
          <w:rFonts w:eastAsia="仿宋_GB2312" w:hint="eastAsia"/>
          <w:sz w:val="32"/>
          <w:szCs w:val="32"/>
        </w:rPr>
        <w:t>。</w:t>
      </w:r>
      <w:r w:rsidR="00ED5AA3">
        <w:rPr>
          <w:rFonts w:ascii="Times New Roman" w:eastAsia="仿宋_GB2312" w:hAnsi="Times New Roman" w:cs="Times New Roman"/>
          <w:sz w:val="32"/>
          <w:szCs w:val="32"/>
        </w:rPr>
        <w:t xml:space="preserve"> </w:t>
      </w:r>
    </w:p>
    <w:p w:rsidR="00E4748B" w:rsidRDefault="00C50870">
      <w:pPr>
        <w:widowControl/>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部门整体支出绩效情况</w:t>
      </w:r>
    </w:p>
    <w:p w:rsidR="009A4BDF" w:rsidRDefault="00F80A99" w:rsidP="009A4BDF">
      <w:pPr>
        <w:widowControl/>
        <w:spacing w:line="600" w:lineRule="exact"/>
        <w:ind w:firstLineChars="200" w:firstLine="640"/>
        <w:jc w:val="left"/>
        <w:rPr>
          <w:rFonts w:ascii="Times New Roman" w:eastAsia="仿宋_GB2312" w:hAnsi="Times New Roman"/>
          <w:sz w:val="32"/>
          <w:szCs w:val="32"/>
        </w:rPr>
      </w:pPr>
      <w:r w:rsidRPr="00F80A99">
        <w:rPr>
          <w:rFonts w:ascii="Times New Roman" w:eastAsia="仿宋_GB2312" w:hAnsi="Times New Roman" w:hint="eastAsia"/>
          <w:sz w:val="32"/>
          <w:szCs w:val="32"/>
        </w:rPr>
        <w:lastRenderedPageBreak/>
        <w:t>综上所述，</w:t>
      </w:r>
      <w:r w:rsidR="00D15FE9">
        <w:rPr>
          <w:rFonts w:ascii="Times New Roman" w:eastAsia="仿宋_GB2312" w:hAnsi="Times New Roman" w:hint="eastAsia"/>
          <w:sz w:val="32"/>
          <w:szCs w:val="32"/>
        </w:rPr>
        <w:t>2023</w:t>
      </w:r>
      <w:r w:rsidRPr="00F80A99">
        <w:rPr>
          <w:rFonts w:ascii="Times New Roman" w:eastAsia="仿宋_GB2312" w:hAnsi="Times New Roman" w:hint="eastAsia"/>
          <w:sz w:val="32"/>
          <w:szCs w:val="32"/>
        </w:rPr>
        <w:t>年度我</w:t>
      </w:r>
      <w:r w:rsidR="0096310C">
        <w:rPr>
          <w:rFonts w:ascii="Times New Roman" w:eastAsia="仿宋_GB2312" w:hAnsi="Times New Roman" w:hint="eastAsia"/>
          <w:sz w:val="32"/>
          <w:szCs w:val="32"/>
        </w:rPr>
        <w:t>大队</w:t>
      </w:r>
      <w:r w:rsidR="009A4BDF">
        <w:rPr>
          <w:rFonts w:ascii="Times New Roman" w:eastAsia="仿宋_GB2312" w:hAnsi="Times New Roman" w:hint="eastAsia"/>
          <w:sz w:val="32"/>
          <w:szCs w:val="32"/>
        </w:rPr>
        <w:t>努力做好各项</w:t>
      </w:r>
      <w:r w:rsidRPr="00F80A99">
        <w:rPr>
          <w:rFonts w:ascii="Times New Roman" w:eastAsia="仿宋_GB2312" w:hAnsi="Times New Roman" w:hint="eastAsia"/>
          <w:sz w:val="32"/>
          <w:szCs w:val="32"/>
        </w:rPr>
        <w:t>支出以及各项目</w:t>
      </w:r>
      <w:r w:rsidR="009A4BDF">
        <w:rPr>
          <w:rFonts w:ascii="Times New Roman" w:eastAsia="仿宋_GB2312" w:hAnsi="Times New Roman" w:hint="eastAsia"/>
          <w:sz w:val="32"/>
          <w:szCs w:val="32"/>
        </w:rPr>
        <w:t>的管理工作，并将及时公开到财政管理平台，对</w:t>
      </w:r>
      <w:r w:rsidRPr="00F80A99">
        <w:rPr>
          <w:rFonts w:ascii="Times New Roman" w:eastAsia="仿宋_GB2312" w:hAnsi="Times New Roman" w:hint="eastAsia"/>
          <w:sz w:val="32"/>
          <w:szCs w:val="32"/>
        </w:rPr>
        <w:t>资金进行全方位的监督和管理，使每一笔资金都能起到最大的使用效益。结合我校实际将支出进行合理化分配，以达到合理高效地运用资金、提升资金的产出效果、节约成本与资源、</w:t>
      </w:r>
      <w:r w:rsidR="009A4BDF">
        <w:rPr>
          <w:rFonts w:ascii="Times New Roman" w:eastAsia="仿宋_GB2312" w:hAnsi="Times New Roman" w:hint="eastAsia"/>
          <w:sz w:val="32"/>
          <w:szCs w:val="32"/>
        </w:rPr>
        <w:t>提高部门的办事效率</w:t>
      </w:r>
      <w:r w:rsidRPr="00F80A99">
        <w:rPr>
          <w:rFonts w:ascii="Times New Roman" w:eastAsia="仿宋_GB2312" w:hAnsi="Times New Roman" w:hint="eastAsia"/>
          <w:sz w:val="32"/>
          <w:szCs w:val="32"/>
        </w:rPr>
        <w:t>。在部门预算</w:t>
      </w:r>
      <w:r w:rsidR="009A4BDF">
        <w:rPr>
          <w:rFonts w:ascii="Times New Roman" w:eastAsia="仿宋_GB2312" w:hAnsi="Times New Roman" w:hint="eastAsia"/>
          <w:sz w:val="32"/>
          <w:szCs w:val="32"/>
        </w:rPr>
        <w:t>整体支出绩效方面</w:t>
      </w:r>
      <w:r w:rsidRPr="00F80A99">
        <w:rPr>
          <w:rFonts w:ascii="Times New Roman" w:eastAsia="仿宋_GB2312" w:hAnsi="Times New Roman" w:hint="eastAsia"/>
          <w:sz w:val="32"/>
          <w:szCs w:val="32"/>
        </w:rPr>
        <w:t>按规定严格执行，合</w:t>
      </w:r>
      <w:r w:rsidR="009A4BDF">
        <w:rPr>
          <w:rFonts w:ascii="Times New Roman" w:eastAsia="仿宋_GB2312" w:hAnsi="Times New Roman" w:hint="eastAsia"/>
          <w:sz w:val="32"/>
          <w:szCs w:val="32"/>
        </w:rPr>
        <w:t>理安排支出，使财政资金发挥出最大的效</w:t>
      </w:r>
      <w:r w:rsidRPr="00F80A99">
        <w:rPr>
          <w:rFonts w:ascii="Times New Roman" w:eastAsia="仿宋_GB2312" w:hAnsi="Times New Roman" w:hint="eastAsia"/>
          <w:sz w:val="32"/>
          <w:szCs w:val="32"/>
        </w:rPr>
        <w:t>益。</w:t>
      </w:r>
    </w:p>
    <w:p w:rsidR="00E4748B" w:rsidRDefault="00C50870">
      <w:pPr>
        <w:widowControl/>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存在的问题及原因分析</w:t>
      </w:r>
    </w:p>
    <w:p w:rsidR="00E4748B" w:rsidRDefault="00BB4595">
      <w:pPr>
        <w:spacing w:line="600" w:lineRule="exact"/>
        <w:ind w:firstLineChars="200" w:firstLine="640"/>
        <w:rPr>
          <w:rFonts w:eastAsia="仿宋_GB2312"/>
          <w:sz w:val="32"/>
          <w:szCs w:val="32"/>
        </w:rPr>
      </w:pPr>
      <w:r>
        <w:rPr>
          <w:rFonts w:eastAsia="仿宋_GB2312"/>
          <w:sz w:val="32"/>
          <w:szCs w:val="32"/>
        </w:rPr>
        <w:t>通过前述对我</w:t>
      </w:r>
      <w:r w:rsidR="002C133B">
        <w:rPr>
          <w:rFonts w:eastAsia="仿宋_GB2312" w:hint="eastAsia"/>
          <w:sz w:val="32"/>
          <w:szCs w:val="32"/>
        </w:rPr>
        <w:t>单位</w:t>
      </w:r>
      <w:r w:rsidR="00C50870">
        <w:rPr>
          <w:rFonts w:eastAsia="仿宋_GB2312"/>
          <w:sz w:val="32"/>
          <w:szCs w:val="32"/>
        </w:rPr>
        <w:t>整体支出情况的分析，反映出目前整体支出主要在预算执行方面还存在一些问题和不足：</w:t>
      </w:r>
    </w:p>
    <w:p w:rsidR="00E4748B" w:rsidRDefault="00C50870">
      <w:pPr>
        <w:spacing w:line="600" w:lineRule="exact"/>
        <w:ind w:firstLineChars="200" w:firstLine="643"/>
        <w:rPr>
          <w:rFonts w:ascii="Calibri" w:eastAsia="楷体_GB2312" w:hAnsi="Calibri" w:cs="Times New Roman"/>
          <w:b/>
          <w:sz w:val="32"/>
          <w:szCs w:val="32"/>
        </w:rPr>
      </w:pPr>
      <w:r>
        <w:rPr>
          <w:rFonts w:ascii="Calibri" w:eastAsia="楷体_GB2312" w:hAnsi="Calibri" w:cs="Times New Roman" w:hint="eastAsia"/>
          <w:b/>
          <w:sz w:val="32"/>
          <w:szCs w:val="32"/>
        </w:rPr>
        <w:t>（一）部分项目完成度有待提升。</w:t>
      </w:r>
    </w:p>
    <w:p w:rsidR="00E4748B" w:rsidRDefault="00C50870">
      <w:pPr>
        <w:spacing w:line="600" w:lineRule="exact"/>
        <w:ind w:firstLineChars="200" w:firstLine="640"/>
        <w:rPr>
          <w:rFonts w:eastAsia="仿宋_GB2312"/>
          <w:sz w:val="32"/>
          <w:szCs w:val="32"/>
        </w:rPr>
      </w:pPr>
      <w:r>
        <w:rPr>
          <w:rFonts w:eastAsia="仿宋_GB2312" w:hint="eastAsia"/>
          <w:sz w:val="32"/>
          <w:szCs w:val="32"/>
        </w:rPr>
        <w:t>由于疫情冲击影响的客观因素，以及牢固树立过紧日子思想，主动压缩非重点、刚性支出的主观因素，导致部分预算</w:t>
      </w:r>
      <w:r w:rsidR="00BB4595">
        <w:rPr>
          <w:rFonts w:eastAsia="仿宋_GB2312" w:hint="eastAsia"/>
          <w:sz w:val="32"/>
          <w:szCs w:val="32"/>
        </w:rPr>
        <w:t>项目如培训费、出国费预算执行情况不理想，其中培训费实际支付进度为</w:t>
      </w:r>
      <w:r w:rsidR="00AE6310">
        <w:rPr>
          <w:rFonts w:eastAsia="仿宋_GB2312" w:hint="eastAsia"/>
          <w:sz w:val="32"/>
          <w:szCs w:val="32"/>
        </w:rPr>
        <w:t>0</w:t>
      </w:r>
      <w:r>
        <w:rPr>
          <w:rFonts w:eastAsia="仿宋_GB2312" w:hint="eastAsia"/>
          <w:sz w:val="32"/>
          <w:szCs w:val="32"/>
        </w:rPr>
        <w:t xml:space="preserve">% </w:t>
      </w:r>
      <w:r>
        <w:rPr>
          <w:rFonts w:eastAsia="仿宋_GB2312" w:hint="eastAsia"/>
          <w:sz w:val="32"/>
          <w:szCs w:val="32"/>
        </w:rPr>
        <w:t>，出国费实际支付进度为</w:t>
      </w:r>
      <w:r>
        <w:rPr>
          <w:rFonts w:eastAsia="仿宋_GB2312" w:hint="eastAsia"/>
          <w:sz w:val="32"/>
          <w:szCs w:val="32"/>
        </w:rPr>
        <w:t>0</w:t>
      </w:r>
      <w:r>
        <w:rPr>
          <w:rFonts w:eastAsia="仿宋_GB2312" w:hint="eastAsia"/>
          <w:sz w:val="32"/>
          <w:szCs w:val="32"/>
        </w:rPr>
        <w:t>。我们将在</w:t>
      </w:r>
      <w:r>
        <w:rPr>
          <w:rFonts w:eastAsia="仿宋_GB2312"/>
          <w:sz w:val="32"/>
          <w:szCs w:val="32"/>
        </w:rPr>
        <w:t>下年加以重视，</w:t>
      </w:r>
      <w:r>
        <w:rPr>
          <w:rFonts w:eastAsia="仿宋_GB2312" w:hint="eastAsia"/>
          <w:sz w:val="32"/>
          <w:szCs w:val="32"/>
        </w:rPr>
        <w:t>提前谋划，科学编制项目预算，进一步提高预算编制的精确性。</w:t>
      </w:r>
    </w:p>
    <w:p w:rsidR="00E4748B" w:rsidRDefault="00C50870">
      <w:pPr>
        <w:spacing w:line="600" w:lineRule="exact"/>
        <w:ind w:firstLineChars="200" w:firstLine="643"/>
        <w:rPr>
          <w:rFonts w:ascii="Calibri" w:eastAsia="楷体_GB2312" w:hAnsi="Calibri" w:cs="Times New Roman"/>
          <w:b/>
          <w:sz w:val="32"/>
          <w:szCs w:val="32"/>
        </w:rPr>
      </w:pPr>
      <w:r>
        <w:rPr>
          <w:rFonts w:ascii="Calibri" w:eastAsia="楷体_GB2312" w:hAnsi="Calibri" w:cs="Times New Roman" w:hint="eastAsia"/>
          <w:b/>
          <w:sz w:val="32"/>
          <w:szCs w:val="32"/>
        </w:rPr>
        <w:t>（二）部分项目实施与预算执行存在脱节。</w:t>
      </w:r>
    </w:p>
    <w:p w:rsidR="00E4748B" w:rsidRDefault="00C50870">
      <w:pPr>
        <w:spacing w:line="600" w:lineRule="exact"/>
        <w:ind w:firstLineChars="200" w:firstLine="640"/>
        <w:rPr>
          <w:rFonts w:eastAsia="仿宋_GB2312"/>
          <w:sz w:val="32"/>
          <w:szCs w:val="32"/>
        </w:rPr>
      </w:pPr>
      <w:r>
        <w:rPr>
          <w:rFonts w:eastAsia="仿宋_GB2312" w:hint="eastAsia"/>
          <w:sz w:val="32"/>
          <w:szCs w:val="32"/>
        </w:rPr>
        <w:t>受疫情影响，部分项目启动较晚，实施周期相对较长，导致项目验收晚，预算执行进度偏慢，相对比较集中。我们将在下年予以重视，督促项目实施单位早启动、早实施、早验收，对符合条件的项目按照项目进度支付相关款项。</w:t>
      </w:r>
    </w:p>
    <w:p w:rsidR="00E4748B" w:rsidRDefault="00C50870">
      <w:pPr>
        <w:widowControl/>
        <w:numPr>
          <w:ilvl w:val="0"/>
          <w:numId w:val="3"/>
        </w:num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下一步改进措施</w:t>
      </w:r>
    </w:p>
    <w:p w:rsidR="00E4748B" w:rsidRDefault="00C50870">
      <w:pPr>
        <w:spacing w:line="600" w:lineRule="exact"/>
        <w:ind w:firstLineChars="200" w:firstLine="640"/>
        <w:rPr>
          <w:rFonts w:eastAsia="仿宋_GB2312"/>
          <w:sz w:val="32"/>
          <w:szCs w:val="32"/>
        </w:rPr>
      </w:pPr>
      <w:r>
        <w:rPr>
          <w:rFonts w:eastAsia="仿宋_GB2312"/>
          <w:sz w:val="32"/>
          <w:szCs w:val="32"/>
        </w:rPr>
        <w:lastRenderedPageBreak/>
        <w:t>针对上述存在的问题，拟采取以下改进措施：</w:t>
      </w:r>
    </w:p>
    <w:p w:rsidR="00E4748B" w:rsidRDefault="00C50870">
      <w:pPr>
        <w:widowControl/>
        <w:spacing w:line="600" w:lineRule="exact"/>
        <w:ind w:firstLineChars="200" w:firstLine="640"/>
        <w:jc w:val="left"/>
        <w:rPr>
          <w:rFonts w:ascii="宋体" w:eastAsia="宋体" w:hAnsi="宋体" w:cs="宋体"/>
          <w:sz w:val="30"/>
          <w:szCs w:val="30"/>
        </w:rPr>
      </w:pPr>
      <w:r>
        <w:rPr>
          <w:rFonts w:ascii="仿宋_GB2312" w:eastAsia="仿宋_GB2312" w:hAnsi="仿宋_GB2312" w:cs="仿宋_GB2312" w:hint="eastAsia"/>
          <w:bCs/>
          <w:sz w:val="32"/>
          <w:szCs w:val="32"/>
        </w:rPr>
        <w:t>强化预算管理，定期开展预算执行分析。</w:t>
      </w:r>
      <w:r>
        <w:rPr>
          <w:rFonts w:eastAsia="仿宋_GB2312" w:hint="eastAsia"/>
          <w:sz w:val="32"/>
          <w:szCs w:val="32"/>
        </w:rPr>
        <w:t>通过定期对项目实施和预算执行情况进行梳理，及时掌握项目进度，督促项目实施单位早启动、早实施、早验收，对符合条件的项目按照项目进度支付相关款项，将预算资金管理贯穿于项目实施全过程中。对未启动项目及时分析原因，根据资金使用情况调整下年预算安排。</w:t>
      </w:r>
    </w:p>
    <w:sectPr w:rsidR="00E4748B" w:rsidSect="00E4748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ABB" w:rsidRDefault="00743ABB" w:rsidP="00E4748B">
      <w:r>
        <w:separator/>
      </w:r>
    </w:p>
  </w:endnote>
  <w:endnote w:type="continuationSeparator" w:id="1">
    <w:p w:rsidR="00743ABB" w:rsidRDefault="00743ABB" w:rsidP="00E47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8B" w:rsidRDefault="005823FA">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4748B" w:rsidRDefault="005823FA">
                <w:pPr>
                  <w:pStyle w:val="a3"/>
                </w:pPr>
                <w:r>
                  <w:rPr>
                    <w:rFonts w:hint="eastAsia"/>
                  </w:rPr>
                  <w:fldChar w:fldCharType="begin"/>
                </w:r>
                <w:r w:rsidR="00C50870">
                  <w:rPr>
                    <w:rFonts w:hint="eastAsia"/>
                  </w:rPr>
                  <w:instrText xml:space="preserve"> PAGE  \* MERGEFORMAT </w:instrText>
                </w:r>
                <w:r>
                  <w:rPr>
                    <w:rFonts w:hint="eastAsia"/>
                  </w:rPr>
                  <w:fldChar w:fldCharType="separate"/>
                </w:r>
                <w:r w:rsidR="00196E77">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ABB" w:rsidRDefault="00743ABB" w:rsidP="00E4748B">
      <w:r>
        <w:separator/>
      </w:r>
    </w:p>
  </w:footnote>
  <w:footnote w:type="continuationSeparator" w:id="1">
    <w:p w:rsidR="00743ABB" w:rsidRDefault="00743ABB" w:rsidP="00E474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39CCF1"/>
    <w:multiLevelType w:val="singleLevel"/>
    <w:tmpl w:val="F639CCF1"/>
    <w:lvl w:ilvl="0">
      <w:start w:val="2"/>
      <w:numFmt w:val="chineseCounting"/>
      <w:suff w:val="nothing"/>
      <w:lvlText w:val="%1、"/>
      <w:lvlJc w:val="left"/>
      <w:rPr>
        <w:rFonts w:hint="eastAsia"/>
      </w:rPr>
    </w:lvl>
  </w:abstractNum>
  <w:abstractNum w:abstractNumId="1">
    <w:nsid w:val="524028E5"/>
    <w:multiLevelType w:val="singleLevel"/>
    <w:tmpl w:val="524028E5"/>
    <w:lvl w:ilvl="0">
      <w:start w:val="1"/>
      <w:numFmt w:val="chineseCounting"/>
      <w:suff w:val="nothing"/>
      <w:lvlText w:val="%1、"/>
      <w:lvlJc w:val="left"/>
      <w:rPr>
        <w:rFonts w:hint="eastAsia"/>
      </w:rPr>
    </w:lvl>
  </w:abstractNum>
  <w:abstractNum w:abstractNumId="2">
    <w:nsid w:val="692A871F"/>
    <w:multiLevelType w:val="singleLevel"/>
    <w:tmpl w:val="692A871F"/>
    <w:lvl w:ilvl="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8E06247"/>
    <w:rsid w:val="000666F6"/>
    <w:rsid w:val="00070ECB"/>
    <w:rsid w:val="001462D1"/>
    <w:rsid w:val="001746FD"/>
    <w:rsid w:val="00196E77"/>
    <w:rsid w:val="001F3CD0"/>
    <w:rsid w:val="00275844"/>
    <w:rsid w:val="002C133B"/>
    <w:rsid w:val="002D0008"/>
    <w:rsid w:val="0036613A"/>
    <w:rsid w:val="003A44C4"/>
    <w:rsid w:val="003C2F28"/>
    <w:rsid w:val="003C39DB"/>
    <w:rsid w:val="00486DC0"/>
    <w:rsid w:val="005823FA"/>
    <w:rsid w:val="00596203"/>
    <w:rsid w:val="00604812"/>
    <w:rsid w:val="00606478"/>
    <w:rsid w:val="006772D8"/>
    <w:rsid w:val="00743ABB"/>
    <w:rsid w:val="007D40EC"/>
    <w:rsid w:val="00863BF5"/>
    <w:rsid w:val="00881676"/>
    <w:rsid w:val="008A4F6A"/>
    <w:rsid w:val="008C2EE2"/>
    <w:rsid w:val="008D0568"/>
    <w:rsid w:val="008E52BF"/>
    <w:rsid w:val="009226F4"/>
    <w:rsid w:val="0096310C"/>
    <w:rsid w:val="009A4BDF"/>
    <w:rsid w:val="00A03E35"/>
    <w:rsid w:val="00A83B82"/>
    <w:rsid w:val="00A84192"/>
    <w:rsid w:val="00A91476"/>
    <w:rsid w:val="00AB2C25"/>
    <w:rsid w:val="00AE6310"/>
    <w:rsid w:val="00B02D1F"/>
    <w:rsid w:val="00B32BE9"/>
    <w:rsid w:val="00B57950"/>
    <w:rsid w:val="00B87DAE"/>
    <w:rsid w:val="00BB4595"/>
    <w:rsid w:val="00C31CFE"/>
    <w:rsid w:val="00C50870"/>
    <w:rsid w:val="00D15FE9"/>
    <w:rsid w:val="00D50658"/>
    <w:rsid w:val="00D52406"/>
    <w:rsid w:val="00D5731C"/>
    <w:rsid w:val="00DC623E"/>
    <w:rsid w:val="00DF0434"/>
    <w:rsid w:val="00DF69EC"/>
    <w:rsid w:val="00E4748B"/>
    <w:rsid w:val="00E52766"/>
    <w:rsid w:val="00EA6BBE"/>
    <w:rsid w:val="00ED5AA3"/>
    <w:rsid w:val="00F32DE3"/>
    <w:rsid w:val="00F437A6"/>
    <w:rsid w:val="00F76D10"/>
    <w:rsid w:val="00F80A99"/>
    <w:rsid w:val="00FC08F5"/>
    <w:rsid w:val="103C1D0B"/>
    <w:rsid w:val="149B2A0B"/>
    <w:rsid w:val="20E67351"/>
    <w:rsid w:val="28606852"/>
    <w:rsid w:val="29121970"/>
    <w:rsid w:val="29EF7861"/>
    <w:rsid w:val="2ADA6473"/>
    <w:rsid w:val="30BE2A8F"/>
    <w:rsid w:val="429F3322"/>
    <w:rsid w:val="43102595"/>
    <w:rsid w:val="4A1504A0"/>
    <w:rsid w:val="52C14B04"/>
    <w:rsid w:val="55A02E49"/>
    <w:rsid w:val="58E06247"/>
    <w:rsid w:val="5DA220D3"/>
    <w:rsid w:val="64A2122F"/>
    <w:rsid w:val="6713109A"/>
    <w:rsid w:val="67B42849"/>
    <w:rsid w:val="71BD756A"/>
    <w:rsid w:val="751B67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748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4748B"/>
    <w:pPr>
      <w:tabs>
        <w:tab w:val="center" w:pos="4153"/>
        <w:tab w:val="right" w:pos="8306"/>
      </w:tabs>
      <w:snapToGrid w:val="0"/>
      <w:jc w:val="left"/>
    </w:pPr>
    <w:rPr>
      <w:sz w:val="18"/>
    </w:rPr>
  </w:style>
  <w:style w:type="paragraph" w:styleId="a4">
    <w:name w:val="header"/>
    <w:basedOn w:val="a"/>
    <w:qFormat/>
    <w:rsid w:val="00E4748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E4748B"/>
    <w:pPr>
      <w:widowControl/>
      <w:spacing w:before="100" w:beforeAutospacing="1" w:after="100" w:afterAutospacing="1"/>
      <w:jc w:val="left"/>
    </w:pPr>
    <w:rPr>
      <w:rFonts w:ascii="宋体" w:hAnsi="宋体" w:cs="宋体"/>
      <w:kern w:val="0"/>
      <w:sz w:val="24"/>
    </w:rPr>
  </w:style>
  <w:style w:type="paragraph" w:customStyle="1" w:styleId="3">
    <w:name w:val="样式3"/>
    <w:basedOn w:val="a"/>
    <w:qFormat/>
    <w:rsid w:val="00E4748B"/>
    <w:rPr>
      <w:rFonts w:ascii="Times New Roman" w:eastAsia="仿宋_GB2312" w:hAnsi="Times New Roman" w:cs="Times New Roman"/>
      <w:spacing w:val="113"/>
      <w:sz w:val="32"/>
    </w:rPr>
  </w:style>
  <w:style w:type="paragraph" w:customStyle="1" w:styleId="4">
    <w:name w:val="样式4"/>
    <w:basedOn w:val="a"/>
    <w:qFormat/>
    <w:rsid w:val="00E4748B"/>
    <w:rPr>
      <w:rFonts w:ascii="Times New Roman" w:eastAsia="仿宋_GB2312" w:hAnsi="Times New Roman" w:cs="Times New Roman"/>
      <w:snapToGrid w:val="0"/>
      <w:spacing w:val="79"/>
      <w:sz w:val="32"/>
    </w:rPr>
  </w:style>
  <w:style w:type="paragraph" w:customStyle="1" w:styleId="6">
    <w:name w:val="样式6"/>
    <w:basedOn w:val="a"/>
    <w:qFormat/>
    <w:rsid w:val="00E4748B"/>
    <w:rPr>
      <w:rFonts w:ascii="Times New Roman" w:eastAsia="仿宋_GB2312" w:hAnsi="Times New Roman" w:cs="Times New Roman"/>
      <w:spacing w:val="57"/>
      <w:sz w:val="32"/>
    </w:rPr>
  </w:style>
</w:styles>
</file>

<file path=word/webSettings.xml><?xml version="1.0" encoding="utf-8"?>
<w:webSettings xmlns:r="http://schemas.openxmlformats.org/officeDocument/2006/relationships" xmlns:w="http://schemas.openxmlformats.org/wordprocessingml/2006/main">
  <w:divs>
    <w:div w:id="660159313">
      <w:bodyDiv w:val="1"/>
      <w:marLeft w:val="0"/>
      <w:marRight w:val="0"/>
      <w:marTop w:val="0"/>
      <w:marBottom w:val="0"/>
      <w:divBdr>
        <w:top w:val="none" w:sz="0" w:space="0" w:color="auto"/>
        <w:left w:val="none" w:sz="0" w:space="0" w:color="auto"/>
        <w:bottom w:val="none" w:sz="0" w:space="0" w:color="auto"/>
        <w:right w:val="none" w:sz="0" w:space="0" w:color="auto"/>
      </w:divBdr>
    </w:div>
    <w:div w:id="1390306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142</Characters>
  <Application>Microsoft Office Word</Application>
  <DocSecurity>0</DocSecurity>
  <Lines>1</Lines>
  <Paragraphs>3</Paragraphs>
  <ScaleCrop>false</ScaleCrop>
  <Company>微软中国</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2022-12-08T01:17:00Z</cp:lastPrinted>
  <dcterms:created xsi:type="dcterms:W3CDTF">2024-04-28T03:14:00Z</dcterms:created>
  <dcterms:modified xsi:type="dcterms:W3CDTF">2024-04-28T03:14:00Z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