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_GBK"/>
          <w:b/>
          <w:bCs/>
          <w:sz w:val="36"/>
          <w:szCs w:val="36"/>
        </w:rPr>
      </w:pPr>
      <w:r>
        <w:rPr>
          <w:rFonts w:hint="eastAsia" w:ascii="方正小标宋简体" w:hAnsi="方正小标宋简体" w:eastAsia="方正小标宋简体" w:cs="方正小标宋简体"/>
          <w:b/>
          <w:bCs/>
          <w:sz w:val="36"/>
          <w:szCs w:val="36"/>
        </w:rPr>
        <w:t>20</w:t>
      </w:r>
      <w:r>
        <w:rPr>
          <w:rFonts w:hint="eastAsia" w:ascii="方正小标宋简体" w:hAnsi="方正小标宋简体" w:eastAsia="方正小标宋简体" w:cs="方正小标宋简体"/>
          <w:b/>
          <w:bCs/>
          <w:sz w:val="36"/>
          <w:szCs w:val="36"/>
          <w:lang w:val="en-US" w:eastAsia="zh-CN"/>
        </w:rPr>
        <w:t>24</w:t>
      </w:r>
      <w:r>
        <w:rPr>
          <w:rFonts w:hint="eastAsia" w:ascii="方正小标宋简体" w:hAnsi="方正小标宋简体" w:eastAsia="方正小标宋简体" w:cs="方正小标宋简体"/>
          <w:b/>
          <w:bCs/>
          <w:sz w:val="36"/>
          <w:szCs w:val="36"/>
        </w:rPr>
        <w:t>年度部门整体支出绩效</w:t>
      </w:r>
      <w:r>
        <w:rPr>
          <w:rFonts w:hint="eastAsia" w:ascii="方正小标宋简体" w:hAnsi="方正小标宋简体" w:eastAsia="方正小标宋简体" w:cs="方正小标宋简体"/>
          <w:b/>
          <w:bCs/>
          <w:sz w:val="36"/>
          <w:szCs w:val="36"/>
          <w:lang w:eastAsia="zh-CN"/>
        </w:rPr>
        <w:t>自</w:t>
      </w:r>
      <w:r>
        <w:rPr>
          <w:rFonts w:hint="eastAsia" w:ascii="方正小标宋简体" w:hAnsi="方正小标宋简体" w:eastAsia="方正小标宋简体" w:cs="方正小标宋简体"/>
          <w:b/>
          <w:bCs/>
          <w:sz w:val="36"/>
          <w:szCs w:val="36"/>
        </w:rPr>
        <w:t>评报告</w:t>
      </w:r>
    </w:p>
    <w:p>
      <w:pPr>
        <w:spacing w:line="600" w:lineRule="exact"/>
        <w:ind w:firstLine="645"/>
        <w:rPr>
          <w:rFonts w:eastAsia="仿宋_GB2312"/>
          <w:sz w:val="32"/>
          <w:szCs w:val="32"/>
        </w:rPr>
      </w:pPr>
    </w:p>
    <w:p>
      <w:pPr>
        <w:numPr>
          <w:ilvl w:val="0"/>
          <w:numId w:val="0"/>
        </w:numPr>
        <w:ind w:firstLine="640" w:firstLineChars="200"/>
        <w:rPr>
          <w:rFonts w:hint="eastAsia" w:ascii="黑体" w:hAnsi="Times New Roman" w:eastAsia="黑体" w:cs="Times New Roman"/>
          <w:sz w:val="32"/>
          <w:szCs w:val="32"/>
        </w:rPr>
      </w:pPr>
      <w:r>
        <w:rPr>
          <w:rFonts w:hint="eastAsia" w:ascii="黑体" w:hAnsi="Times New Roman" w:eastAsia="黑体" w:cs="Times New Roman"/>
          <w:sz w:val="32"/>
          <w:szCs w:val="32"/>
          <w:lang w:eastAsia="zh-CN"/>
        </w:rPr>
        <w:t>一、</w:t>
      </w:r>
      <w:r>
        <w:rPr>
          <w:rFonts w:hint="eastAsia" w:ascii="黑体" w:hAnsi="Times New Roman" w:eastAsia="黑体" w:cs="Times New Roman"/>
          <w:sz w:val="32"/>
          <w:szCs w:val="32"/>
        </w:rPr>
        <w:t>部门（单位）基本情况</w:t>
      </w:r>
    </w:p>
    <w:p>
      <w:pPr>
        <w:widowControl/>
        <w:spacing w:line="600" w:lineRule="exact"/>
        <w:ind w:firstLine="630" w:firstLineChars="196"/>
        <w:jc w:val="left"/>
        <w:rPr>
          <w:rFonts w:eastAsia="楷体_GB2312"/>
          <w:b/>
          <w:snapToGrid w:val="0"/>
          <w:kern w:val="0"/>
          <w:sz w:val="32"/>
          <w:szCs w:val="32"/>
        </w:rPr>
      </w:pPr>
      <w:r>
        <w:rPr>
          <w:rFonts w:eastAsia="楷体_GB2312"/>
          <w:b/>
          <w:snapToGrid w:val="0"/>
          <w:kern w:val="0"/>
          <w:sz w:val="32"/>
          <w:szCs w:val="32"/>
        </w:rPr>
        <w:t>（一）部门职能职责</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1</w:t>
      </w:r>
      <w:r>
        <w:rPr>
          <w:rFonts w:hint="default" w:ascii="仿宋_GB2312" w:hAnsi="Times New Roman" w:eastAsia="仿宋_GB2312" w:cs="仿宋_GB2312"/>
          <w:b w:val="0"/>
          <w:bCs/>
          <w:kern w:val="2"/>
          <w:sz w:val="30"/>
          <w:szCs w:val="30"/>
          <w:shd w:val="clear" w:color="auto" w:fill="FFFFFF"/>
          <w:lang w:val="en-US" w:eastAsia="zh-CN" w:bidi="ar"/>
        </w:rPr>
        <w:t xml:space="preserve">）统筹研究农业农村工作的发展中长期规划和重大政策，经批准后组织实施。承担农业综合执法。参与涉农财税、价格、金融保险等政策拟订，提出农业产业保护的政策建议，推进农业依法行政。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2</w:t>
      </w:r>
      <w:r>
        <w:rPr>
          <w:rFonts w:hint="default" w:ascii="仿宋_GB2312" w:hAnsi="Times New Roman" w:eastAsia="仿宋_GB2312" w:cs="仿宋_GB2312"/>
          <w:b w:val="0"/>
          <w:bCs/>
          <w:kern w:val="2"/>
          <w:sz w:val="30"/>
          <w:szCs w:val="30"/>
          <w:shd w:val="clear" w:color="auto" w:fill="FFFFFF"/>
          <w:lang w:val="en-US" w:eastAsia="zh-CN" w:bidi="ar"/>
        </w:rPr>
        <w:t xml:space="preserve">）统筹推动发展农村社会事业、农村公共服务、农村文化、农村基础设施和乡村治理。牵头组织改善农村人居环境，指导农村精神文明和优秀农耕文化建设。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3</w:t>
      </w:r>
      <w:r>
        <w:rPr>
          <w:rFonts w:hint="default" w:ascii="仿宋_GB2312" w:hAnsi="Times New Roman" w:eastAsia="仿宋_GB2312" w:cs="仿宋_GB2312"/>
          <w:b w:val="0"/>
          <w:bCs/>
          <w:kern w:val="2"/>
          <w:sz w:val="30"/>
          <w:szCs w:val="30"/>
          <w:shd w:val="clear" w:color="auto" w:fill="FFFFFF"/>
          <w:lang w:val="en-US" w:eastAsia="zh-CN" w:bidi="ar"/>
        </w:rPr>
        <w:t xml:space="preserve">）研究提出深化农村经济体制改革和巩固完善农村基本基本经营制度的政策建议。负责农民承包地改革和管理有关工作。负责农村集体产权制度改革，指导农村集体经济组织发展和集体资产管理工作。指导农民合作经济组织、农业社会化服务体系、新型农业经营主体建设与发展。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4</w:t>
      </w:r>
      <w:r>
        <w:rPr>
          <w:rFonts w:hint="default" w:ascii="仿宋_GB2312" w:hAnsi="Times New Roman" w:eastAsia="仿宋_GB2312" w:cs="仿宋_GB2312"/>
          <w:b w:val="0"/>
          <w:bCs/>
          <w:kern w:val="2"/>
          <w:sz w:val="30"/>
          <w:szCs w:val="30"/>
          <w:shd w:val="clear" w:color="auto" w:fill="FFFFFF"/>
          <w:lang w:val="en-US" w:eastAsia="zh-CN" w:bidi="ar"/>
        </w:rPr>
        <w:t xml:space="preserve">）指导乡村特色产业、农产业加工业、休闲农业和乡镇企业发展工作。提出促进大宗农产品流通的建议，培育、保护农业品牌，发布农业农村经济信息，监测分析农业农村经济运行。承担农业统计和农业农村信息化有关工作。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5</w:t>
      </w:r>
      <w:r>
        <w:rPr>
          <w:rFonts w:hint="default" w:ascii="仿宋_GB2312" w:hAnsi="Times New Roman" w:eastAsia="仿宋_GB2312" w:cs="仿宋_GB2312"/>
          <w:b w:val="0"/>
          <w:bCs/>
          <w:kern w:val="2"/>
          <w:sz w:val="30"/>
          <w:szCs w:val="30"/>
          <w:shd w:val="clear" w:color="auto" w:fill="FFFFFF"/>
          <w:lang w:val="en-US" w:eastAsia="zh-CN" w:bidi="ar"/>
        </w:rPr>
        <w:t xml:space="preserve">）负责种植业、畜牧业、渔业、农垦、农业机械化等农业各产业的监督管理。指导粮食等农产品生产。组织构建现代农业产业体系、生产体系、经营体系，指导农业标准化生产。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6</w:t>
      </w:r>
      <w:r>
        <w:rPr>
          <w:rFonts w:hint="default" w:ascii="仿宋_GB2312" w:hAnsi="Times New Roman" w:eastAsia="仿宋_GB2312" w:cs="仿宋_GB2312"/>
          <w:b w:val="0"/>
          <w:bCs/>
          <w:kern w:val="2"/>
          <w:sz w:val="30"/>
          <w:szCs w:val="30"/>
          <w:shd w:val="clear" w:color="auto" w:fill="FFFFFF"/>
          <w:lang w:val="en-US" w:eastAsia="zh-CN" w:bidi="ar"/>
        </w:rPr>
        <w:t xml:space="preserve">）负责农产品质量安全监督管理。组织开展农产品质量安全监测、追溯、风险评估，发布农产品质量安全信息。贯彻执行农产品质量安全国家标准，参与制定农产品质量安全地方标准并会同有关部门组织实施。指导农业检验监测体系建设。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7</w:t>
      </w:r>
      <w:r>
        <w:rPr>
          <w:rFonts w:hint="default" w:ascii="仿宋_GB2312" w:hAnsi="Times New Roman" w:eastAsia="仿宋_GB2312" w:cs="仿宋_GB2312"/>
          <w:b w:val="0"/>
          <w:bCs/>
          <w:kern w:val="2"/>
          <w:sz w:val="30"/>
          <w:szCs w:val="30"/>
          <w:shd w:val="clear" w:color="auto" w:fill="FFFFFF"/>
          <w:lang w:val="en-US" w:eastAsia="zh-CN" w:bidi="ar"/>
        </w:rPr>
        <w:t xml:space="preserve">）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业可再生能源综合开发利用、农业生物质产业发展。牵头管理外来物种。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8</w:t>
      </w:r>
      <w:r>
        <w:rPr>
          <w:rFonts w:hint="default" w:ascii="仿宋_GB2312" w:hAnsi="Times New Roman" w:eastAsia="仿宋_GB2312" w:cs="仿宋_GB2312"/>
          <w:b w:val="0"/>
          <w:bCs/>
          <w:kern w:val="2"/>
          <w:sz w:val="30"/>
          <w:szCs w:val="30"/>
          <w:shd w:val="clear" w:color="auto" w:fill="FFFFFF"/>
          <w:lang w:val="en-US" w:eastAsia="zh-CN" w:bidi="ar"/>
        </w:rPr>
        <w:t xml:space="preserve">）负责有关农业生产资料和农业投入品的监督管理。组织农业生产资料市场体系建设，贯彻执行农业生产资料、兽药质量、兽药残留限量和残留检测方法国家标准并监督实施。组织兽医医政、兽药药政药检工作，负责执业兽医和畜禽屠宰行业管理。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9</w:t>
      </w:r>
      <w:r>
        <w:rPr>
          <w:rFonts w:hint="default" w:ascii="仿宋_GB2312" w:hAnsi="Times New Roman" w:eastAsia="仿宋_GB2312" w:cs="仿宋_GB2312"/>
          <w:b w:val="0"/>
          <w:bCs/>
          <w:kern w:val="2"/>
          <w:sz w:val="30"/>
          <w:szCs w:val="30"/>
          <w:shd w:val="clear" w:color="auto" w:fill="FFFFFF"/>
          <w:lang w:val="en-US" w:eastAsia="zh-CN" w:bidi="ar"/>
        </w:rPr>
        <w:t xml:space="preserve">）负责农业防灾减灾、农作物重大病虫害防治工作。指导动植物防疫检疫体系建设，组织、监督市内动植物防疫检疫工作，发布疫情并组织扑灭。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10</w:t>
      </w:r>
      <w:r>
        <w:rPr>
          <w:rFonts w:hint="default" w:ascii="仿宋_GB2312" w:hAnsi="Times New Roman" w:eastAsia="仿宋_GB2312" w:cs="仿宋_GB2312"/>
          <w:b w:val="0"/>
          <w:bCs/>
          <w:kern w:val="2"/>
          <w:sz w:val="30"/>
          <w:szCs w:val="30"/>
          <w:shd w:val="clear" w:color="auto" w:fill="FFFFFF"/>
          <w:lang w:val="en-US" w:eastAsia="zh-CN" w:bidi="ar"/>
        </w:rPr>
        <w:t xml:space="preserve">）负责农业、水利投资管理。编制农业、水利固定资产投资项目建设规划，提出投资规模和方向、扶持农业农村、水利发展财政项目的建议，按规定权限审批农业、水利投资项目，负责农业、水利投资项目资金安排和监督管理。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11</w:t>
      </w:r>
      <w:r>
        <w:rPr>
          <w:rFonts w:hint="default" w:ascii="仿宋_GB2312" w:hAnsi="Times New Roman" w:eastAsia="仿宋_GB2312" w:cs="仿宋_GB2312"/>
          <w:b w:val="0"/>
          <w:bCs/>
          <w:kern w:val="2"/>
          <w:sz w:val="30"/>
          <w:szCs w:val="30"/>
          <w:shd w:val="clear" w:color="auto" w:fill="FFFFFF"/>
          <w:lang w:val="en-US" w:eastAsia="zh-CN" w:bidi="ar"/>
        </w:rPr>
        <w:t xml:space="preserve">）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12</w:t>
      </w:r>
      <w:r>
        <w:rPr>
          <w:rFonts w:hint="default" w:ascii="仿宋_GB2312" w:hAnsi="Times New Roman" w:eastAsia="仿宋_GB2312" w:cs="仿宋_GB2312"/>
          <w:b w:val="0"/>
          <w:bCs/>
          <w:kern w:val="2"/>
          <w:sz w:val="30"/>
          <w:szCs w:val="30"/>
          <w:shd w:val="clear" w:color="auto" w:fill="FFFFFF"/>
          <w:lang w:val="en-US" w:eastAsia="zh-CN" w:bidi="ar"/>
        </w:rPr>
        <w:t xml:space="preserve">）负责保障水资源的合理开发利用。拟定全区水利政策，组织编制全区水资源规划、重要河湖领域综合规划、防洪规划等重大水利规划。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13</w:t>
      </w:r>
      <w:r>
        <w:rPr>
          <w:rFonts w:hint="default" w:ascii="仿宋_GB2312" w:hAnsi="Times New Roman" w:eastAsia="仿宋_GB2312" w:cs="仿宋_GB2312"/>
          <w:b w:val="0"/>
          <w:bCs/>
          <w:kern w:val="2"/>
          <w:sz w:val="30"/>
          <w:szCs w:val="30"/>
          <w:shd w:val="clear" w:color="auto" w:fill="FFFFFF"/>
          <w:lang w:val="en-US" w:eastAsia="zh-CN" w:bidi="ar"/>
        </w:rPr>
        <w:t xml:space="preserve">）负责生活、生产经营和生态环境用水的统筹和保障。组织实施最严格水资源管理制度，实施水资源的统一监督管理，拟定全区中长期水供求规划、水量分配方案并监督实施。负责全区的水资源调度。指导全区水利行业供水和乡镇供水工作。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14</w:t>
      </w:r>
      <w:r>
        <w:rPr>
          <w:rFonts w:hint="default" w:ascii="仿宋_GB2312" w:hAnsi="Times New Roman" w:eastAsia="仿宋_GB2312" w:cs="仿宋_GB2312"/>
          <w:b w:val="0"/>
          <w:bCs/>
          <w:kern w:val="2"/>
          <w:sz w:val="30"/>
          <w:szCs w:val="30"/>
          <w:shd w:val="clear" w:color="auto" w:fill="FFFFFF"/>
          <w:lang w:val="en-US" w:eastAsia="zh-CN" w:bidi="ar"/>
        </w:rPr>
        <w:t xml:space="preserve">）指导水资源保护工作。组织编制实施水资源保护规划；指导饮用水水源保护有关工作；指导地下水开发利用、地下水资源管理保护。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15</w:t>
      </w:r>
      <w:r>
        <w:rPr>
          <w:rFonts w:hint="default" w:ascii="仿宋_GB2312" w:hAnsi="Times New Roman" w:eastAsia="仿宋_GB2312" w:cs="仿宋_GB2312"/>
          <w:b w:val="0"/>
          <w:bCs/>
          <w:kern w:val="2"/>
          <w:sz w:val="30"/>
          <w:szCs w:val="30"/>
          <w:shd w:val="clear" w:color="auto" w:fill="FFFFFF"/>
          <w:lang w:val="en-US" w:eastAsia="zh-CN" w:bidi="ar"/>
        </w:rPr>
        <w:t xml:space="preserve">）负责节约用水工作。拟订节约用水政策，组织编制节约用水规划并监督实施，组织制定有关标准；组织实施用水总量控制等管理制度，指导和推动节水型社会建设工作。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218" w:leftChars="104" w:right="0" w:firstLine="600" w:firstLine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16</w:t>
      </w:r>
      <w:r>
        <w:rPr>
          <w:rFonts w:hint="default" w:ascii="仿宋_GB2312" w:hAnsi="Times New Roman" w:eastAsia="仿宋_GB2312" w:cs="仿宋_GB2312"/>
          <w:b w:val="0"/>
          <w:bCs/>
          <w:kern w:val="2"/>
          <w:sz w:val="30"/>
          <w:szCs w:val="30"/>
          <w:shd w:val="clear" w:color="auto" w:fill="FFFFFF"/>
          <w:lang w:val="en-US" w:eastAsia="zh-CN" w:bidi="ar"/>
        </w:rPr>
        <w:t>）指导全区水利设施、水域及其岸线的管理、保护与</w:t>
      </w:r>
      <w:r>
        <w:rPr>
          <w:rFonts w:hint="eastAsia" w:ascii="仿宋_GB2312" w:hAnsi="Times New Roman" w:eastAsia="仿宋_GB2312" w:cs="仿宋_GB2312"/>
          <w:b w:val="0"/>
          <w:bCs/>
          <w:kern w:val="2"/>
          <w:sz w:val="30"/>
          <w:szCs w:val="30"/>
          <w:shd w:val="clear" w:color="auto" w:fill="FFFFFF"/>
          <w:lang w:val="en-US" w:eastAsia="zh-CN" w:bidi="ar"/>
        </w:rPr>
        <w:t xml:space="preserve">     </w:t>
      </w:r>
      <w:r>
        <w:rPr>
          <w:rFonts w:hint="default" w:ascii="仿宋_GB2312" w:hAnsi="Times New Roman" w:eastAsia="仿宋_GB2312" w:cs="仿宋_GB2312"/>
          <w:b w:val="0"/>
          <w:bCs/>
          <w:kern w:val="2"/>
          <w:sz w:val="30"/>
          <w:szCs w:val="30"/>
          <w:shd w:val="clear" w:color="auto" w:fill="FFFFFF"/>
          <w:lang w:val="en-US" w:eastAsia="zh-CN" w:bidi="ar"/>
        </w:rPr>
        <w:t>综</w:t>
      </w:r>
      <w:r>
        <w:rPr>
          <w:rFonts w:hint="eastAsia" w:ascii="仿宋_GB2312" w:hAnsi="Times New Roman" w:eastAsia="仿宋_GB2312" w:cs="仿宋_GB2312"/>
          <w:b w:val="0"/>
          <w:bCs/>
          <w:kern w:val="2"/>
          <w:sz w:val="30"/>
          <w:szCs w:val="30"/>
          <w:shd w:val="clear" w:color="auto" w:fill="FFFFFF"/>
          <w:lang w:val="en-US" w:eastAsia="zh-CN" w:bidi="ar"/>
        </w:rPr>
        <w:t>合</w:t>
      </w:r>
      <w:r>
        <w:rPr>
          <w:rFonts w:hint="default" w:ascii="仿宋_GB2312" w:hAnsi="Times New Roman" w:eastAsia="仿宋_GB2312" w:cs="仿宋_GB2312"/>
          <w:b w:val="0"/>
          <w:bCs/>
          <w:kern w:val="2"/>
          <w:sz w:val="30"/>
          <w:szCs w:val="30"/>
          <w:shd w:val="clear" w:color="auto" w:fill="FFFFFF"/>
          <w:lang w:val="en-US" w:eastAsia="zh-CN" w:bidi="ar"/>
        </w:rPr>
        <w:t xml:space="preserve">利用。组织指导区内江河湖泊及河口的治理、开发和保护；指导河湖水生态保护与修复、河湖生态流量水量理以及河湖水系连通工作；承担河（湖）长制组织实施具体工作。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17</w:t>
      </w:r>
      <w:r>
        <w:rPr>
          <w:rFonts w:hint="default" w:ascii="仿宋_GB2312" w:hAnsi="Times New Roman" w:eastAsia="仿宋_GB2312" w:cs="仿宋_GB2312"/>
          <w:b w:val="0"/>
          <w:bCs/>
          <w:kern w:val="2"/>
          <w:sz w:val="30"/>
          <w:szCs w:val="30"/>
          <w:shd w:val="clear" w:color="auto" w:fill="FFFFFF"/>
          <w:lang w:val="en-US" w:eastAsia="zh-CN" w:bidi="ar"/>
        </w:rPr>
        <w:t xml:space="preserve">）指导监督水利工程建设与运行管理。组织指导水利基础设施网络建设和运行管理；指导水利建设市场的监督管理，组织实施水利工程建设的监督；依法负责水利行业安全生产工作；组织指导水库、水电站大坝等水利工程设施的安全监管。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18</w:t>
      </w:r>
      <w:r>
        <w:rPr>
          <w:rFonts w:hint="default" w:ascii="仿宋_GB2312" w:hAnsi="Times New Roman" w:eastAsia="仿宋_GB2312" w:cs="仿宋_GB2312"/>
          <w:b w:val="0"/>
          <w:bCs/>
          <w:kern w:val="2"/>
          <w:sz w:val="30"/>
          <w:szCs w:val="30"/>
          <w:shd w:val="clear" w:color="auto" w:fill="FFFFFF"/>
          <w:lang w:val="en-US" w:eastAsia="zh-CN" w:bidi="ar"/>
        </w:rPr>
        <w:t xml:space="preserve">）负责水土保持工作。拟订全区水土保持规划并监督实施；组织实施水土流失的综合防治、监测预报并定期公告；负责建设项目水土保持监督管理工作；指导重点水土保持建设项目的实施。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19</w:t>
      </w:r>
      <w:r>
        <w:rPr>
          <w:rFonts w:hint="default" w:ascii="仿宋_GB2312" w:hAnsi="Times New Roman" w:eastAsia="仿宋_GB2312" w:cs="仿宋_GB2312"/>
          <w:b w:val="0"/>
          <w:bCs/>
          <w:kern w:val="2"/>
          <w:sz w:val="30"/>
          <w:szCs w:val="30"/>
          <w:shd w:val="clear" w:color="auto" w:fill="FFFFFF"/>
          <w:lang w:val="en-US" w:eastAsia="zh-CN" w:bidi="ar"/>
        </w:rPr>
        <w:t xml:space="preserve">）指导农村水利工作。组织开展权限内灌排工程建设与改造；组织指导农村饮水安全工程建设管理工作；指导节水灌溉有关工作；指导农村水利改革创新和社会化服务体系建设；指导农村水能资源开发、小水电改造和水电农村电气化工作。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1196" w:leftChars="284" w:right="0" w:hanging="600" w:hanging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20</w:t>
      </w:r>
      <w:r>
        <w:rPr>
          <w:rFonts w:hint="default" w:ascii="仿宋_GB2312" w:hAnsi="Times New Roman" w:eastAsia="仿宋_GB2312" w:cs="仿宋_GB2312"/>
          <w:b w:val="0"/>
          <w:bCs/>
          <w:kern w:val="2"/>
          <w:sz w:val="30"/>
          <w:szCs w:val="30"/>
          <w:shd w:val="clear" w:color="auto" w:fill="FFFFFF"/>
          <w:lang w:val="en-US" w:eastAsia="zh-CN" w:bidi="ar"/>
        </w:rPr>
        <w:t xml:space="preserve">）负责水利工程移民管理工作。拟订全区水利工程移民有关政策并监督实施；组织实施水利工程移民安置验收、监督评估等制度；指导监督水库移民后期扶持政策的实施。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0" w:right="0" w:firstLine="600" w:firstLine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21</w:t>
      </w:r>
      <w:r>
        <w:rPr>
          <w:rFonts w:hint="default" w:ascii="仿宋_GB2312" w:hAnsi="Times New Roman" w:eastAsia="仿宋_GB2312" w:cs="仿宋_GB2312"/>
          <w:b w:val="0"/>
          <w:bCs/>
          <w:kern w:val="2"/>
          <w:sz w:val="30"/>
          <w:szCs w:val="30"/>
          <w:shd w:val="clear" w:color="auto" w:fill="FFFFFF"/>
          <w:lang w:val="en-US" w:eastAsia="zh-CN" w:bidi="ar"/>
        </w:rPr>
        <w:t>）负责落实综合防灾减灾规划相关要求，组织编制洪水</w:t>
      </w:r>
      <w:r>
        <w:rPr>
          <w:rFonts w:hint="eastAsia" w:ascii="仿宋_GB2312" w:hAnsi="Times New Roman" w:eastAsia="仿宋_GB2312" w:cs="仿宋_GB2312"/>
          <w:b w:val="0"/>
          <w:bCs/>
          <w:kern w:val="2"/>
          <w:sz w:val="30"/>
          <w:szCs w:val="30"/>
          <w:shd w:val="clear" w:color="auto" w:fill="FFFFFF"/>
          <w:lang w:val="en-US" w:eastAsia="zh-CN" w:bidi="ar"/>
        </w:rPr>
        <w:t xml:space="preserve">     </w:t>
      </w:r>
      <w:r>
        <w:rPr>
          <w:rFonts w:hint="default" w:ascii="仿宋_GB2312" w:hAnsi="Times New Roman" w:eastAsia="仿宋_GB2312" w:cs="仿宋_GB2312"/>
          <w:b w:val="0"/>
          <w:bCs/>
          <w:kern w:val="2"/>
          <w:sz w:val="30"/>
          <w:szCs w:val="30"/>
          <w:shd w:val="clear" w:color="auto" w:fill="FFFFFF"/>
          <w:lang w:val="en-US" w:eastAsia="zh-CN" w:bidi="ar"/>
        </w:rPr>
        <w:t xml:space="preserve">干旱灾害防治规划和防护标准并指导实施。承担水情旱情监测预警工作；组织编制重要江河湖泊和重要水工程的防御洪水抗御旱灾调度及应急水量调度方案，按程序报批并组织实施；承担防御洪水应急抢险的技术支撑工作；承担台风防御期间重要水工程调度工作。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896" w:leftChars="284" w:right="0" w:hanging="300" w:hangingChars="1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22</w:t>
      </w:r>
      <w:r>
        <w:rPr>
          <w:rFonts w:hint="default" w:ascii="仿宋_GB2312" w:hAnsi="Times New Roman" w:eastAsia="仿宋_GB2312" w:cs="仿宋_GB2312"/>
          <w:b w:val="0"/>
          <w:bCs/>
          <w:kern w:val="2"/>
          <w:sz w:val="30"/>
          <w:szCs w:val="30"/>
          <w:shd w:val="clear" w:color="auto" w:fill="FFFFFF"/>
          <w:lang w:val="en-US" w:eastAsia="zh-CN" w:bidi="ar"/>
        </w:rPr>
        <w:t xml:space="preserve">）负责全区扶贫开发工作的统筹协调、服务指导和监督管理工作。负责组织实施精准扶贫、精准脱贫工作，负责开展扶贫业务培训。承担协调扶贫开发系统风险防控、涉贫信访和舆情处置工作。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896" w:leftChars="284" w:right="0" w:hanging="300" w:hangingChars="1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23</w:t>
      </w:r>
      <w:r>
        <w:rPr>
          <w:rFonts w:hint="default" w:ascii="仿宋_GB2312" w:hAnsi="Times New Roman" w:eastAsia="仿宋_GB2312" w:cs="仿宋_GB2312"/>
          <w:b w:val="0"/>
          <w:bCs/>
          <w:kern w:val="2"/>
          <w:sz w:val="30"/>
          <w:szCs w:val="30"/>
          <w:shd w:val="clear" w:color="auto" w:fill="FFFFFF"/>
          <w:lang w:val="en-US" w:eastAsia="zh-CN" w:bidi="ar"/>
        </w:rPr>
        <w:t xml:space="preserve">）负责拟定全区扶贫开发发展规划、扶贫标准、政策措施、目标任务和年度计划并组织实施。负责会同有关部门开展全区脱贫攻坚督查、考核工作。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896" w:leftChars="284" w:right="0" w:hanging="300" w:hangingChars="1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24</w:t>
      </w:r>
      <w:r>
        <w:rPr>
          <w:rFonts w:hint="default" w:ascii="仿宋_GB2312" w:hAnsi="Times New Roman" w:eastAsia="仿宋_GB2312" w:cs="仿宋_GB2312"/>
          <w:b w:val="0"/>
          <w:bCs/>
          <w:kern w:val="2"/>
          <w:sz w:val="30"/>
          <w:szCs w:val="30"/>
          <w:shd w:val="clear" w:color="auto" w:fill="FFFFFF"/>
          <w:lang w:val="en-US" w:eastAsia="zh-CN" w:bidi="ar"/>
        </w:rPr>
        <w:t xml:space="preserve">）负责会同有关部门开展扶贫开发相关项目和资金的使用管理、绩效评估和监督检查等工作，指导扶贫开发项目的实施。配合有关部门做好扶贫开发项目和资金的审计、监管等工作。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896" w:leftChars="284" w:right="0" w:hanging="300" w:hangingChars="1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25</w:t>
      </w:r>
      <w:r>
        <w:rPr>
          <w:rFonts w:hint="default" w:ascii="仿宋_GB2312" w:hAnsi="Times New Roman" w:eastAsia="仿宋_GB2312" w:cs="仿宋_GB2312"/>
          <w:b w:val="0"/>
          <w:bCs/>
          <w:kern w:val="2"/>
          <w:sz w:val="30"/>
          <w:szCs w:val="30"/>
          <w:shd w:val="clear" w:color="auto" w:fill="FFFFFF"/>
          <w:lang w:val="en-US" w:eastAsia="zh-CN" w:bidi="ar"/>
        </w:rPr>
        <w:t xml:space="preserve">）负责扶贫系统统计和信息化建设工作。负责全区贫困户信息系统管理、扶贫统计监测、抽样检查和指标管理。按照农村贫困人口扶持标准，承担扶贫对象确定和扶贫对象动态管理工作。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896" w:leftChars="284" w:right="0" w:hanging="300" w:hangingChars="1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26</w:t>
      </w:r>
      <w:r>
        <w:rPr>
          <w:rFonts w:hint="default" w:ascii="仿宋_GB2312" w:hAnsi="Times New Roman" w:eastAsia="仿宋_GB2312" w:cs="仿宋_GB2312"/>
          <w:b w:val="0"/>
          <w:bCs/>
          <w:kern w:val="2"/>
          <w:sz w:val="30"/>
          <w:szCs w:val="30"/>
          <w:shd w:val="clear" w:color="auto" w:fill="FFFFFF"/>
          <w:lang w:val="en-US" w:eastAsia="zh-CN" w:bidi="ar"/>
        </w:rPr>
        <w:t xml:space="preserve">）指导农业农村、水利人才工作和队伍建设。拟定农业农村、水利人才队伍建设规划并组织实施，指导有关教育和有关职业技能开发，指导有关人才培养和培训工作。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896" w:leftChars="284" w:right="0" w:hanging="300" w:hangingChars="100"/>
        <w:jc w:val="left"/>
        <w:rPr>
          <w:rFonts w:hint="default" w:ascii="仿宋_GB2312" w:hAnsi="Times New Roman" w:eastAsia="仿宋_GB2312" w:cs="仿宋_GB2312"/>
          <w:b w:val="0"/>
          <w:bCs/>
          <w:kern w:val="2"/>
          <w:sz w:val="30"/>
          <w:szCs w:val="30"/>
          <w:shd w:val="clear" w:color="auto" w:fill="FFFFFF"/>
          <w:lang w:val="en-US" w:eastAsia="zh-CN" w:bidi="ar"/>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27</w:t>
      </w:r>
      <w:r>
        <w:rPr>
          <w:rFonts w:hint="default" w:ascii="仿宋_GB2312" w:hAnsi="Times New Roman" w:eastAsia="仿宋_GB2312" w:cs="仿宋_GB2312"/>
          <w:b w:val="0"/>
          <w:bCs/>
          <w:kern w:val="2"/>
          <w:sz w:val="30"/>
          <w:szCs w:val="30"/>
          <w:shd w:val="clear" w:color="auto" w:fill="FFFFFF"/>
          <w:lang w:val="en-US" w:eastAsia="zh-CN" w:bidi="ar"/>
        </w:rPr>
        <w:t>）组织参与农业、水利对外合作工作。承办有关农业、水利涉外事务，组织开展相关贸易促进和对外交流合</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896" w:leftChars="284" w:right="0" w:hanging="300" w:hangingChars="1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28</w:t>
      </w:r>
      <w:r>
        <w:rPr>
          <w:rFonts w:hint="default" w:ascii="仿宋_GB2312" w:hAnsi="Times New Roman" w:eastAsia="仿宋_GB2312" w:cs="仿宋_GB2312"/>
          <w:b w:val="0"/>
          <w:bCs/>
          <w:kern w:val="2"/>
          <w:sz w:val="30"/>
          <w:szCs w:val="30"/>
          <w:shd w:val="clear" w:color="auto" w:fill="FFFFFF"/>
          <w:lang w:val="en-US" w:eastAsia="zh-CN" w:bidi="ar"/>
        </w:rPr>
        <w:t xml:space="preserve">）负责农业农业、水利领域的应急管理工作，对本领域的安全生产工作实施监督管理。 </w:t>
      </w:r>
    </w:p>
    <w:p>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exact"/>
        <w:ind w:left="0" w:right="0" w:firstLine="600" w:firstLineChars="200"/>
        <w:jc w:val="left"/>
        <w:rPr>
          <w:b w:val="0"/>
          <w:bCs/>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29</w:t>
      </w:r>
      <w:r>
        <w:rPr>
          <w:rFonts w:hint="default" w:ascii="仿宋_GB2312" w:hAnsi="Times New Roman" w:eastAsia="仿宋_GB2312" w:cs="仿宋_GB2312"/>
          <w:b w:val="0"/>
          <w:bCs/>
          <w:kern w:val="2"/>
          <w:sz w:val="30"/>
          <w:szCs w:val="30"/>
          <w:shd w:val="clear" w:color="auto" w:fill="FFFFFF"/>
          <w:lang w:val="en-US" w:eastAsia="zh-CN" w:bidi="ar"/>
        </w:rPr>
        <w:t xml:space="preserve">）承担区政府公布的有关行政审批和执法工作。 </w:t>
      </w:r>
    </w:p>
    <w:p>
      <w:pPr>
        <w:ind w:firstLine="600" w:firstLineChars="200"/>
        <w:rPr>
          <w:rFonts w:hint="eastAsia" w:ascii="仿宋_GB2312" w:eastAsia="仿宋_GB2312"/>
          <w:b w:val="0"/>
          <w:bCs/>
          <w:sz w:val="30"/>
          <w:szCs w:val="30"/>
          <w:lang w:eastAsia="zh-CN"/>
        </w:rPr>
      </w:pPr>
      <w:r>
        <w:rPr>
          <w:rFonts w:hint="default" w:ascii="仿宋_GB2312" w:hAnsi="Times New Roman" w:eastAsia="仿宋_GB2312" w:cs="仿宋_GB2312"/>
          <w:b w:val="0"/>
          <w:bCs/>
          <w:kern w:val="2"/>
          <w:sz w:val="30"/>
          <w:szCs w:val="30"/>
          <w:shd w:val="clear" w:color="auto" w:fill="FFFFFF"/>
          <w:lang w:val="en-US" w:eastAsia="zh-CN" w:bidi="ar"/>
        </w:rPr>
        <w:t>（</w:t>
      </w:r>
      <w:r>
        <w:rPr>
          <w:rFonts w:hint="eastAsia" w:ascii="仿宋_GB2312" w:hAnsi="Times New Roman" w:eastAsia="仿宋_GB2312" w:cs="仿宋_GB2312"/>
          <w:b w:val="0"/>
          <w:bCs/>
          <w:kern w:val="2"/>
          <w:sz w:val="30"/>
          <w:szCs w:val="30"/>
          <w:shd w:val="clear" w:color="auto" w:fill="FFFFFF"/>
          <w:lang w:val="en-US" w:eastAsia="zh-CN" w:bidi="ar"/>
        </w:rPr>
        <w:t>30</w:t>
      </w:r>
      <w:r>
        <w:rPr>
          <w:rFonts w:hint="default" w:ascii="仿宋_GB2312" w:hAnsi="Times New Roman" w:eastAsia="仿宋_GB2312" w:cs="仿宋_GB2312"/>
          <w:b w:val="0"/>
          <w:bCs/>
          <w:kern w:val="2"/>
          <w:sz w:val="30"/>
          <w:szCs w:val="30"/>
          <w:shd w:val="clear" w:color="auto" w:fill="FFFFFF"/>
          <w:lang w:val="en-US" w:eastAsia="zh-CN" w:bidi="ar"/>
        </w:rPr>
        <w:t>）完成区委、区政府和有关领导小组交办的其他任务。</w:t>
      </w:r>
    </w:p>
    <w:p>
      <w:pPr>
        <w:widowControl/>
        <w:spacing w:line="600" w:lineRule="exact"/>
        <w:ind w:firstLine="630" w:firstLineChars="196"/>
        <w:jc w:val="left"/>
        <w:rPr>
          <w:rFonts w:eastAsia="楷体_GB2312"/>
          <w:b/>
          <w:sz w:val="32"/>
          <w:szCs w:val="32"/>
        </w:rPr>
      </w:pPr>
    </w:p>
    <w:p>
      <w:pPr>
        <w:widowControl/>
        <w:spacing w:line="600" w:lineRule="exact"/>
        <w:ind w:firstLine="630" w:firstLineChars="196"/>
        <w:jc w:val="left"/>
        <w:rPr>
          <w:rFonts w:eastAsia="楷体_GB2312"/>
          <w:b/>
          <w:sz w:val="32"/>
          <w:szCs w:val="32"/>
        </w:rPr>
      </w:pPr>
      <w:r>
        <w:rPr>
          <w:rFonts w:eastAsia="楷体_GB2312"/>
          <w:b/>
          <w:sz w:val="32"/>
          <w:szCs w:val="32"/>
        </w:rPr>
        <w:t>（二）机构设置情况</w:t>
      </w:r>
    </w:p>
    <w:p>
      <w:pPr>
        <w:widowControl/>
        <w:spacing w:line="600" w:lineRule="exact"/>
        <w:ind w:firstLine="627" w:firstLineChars="196"/>
        <w:jc w:val="left"/>
        <w:rPr>
          <w:rFonts w:ascii="Times New Roman" w:hAnsi="仿宋" w:eastAsia="仿宋"/>
          <w:sz w:val="32"/>
          <w:szCs w:val="32"/>
        </w:rPr>
      </w:pPr>
      <w:r>
        <w:rPr>
          <w:rFonts w:hint="eastAsia" w:ascii="Times New Roman" w:hAnsi="仿宋" w:eastAsia="仿宋"/>
          <w:sz w:val="32"/>
          <w:szCs w:val="32"/>
          <w:lang w:eastAsia="zh-CN"/>
        </w:rPr>
        <w:t>南岳区农业农村局</w:t>
      </w:r>
      <w:r>
        <w:rPr>
          <w:rFonts w:ascii="Times New Roman" w:hAnsi="仿宋" w:eastAsia="仿宋"/>
          <w:sz w:val="32"/>
          <w:szCs w:val="32"/>
        </w:rPr>
        <w:t>是全额拨款的行政单位，根据编办核定，我单位内设股室</w:t>
      </w:r>
      <w:r>
        <w:rPr>
          <w:rFonts w:hint="eastAsia" w:ascii="Times New Roman" w:hAnsi="仿宋" w:eastAsia="仿宋"/>
          <w:sz w:val="32"/>
          <w:szCs w:val="32"/>
          <w:lang w:val="en-US" w:eastAsia="zh-CN"/>
        </w:rPr>
        <w:t>13</w:t>
      </w:r>
      <w:r>
        <w:rPr>
          <w:rFonts w:ascii="Times New Roman" w:hAnsi="仿宋" w:eastAsia="仿宋"/>
          <w:sz w:val="32"/>
          <w:szCs w:val="32"/>
        </w:rPr>
        <w:t>个，分别是</w:t>
      </w:r>
      <w:r>
        <w:rPr>
          <w:rFonts w:hint="default" w:ascii="仿宋_GB2312" w:hAnsi="Times New Roman" w:eastAsia="仿宋_GB2312" w:cs="仿宋_GB2312"/>
          <w:b w:val="0"/>
          <w:bCs w:val="0"/>
          <w:kern w:val="2"/>
          <w:sz w:val="30"/>
          <w:szCs w:val="30"/>
          <w:shd w:val="clear" w:color="auto" w:fill="FFFFFF"/>
          <w:lang w:val="en-US" w:eastAsia="zh-CN" w:bidi="ar"/>
        </w:rPr>
        <w:t>办公室、计划财务股（扶贫规划财务股）、农村经营管理股（加挂农村政策改革与合作经济指导股） 、农村社会事业促进股（加挂农田建设股牌子）、产业扶贫股、农业管理股（加挂农业资源农业机械化管理股）、农产品质量安全监管股、畜牧兽医水产股、河湖与水资源管理股、水旱灾害防御与水土保持股（政策法规和行政审批服务股）、水利建设与监督管理股（加挂农村水利水电股、水库移民股牌子）、扶贫督查考核股（加挂社会扶贫股牌子）、扶贫政策法规股（加挂贫困监测股牌子）</w:t>
      </w:r>
      <w:r>
        <w:rPr>
          <w:rFonts w:ascii="Times New Roman" w:hAnsi="仿宋" w:eastAsia="仿宋"/>
          <w:sz w:val="32"/>
          <w:szCs w:val="32"/>
        </w:rPr>
        <w:t>。</w:t>
      </w:r>
    </w:p>
    <w:p>
      <w:pPr>
        <w:widowControl/>
        <w:spacing w:line="600" w:lineRule="exact"/>
        <w:ind w:firstLine="630" w:firstLineChars="196"/>
        <w:jc w:val="left"/>
        <w:rPr>
          <w:rFonts w:eastAsia="楷体_GB2312"/>
          <w:b/>
          <w:sz w:val="32"/>
          <w:szCs w:val="32"/>
        </w:rPr>
      </w:pPr>
      <w:r>
        <w:rPr>
          <w:rFonts w:eastAsia="楷体_GB2312"/>
          <w:b/>
          <w:sz w:val="32"/>
          <w:szCs w:val="32"/>
        </w:rPr>
        <w:t>（三）人员编制情况</w:t>
      </w:r>
    </w:p>
    <w:p>
      <w:pPr>
        <w:numPr>
          <w:ilvl w:val="0"/>
          <w:numId w:val="0"/>
        </w:numPr>
        <w:ind w:firstLine="640" w:firstLineChars="200"/>
        <w:rPr>
          <w:rFonts w:hint="eastAsia" w:ascii="黑体" w:hAnsi="Times New Roman" w:eastAsia="黑体" w:cs="Times New Roman"/>
          <w:sz w:val="32"/>
          <w:szCs w:val="32"/>
        </w:rPr>
      </w:pPr>
      <w:r>
        <w:rPr>
          <w:rFonts w:eastAsia="仿宋_GB2312"/>
          <w:sz w:val="32"/>
          <w:szCs w:val="32"/>
        </w:rPr>
        <w:t>20</w:t>
      </w:r>
      <w:r>
        <w:rPr>
          <w:rFonts w:hint="eastAsia" w:eastAsia="仿宋_GB2312"/>
          <w:sz w:val="32"/>
          <w:szCs w:val="32"/>
          <w:lang w:val="en-US" w:eastAsia="zh-CN"/>
        </w:rPr>
        <w:t>24</w:t>
      </w:r>
      <w:r>
        <w:rPr>
          <w:rFonts w:eastAsia="仿宋_GB2312"/>
          <w:sz w:val="32"/>
          <w:szCs w:val="32"/>
        </w:rPr>
        <w:t>年末，我单位共有编制</w:t>
      </w:r>
      <w:r>
        <w:rPr>
          <w:rFonts w:hint="eastAsia" w:eastAsia="仿宋_GB2312"/>
          <w:sz w:val="32"/>
          <w:szCs w:val="32"/>
          <w:lang w:val="en-US" w:eastAsia="zh-CN"/>
        </w:rPr>
        <w:t xml:space="preserve"> 51</w:t>
      </w:r>
      <w:r>
        <w:rPr>
          <w:rFonts w:eastAsia="仿宋_GB2312"/>
          <w:sz w:val="32"/>
          <w:szCs w:val="32"/>
        </w:rPr>
        <w:t>人，其中行政编制</w:t>
      </w:r>
      <w:r>
        <w:rPr>
          <w:rFonts w:hint="eastAsia" w:eastAsia="仿宋_GB2312"/>
          <w:sz w:val="32"/>
          <w:szCs w:val="32"/>
          <w:lang w:val="en-US" w:eastAsia="zh-CN"/>
        </w:rPr>
        <w:t>5</w:t>
      </w:r>
      <w:r>
        <w:rPr>
          <w:rFonts w:eastAsia="仿宋_GB2312"/>
          <w:sz w:val="32"/>
          <w:szCs w:val="32"/>
        </w:rPr>
        <w:t>人，事业编制</w:t>
      </w:r>
      <w:r>
        <w:rPr>
          <w:rFonts w:hint="eastAsia" w:eastAsia="仿宋_GB2312"/>
          <w:sz w:val="32"/>
          <w:szCs w:val="32"/>
          <w:lang w:val="en-US" w:eastAsia="zh-CN"/>
        </w:rPr>
        <w:t>46</w:t>
      </w:r>
      <w:r>
        <w:rPr>
          <w:rFonts w:eastAsia="仿宋_GB2312"/>
          <w:sz w:val="32"/>
          <w:szCs w:val="32"/>
        </w:rPr>
        <w:t>人。年末实有在职人员</w:t>
      </w:r>
      <w:r>
        <w:rPr>
          <w:rFonts w:hint="eastAsia" w:eastAsia="仿宋_GB2312"/>
          <w:sz w:val="32"/>
          <w:szCs w:val="32"/>
          <w:lang w:val="en-US" w:eastAsia="zh-CN"/>
        </w:rPr>
        <w:t>78</w:t>
      </w:r>
      <w:r>
        <w:rPr>
          <w:rFonts w:eastAsia="仿宋_GB2312"/>
          <w:sz w:val="32"/>
          <w:szCs w:val="32"/>
        </w:rPr>
        <w:t>人，</w:t>
      </w:r>
      <w:r>
        <w:rPr>
          <w:rFonts w:hint="eastAsia" w:eastAsia="仿宋_GB2312"/>
          <w:sz w:val="32"/>
          <w:szCs w:val="32"/>
          <w:lang w:eastAsia="zh-CN"/>
        </w:rPr>
        <w:t>退</w:t>
      </w:r>
      <w:r>
        <w:rPr>
          <w:rFonts w:eastAsia="仿宋_GB2312"/>
          <w:sz w:val="32"/>
          <w:szCs w:val="32"/>
        </w:rPr>
        <w:t>休人员</w:t>
      </w:r>
      <w:r>
        <w:rPr>
          <w:rFonts w:hint="eastAsia" w:eastAsia="仿宋_GB2312"/>
          <w:sz w:val="32"/>
          <w:szCs w:val="32"/>
          <w:lang w:val="en-US" w:eastAsia="zh-CN"/>
        </w:rPr>
        <w:t>98</w:t>
      </w:r>
      <w:r>
        <w:rPr>
          <w:rFonts w:eastAsia="仿宋_GB2312"/>
          <w:sz w:val="32"/>
          <w:szCs w:val="32"/>
        </w:rPr>
        <w:t>人。</w:t>
      </w:r>
    </w:p>
    <w:p>
      <w:pPr>
        <w:widowControl/>
        <w:numPr>
          <w:ilvl w:val="0"/>
          <w:numId w:val="1"/>
        </w:num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一般公共预算支出情况</w:t>
      </w:r>
    </w:p>
    <w:p>
      <w:pPr>
        <w:widowControl/>
        <w:numPr>
          <w:ilvl w:val="0"/>
          <w:numId w:val="0"/>
        </w:numPr>
        <w:spacing w:line="600" w:lineRule="exact"/>
        <w:ind w:firstLine="643" w:firstLineChars="200"/>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（一）基本支出情况</w:t>
      </w:r>
    </w:p>
    <w:p>
      <w:pPr>
        <w:tabs>
          <w:tab w:val="left" w:pos="2296"/>
        </w:tabs>
        <w:spacing w:line="600" w:lineRule="exact"/>
        <w:ind w:firstLine="640" w:firstLineChars="200"/>
        <w:rPr>
          <w:rFonts w:eastAsia="仿宋_GB2312"/>
          <w:sz w:val="32"/>
          <w:szCs w:val="32"/>
        </w:rPr>
      </w:pPr>
      <w:r>
        <w:rPr>
          <w:rFonts w:eastAsia="仿宋_GB2312"/>
          <w:sz w:val="32"/>
          <w:szCs w:val="32"/>
        </w:rPr>
        <w:t>基本支出系保障我</w:t>
      </w:r>
      <w:r>
        <w:rPr>
          <w:rFonts w:hint="eastAsia" w:eastAsia="仿宋_GB2312"/>
          <w:sz w:val="32"/>
          <w:szCs w:val="32"/>
          <w:lang w:eastAsia="zh-CN"/>
        </w:rPr>
        <w:t>局</w:t>
      </w:r>
      <w:r>
        <w:rPr>
          <w:rFonts w:eastAsia="仿宋_GB2312"/>
          <w:sz w:val="32"/>
          <w:szCs w:val="32"/>
        </w:rPr>
        <w:t>机构正常运转、完成日常工作任务而发生的各项支出，包括用于在职和离退休人员基本工资、津贴补贴等人员经费以及办公费、印刷费、水电费、办公设备购置等日常公用经费。20</w:t>
      </w:r>
      <w:r>
        <w:rPr>
          <w:rFonts w:hint="eastAsia" w:eastAsia="仿宋_GB2312"/>
          <w:sz w:val="32"/>
          <w:szCs w:val="32"/>
          <w:lang w:val="en-US" w:eastAsia="zh-CN"/>
        </w:rPr>
        <w:t>24</w:t>
      </w:r>
      <w:r>
        <w:rPr>
          <w:rFonts w:eastAsia="仿宋_GB2312"/>
          <w:sz w:val="32"/>
          <w:szCs w:val="32"/>
        </w:rPr>
        <w:t>年基本支出</w:t>
      </w:r>
      <w:r>
        <w:rPr>
          <w:rFonts w:hint="eastAsia" w:eastAsia="仿宋_GB2312"/>
          <w:sz w:val="32"/>
          <w:szCs w:val="32"/>
          <w:lang w:val="en-US" w:eastAsia="zh-CN"/>
        </w:rPr>
        <w:t>1301.23万</w:t>
      </w:r>
      <w:r>
        <w:rPr>
          <w:rFonts w:eastAsia="仿宋_GB2312"/>
          <w:sz w:val="32"/>
          <w:szCs w:val="32"/>
        </w:rPr>
        <w:t>元，较上年</w:t>
      </w:r>
      <w:r>
        <w:rPr>
          <w:rFonts w:hint="eastAsia" w:eastAsia="仿宋_GB2312"/>
          <w:sz w:val="32"/>
          <w:szCs w:val="32"/>
          <w:lang w:eastAsia="zh-CN"/>
        </w:rPr>
        <w:t>增加</w:t>
      </w:r>
      <w:r>
        <w:rPr>
          <w:rFonts w:hint="eastAsia" w:eastAsia="仿宋_GB2312"/>
          <w:sz w:val="32"/>
          <w:szCs w:val="32"/>
          <w:lang w:val="en-US" w:eastAsia="zh-CN"/>
        </w:rPr>
        <w:t>115.83</w:t>
      </w:r>
      <w:r>
        <w:rPr>
          <w:rFonts w:eastAsia="仿宋_GB2312"/>
          <w:sz w:val="32"/>
          <w:szCs w:val="32"/>
        </w:rPr>
        <w:t>万元。</w:t>
      </w:r>
      <w:r>
        <w:rPr>
          <w:rFonts w:eastAsia="仿宋_GB2312"/>
          <w:color w:val="000000"/>
          <w:sz w:val="32"/>
          <w:szCs w:val="32"/>
        </w:rPr>
        <w:t>基本支出中人员经费</w:t>
      </w:r>
      <w:r>
        <w:rPr>
          <w:rFonts w:hint="eastAsia" w:eastAsia="仿宋_GB2312"/>
          <w:color w:val="000000"/>
          <w:sz w:val="32"/>
          <w:szCs w:val="32"/>
          <w:lang w:val="en-US" w:eastAsia="zh-CN"/>
        </w:rPr>
        <w:t>1028.47</w:t>
      </w:r>
      <w:r>
        <w:rPr>
          <w:rFonts w:eastAsia="仿宋_GB2312"/>
          <w:color w:val="000000"/>
          <w:sz w:val="32"/>
          <w:szCs w:val="32"/>
        </w:rPr>
        <w:t>元，占基本支出的</w:t>
      </w:r>
      <w:r>
        <w:rPr>
          <w:rFonts w:hint="eastAsia" w:eastAsia="仿宋_GB2312"/>
          <w:color w:val="000000"/>
          <w:sz w:val="32"/>
          <w:szCs w:val="32"/>
          <w:lang w:val="en-US" w:eastAsia="zh-CN"/>
        </w:rPr>
        <w:t>79</w:t>
      </w:r>
      <w:r>
        <w:rPr>
          <w:rFonts w:eastAsia="仿宋_GB2312"/>
          <w:color w:val="000000"/>
          <w:sz w:val="32"/>
          <w:szCs w:val="32"/>
        </w:rPr>
        <w:t>%，</w:t>
      </w:r>
      <w:r>
        <w:rPr>
          <w:rFonts w:hint="eastAsia" w:eastAsia="仿宋_GB2312"/>
          <w:color w:val="000000"/>
          <w:sz w:val="32"/>
          <w:szCs w:val="32"/>
          <w:lang w:eastAsia="zh-CN"/>
        </w:rPr>
        <w:t>比上年增加</w:t>
      </w:r>
      <w:r>
        <w:rPr>
          <w:rFonts w:hint="eastAsia" w:eastAsia="仿宋_GB2312"/>
          <w:color w:val="000000"/>
          <w:sz w:val="32"/>
          <w:szCs w:val="32"/>
          <w:lang w:val="en-US" w:eastAsia="zh-CN"/>
        </w:rPr>
        <w:t>13%</w:t>
      </w:r>
      <w:r>
        <w:rPr>
          <w:rFonts w:hint="eastAsia" w:eastAsia="仿宋_GB2312"/>
          <w:color w:val="000000"/>
          <w:sz w:val="32"/>
          <w:szCs w:val="32"/>
          <w:lang w:eastAsia="zh-CN"/>
        </w:rPr>
        <w:t>；</w:t>
      </w:r>
      <w:r>
        <w:rPr>
          <w:rFonts w:eastAsia="仿宋_GB2312"/>
          <w:color w:val="000000"/>
          <w:sz w:val="32"/>
          <w:szCs w:val="32"/>
        </w:rPr>
        <w:t>日常公用经费</w:t>
      </w:r>
      <w:r>
        <w:rPr>
          <w:rFonts w:hint="eastAsia" w:eastAsia="仿宋_GB2312"/>
          <w:color w:val="000000"/>
          <w:sz w:val="32"/>
          <w:szCs w:val="32"/>
          <w:lang w:val="en-US" w:eastAsia="zh-CN"/>
        </w:rPr>
        <w:t>272.75</w:t>
      </w:r>
      <w:r>
        <w:rPr>
          <w:rFonts w:eastAsia="仿宋_GB2312"/>
          <w:color w:val="000000"/>
          <w:sz w:val="32"/>
          <w:szCs w:val="32"/>
        </w:rPr>
        <w:t>万元，占基本支出的</w:t>
      </w:r>
      <w:r>
        <w:rPr>
          <w:rFonts w:hint="eastAsia" w:eastAsia="仿宋_GB2312"/>
          <w:color w:val="000000"/>
          <w:sz w:val="32"/>
          <w:szCs w:val="32"/>
          <w:lang w:val="en-US" w:eastAsia="zh-CN"/>
        </w:rPr>
        <w:t>21</w:t>
      </w:r>
      <w:r>
        <w:rPr>
          <w:rFonts w:eastAsia="仿宋_GB2312"/>
          <w:color w:val="000000"/>
          <w:sz w:val="32"/>
          <w:szCs w:val="32"/>
        </w:rPr>
        <w:t>%，较上年</w:t>
      </w:r>
      <w:r>
        <w:rPr>
          <w:rFonts w:hint="eastAsia" w:eastAsia="仿宋_GB2312"/>
          <w:color w:val="000000"/>
          <w:sz w:val="32"/>
          <w:szCs w:val="32"/>
          <w:lang w:eastAsia="zh-CN"/>
        </w:rPr>
        <w:t>减少</w:t>
      </w:r>
      <w:r>
        <w:rPr>
          <w:rFonts w:hint="eastAsia" w:eastAsia="仿宋_GB2312"/>
          <w:color w:val="000000"/>
          <w:sz w:val="32"/>
          <w:szCs w:val="32"/>
          <w:lang w:val="en-US" w:eastAsia="zh-CN"/>
        </w:rPr>
        <w:t>1</w:t>
      </w:r>
      <w:r>
        <w:rPr>
          <w:rFonts w:eastAsia="仿宋_GB2312"/>
          <w:color w:val="000000"/>
          <w:sz w:val="32"/>
          <w:szCs w:val="32"/>
        </w:rPr>
        <w:t>%</w:t>
      </w:r>
      <w:r>
        <w:rPr>
          <w:rFonts w:hint="eastAsia" w:eastAsia="仿宋_GB2312"/>
          <w:color w:val="000000"/>
          <w:sz w:val="32"/>
          <w:szCs w:val="32"/>
          <w:lang w:eastAsia="zh-CN"/>
        </w:rPr>
        <w:t>，主要原因是节约费用</w:t>
      </w:r>
      <w:r>
        <w:rPr>
          <w:rFonts w:hint="eastAsia" w:eastAsia="仿宋_GB2312"/>
          <w:color w:val="000000"/>
          <w:sz w:val="32"/>
          <w:szCs w:val="32"/>
          <w:lang w:val="en-US" w:eastAsia="zh-CN"/>
        </w:rPr>
        <w:t>。</w:t>
      </w:r>
    </w:p>
    <w:p>
      <w:pPr>
        <w:widowControl/>
        <w:spacing w:line="60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ascii="楷体_GB2312" w:hAnsi="Times New Roman" w:eastAsia="楷体_GB2312" w:cs="Times New Roman"/>
          <w:b/>
          <w:sz w:val="32"/>
          <w:szCs w:val="32"/>
        </w:rPr>
        <w:t>项目支出情况</w:t>
      </w:r>
    </w:p>
    <w:p>
      <w:pPr>
        <w:tabs>
          <w:tab w:val="left" w:pos="2296"/>
        </w:tabs>
        <w:spacing w:line="600" w:lineRule="exact"/>
        <w:ind w:firstLine="640" w:firstLineChars="200"/>
        <w:rPr>
          <w:rFonts w:eastAsia="仿宋_GB2312"/>
          <w:sz w:val="32"/>
          <w:szCs w:val="32"/>
        </w:rPr>
      </w:pPr>
      <w:r>
        <w:rPr>
          <w:rFonts w:eastAsia="仿宋_GB2312"/>
          <w:sz w:val="32"/>
          <w:szCs w:val="32"/>
        </w:rPr>
        <w:t>项目支出系</w:t>
      </w:r>
      <w:r>
        <w:rPr>
          <w:rFonts w:hint="eastAsia" w:eastAsia="仿宋_GB2312"/>
          <w:sz w:val="32"/>
          <w:szCs w:val="32"/>
          <w:lang w:eastAsia="zh-CN"/>
        </w:rPr>
        <w:t>本单位</w:t>
      </w:r>
      <w:r>
        <w:rPr>
          <w:rFonts w:eastAsia="仿宋_GB2312"/>
          <w:sz w:val="32"/>
          <w:szCs w:val="32"/>
        </w:rPr>
        <w:t>为完成</w:t>
      </w:r>
      <w:r>
        <w:rPr>
          <w:rFonts w:hint="eastAsia" w:eastAsia="仿宋_GB2312"/>
          <w:sz w:val="32"/>
          <w:szCs w:val="32"/>
          <w:lang w:eastAsia="zh-CN"/>
        </w:rPr>
        <w:t>农业农村各项目</w:t>
      </w:r>
      <w:r>
        <w:rPr>
          <w:rFonts w:eastAsia="仿宋_GB2312"/>
          <w:sz w:val="32"/>
          <w:szCs w:val="32"/>
        </w:rPr>
        <w:t>工作而发生的支出，包括</w:t>
      </w:r>
      <w:r>
        <w:rPr>
          <w:rFonts w:hint="eastAsia" w:eastAsia="仿宋_GB2312"/>
          <w:sz w:val="32"/>
          <w:szCs w:val="32"/>
          <w:lang w:eastAsia="zh-CN"/>
        </w:rPr>
        <w:t>各项目相应的办公费，打印费，咨询服务费和基础建设，及对农业生产发展的补助等</w:t>
      </w:r>
      <w:r>
        <w:rPr>
          <w:rFonts w:eastAsia="仿宋_GB2312"/>
          <w:sz w:val="32"/>
          <w:szCs w:val="32"/>
        </w:rPr>
        <w:t>。20</w:t>
      </w:r>
      <w:r>
        <w:rPr>
          <w:rFonts w:hint="eastAsia" w:eastAsia="仿宋_GB2312"/>
          <w:sz w:val="32"/>
          <w:szCs w:val="32"/>
          <w:lang w:val="en-US" w:eastAsia="zh-CN"/>
        </w:rPr>
        <w:t>24</w:t>
      </w:r>
      <w:r>
        <w:rPr>
          <w:rFonts w:eastAsia="仿宋_GB2312"/>
          <w:sz w:val="32"/>
          <w:szCs w:val="32"/>
        </w:rPr>
        <w:t>年项目支出</w:t>
      </w:r>
      <w:r>
        <w:rPr>
          <w:rFonts w:hint="eastAsia" w:eastAsia="仿宋_GB2312"/>
          <w:sz w:val="32"/>
          <w:szCs w:val="32"/>
          <w:lang w:val="en-US" w:eastAsia="zh-CN"/>
        </w:rPr>
        <w:t>8898.95</w:t>
      </w:r>
      <w:r>
        <w:rPr>
          <w:rFonts w:eastAsia="仿宋_GB2312"/>
          <w:sz w:val="32"/>
          <w:szCs w:val="32"/>
        </w:rPr>
        <w:t>万元，比上年</w:t>
      </w:r>
      <w:r>
        <w:rPr>
          <w:rFonts w:hint="eastAsia" w:eastAsia="仿宋_GB2312"/>
          <w:sz w:val="32"/>
          <w:szCs w:val="32"/>
          <w:lang w:eastAsia="zh-CN"/>
        </w:rPr>
        <w:t>增加</w:t>
      </w:r>
      <w:r>
        <w:rPr>
          <w:rFonts w:hint="eastAsia" w:eastAsia="仿宋_GB2312"/>
          <w:sz w:val="32"/>
          <w:szCs w:val="32"/>
          <w:lang w:val="en-US" w:eastAsia="zh-CN"/>
        </w:rPr>
        <w:t>1970.64</w:t>
      </w:r>
      <w:r>
        <w:rPr>
          <w:rFonts w:eastAsia="仿宋_GB2312"/>
          <w:sz w:val="32"/>
          <w:szCs w:val="32"/>
        </w:rPr>
        <w:t>万元</w:t>
      </w:r>
      <w:r>
        <w:rPr>
          <w:rFonts w:hint="eastAsia" w:eastAsia="仿宋_GB2312"/>
          <w:sz w:val="32"/>
          <w:szCs w:val="32"/>
          <w:lang w:eastAsia="zh-CN"/>
        </w:rPr>
        <w:t>，</w:t>
      </w:r>
      <w:r>
        <w:rPr>
          <w:rFonts w:eastAsia="仿宋_GB2312"/>
          <w:sz w:val="32"/>
          <w:szCs w:val="32"/>
        </w:rPr>
        <w:t>其中</w:t>
      </w:r>
      <w:r>
        <w:rPr>
          <w:rFonts w:hint="eastAsia" w:eastAsia="仿宋_GB2312"/>
          <w:sz w:val="32"/>
          <w:szCs w:val="32"/>
          <w:lang w:eastAsia="zh-CN"/>
        </w:rPr>
        <w:t>：运行管理费用</w:t>
      </w:r>
      <w:r>
        <w:rPr>
          <w:rFonts w:eastAsia="仿宋_GB2312"/>
          <w:sz w:val="32"/>
          <w:szCs w:val="32"/>
        </w:rPr>
        <w:t>支出</w:t>
      </w:r>
      <w:r>
        <w:rPr>
          <w:rFonts w:hint="eastAsia" w:eastAsia="仿宋_GB2312"/>
          <w:sz w:val="32"/>
          <w:szCs w:val="32"/>
          <w:lang w:val="en-US" w:eastAsia="zh-CN"/>
        </w:rPr>
        <w:t>1385.94</w:t>
      </w:r>
      <w:r>
        <w:rPr>
          <w:rFonts w:eastAsia="仿宋_GB2312"/>
          <w:sz w:val="32"/>
          <w:szCs w:val="32"/>
        </w:rPr>
        <w:t>万元，比上年</w:t>
      </w:r>
      <w:r>
        <w:rPr>
          <w:rFonts w:hint="eastAsia" w:eastAsia="仿宋_GB2312"/>
          <w:sz w:val="32"/>
          <w:szCs w:val="32"/>
          <w:lang w:eastAsia="zh-CN"/>
        </w:rPr>
        <w:t>增加</w:t>
      </w:r>
      <w:r>
        <w:rPr>
          <w:rFonts w:hint="eastAsia" w:eastAsia="仿宋_GB2312"/>
          <w:sz w:val="32"/>
          <w:szCs w:val="32"/>
          <w:lang w:val="en-US" w:eastAsia="zh-CN"/>
        </w:rPr>
        <w:t>260.61</w:t>
      </w:r>
      <w:r>
        <w:rPr>
          <w:rFonts w:eastAsia="仿宋_GB2312"/>
          <w:sz w:val="32"/>
          <w:szCs w:val="32"/>
        </w:rPr>
        <w:t>万元，主要是</w:t>
      </w:r>
      <w:r>
        <w:rPr>
          <w:rFonts w:hint="eastAsia" w:eastAsia="仿宋_GB2312"/>
          <w:sz w:val="32"/>
          <w:szCs w:val="32"/>
          <w:lang w:eastAsia="zh-CN"/>
        </w:rPr>
        <w:t>项目增加</w:t>
      </w:r>
      <w:r>
        <w:rPr>
          <w:rFonts w:eastAsia="仿宋_GB2312"/>
          <w:sz w:val="32"/>
          <w:szCs w:val="32"/>
        </w:rPr>
        <w:t>；</w:t>
      </w:r>
      <w:r>
        <w:rPr>
          <w:rFonts w:hint="eastAsia" w:eastAsia="仿宋_GB2312"/>
          <w:sz w:val="32"/>
          <w:szCs w:val="32"/>
          <w:lang w:eastAsia="zh-CN"/>
        </w:rPr>
        <w:t>农业补助</w:t>
      </w:r>
      <w:r>
        <w:rPr>
          <w:rFonts w:eastAsia="仿宋_GB2312"/>
          <w:sz w:val="32"/>
          <w:szCs w:val="32"/>
        </w:rPr>
        <w:t>支出</w:t>
      </w:r>
      <w:r>
        <w:rPr>
          <w:rFonts w:hint="eastAsia" w:eastAsia="仿宋_GB2312"/>
          <w:sz w:val="32"/>
          <w:szCs w:val="32"/>
          <w:lang w:val="en-US" w:eastAsia="zh-CN"/>
        </w:rPr>
        <w:t>374.95</w:t>
      </w:r>
      <w:r>
        <w:rPr>
          <w:rFonts w:eastAsia="仿宋_GB2312"/>
          <w:sz w:val="32"/>
          <w:szCs w:val="32"/>
        </w:rPr>
        <w:t>万元，比上年</w:t>
      </w:r>
      <w:r>
        <w:rPr>
          <w:rFonts w:hint="eastAsia" w:eastAsia="仿宋_GB2312"/>
          <w:sz w:val="32"/>
          <w:szCs w:val="32"/>
          <w:lang w:eastAsia="zh-CN"/>
        </w:rPr>
        <w:t>增加</w:t>
      </w:r>
      <w:r>
        <w:rPr>
          <w:rFonts w:hint="eastAsia" w:eastAsia="仿宋_GB2312"/>
          <w:sz w:val="32"/>
          <w:szCs w:val="32"/>
          <w:lang w:val="en-US" w:eastAsia="zh-CN"/>
        </w:rPr>
        <w:t>62.13</w:t>
      </w:r>
      <w:r>
        <w:rPr>
          <w:rFonts w:eastAsia="仿宋_GB2312"/>
          <w:sz w:val="32"/>
          <w:szCs w:val="32"/>
        </w:rPr>
        <w:t>万元，</w:t>
      </w:r>
      <w:r>
        <w:rPr>
          <w:rFonts w:hint="eastAsia" w:eastAsia="仿宋_GB2312"/>
          <w:sz w:val="32"/>
          <w:szCs w:val="32"/>
          <w:lang w:eastAsia="zh-CN"/>
        </w:rPr>
        <w:t>增加</w:t>
      </w:r>
      <w:r>
        <w:rPr>
          <w:rFonts w:hint="eastAsia" w:eastAsia="仿宋_GB2312"/>
          <w:sz w:val="32"/>
          <w:szCs w:val="32"/>
          <w:lang w:val="en-US" w:eastAsia="zh-CN"/>
        </w:rPr>
        <w:t>20</w:t>
      </w:r>
      <w:r>
        <w:rPr>
          <w:rFonts w:eastAsia="仿宋_GB2312"/>
          <w:sz w:val="32"/>
          <w:szCs w:val="32"/>
        </w:rPr>
        <w:t>%，主要是</w:t>
      </w:r>
      <w:r>
        <w:rPr>
          <w:rFonts w:hint="eastAsia" w:eastAsia="仿宋_GB2312"/>
          <w:sz w:val="32"/>
          <w:szCs w:val="32"/>
          <w:lang w:eastAsia="zh-CN"/>
        </w:rPr>
        <w:t>农业各项补助增加，尤其是治理抛荒复耕，粮价补贴增加</w:t>
      </w:r>
      <w:r>
        <w:rPr>
          <w:rFonts w:hint="eastAsia" w:eastAsia="仿宋_GB2312"/>
          <w:sz w:val="32"/>
          <w:szCs w:val="32"/>
          <w:lang w:val="en-US" w:eastAsia="zh-CN"/>
        </w:rPr>
        <w:t>。资本性支出 7138.06万元</w:t>
      </w:r>
      <w:bookmarkStart w:id="0" w:name="_GoBack"/>
      <w:bookmarkEnd w:id="0"/>
      <w:r>
        <w:rPr>
          <w:rFonts w:hint="eastAsia" w:eastAsia="仿宋_GB2312"/>
          <w:sz w:val="32"/>
          <w:szCs w:val="32"/>
          <w:lang w:val="en-US" w:eastAsia="zh-CN"/>
        </w:rPr>
        <w:t>，比上年增加2250.27万元，主要是大型工程增加，其中新增南岳引水及城乡供水一体化项目和城区供水提质改造项目。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eastAsia="zh-CN"/>
        </w:rPr>
      </w:pPr>
      <w:r>
        <w:rPr>
          <w:rFonts w:hint="eastAsia" w:ascii="黑体" w:hAnsi="黑体" w:eastAsia="黑体" w:cs="黑体"/>
          <w:kern w:val="2"/>
          <w:sz w:val="32"/>
          <w:szCs w:val="32"/>
          <w:lang w:eastAsia="zh-CN"/>
        </w:rPr>
        <w:t>三、</w:t>
      </w:r>
      <w:r>
        <w:rPr>
          <w:rFonts w:hint="eastAsia" w:ascii="黑体" w:hAnsi="黑体" w:eastAsia="黑体" w:cs="黑体"/>
          <w:kern w:val="2"/>
          <w:sz w:val="32"/>
          <w:szCs w:val="32"/>
        </w:rPr>
        <w:t>政府性基金预算支出情况</w:t>
      </w:r>
      <w:r>
        <w:rPr>
          <w:rFonts w:hint="eastAsia" w:ascii="黑体" w:hAnsi="黑体" w:eastAsia="黑体" w:cs="黑体"/>
          <w:kern w:val="2"/>
          <w:sz w:val="32"/>
          <w:szCs w:val="32"/>
          <w:lang w:eastAsia="zh-CN"/>
        </w:rPr>
        <w:t>。</w:t>
      </w:r>
    </w:p>
    <w:p>
      <w:pPr>
        <w:tabs>
          <w:tab w:val="left" w:pos="2296"/>
        </w:tabs>
        <w:spacing w:line="600" w:lineRule="exact"/>
        <w:ind w:firstLine="640" w:firstLineChars="200"/>
        <w:rPr>
          <w:rFonts w:eastAsia="仿宋_GB2312"/>
          <w:sz w:val="32"/>
          <w:szCs w:val="32"/>
        </w:rPr>
      </w:pPr>
      <w:r>
        <w:rPr>
          <w:rFonts w:eastAsia="仿宋_GB2312"/>
          <w:sz w:val="32"/>
          <w:szCs w:val="32"/>
        </w:rPr>
        <w:t>项目支出系</w:t>
      </w:r>
      <w:r>
        <w:rPr>
          <w:rFonts w:hint="eastAsia" w:eastAsia="仿宋_GB2312"/>
          <w:sz w:val="32"/>
          <w:szCs w:val="32"/>
          <w:lang w:eastAsia="zh-CN"/>
        </w:rPr>
        <w:t>本单位</w:t>
      </w:r>
      <w:r>
        <w:rPr>
          <w:rFonts w:eastAsia="仿宋_GB2312"/>
          <w:sz w:val="32"/>
          <w:szCs w:val="32"/>
        </w:rPr>
        <w:t>为完成</w:t>
      </w:r>
      <w:r>
        <w:rPr>
          <w:rFonts w:hint="eastAsia" w:eastAsia="仿宋_GB2312"/>
          <w:sz w:val="32"/>
          <w:szCs w:val="32"/>
          <w:lang w:eastAsia="zh-CN"/>
        </w:rPr>
        <w:t>农业农村各项目</w:t>
      </w:r>
      <w:r>
        <w:rPr>
          <w:rFonts w:eastAsia="仿宋_GB2312"/>
          <w:sz w:val="32"/>
          <w:szCs w:val="32"/>
        </w:rPr>
        <w:t>工作而发生的支出，包括</w:t>
      </w:r>
      <w:r>
        <w:rPr>
          <w:rFonts w:hint="eastAsia" w:eastAsia="仿宋_GB2312"/>
          <w:sz w:val="32"/>
          <w:szCs w:val="32"/>
          <w:lang w:eastAsia="zh-CN"/>
        </w:rPr>
        <w:t>各项目相应的办公费，打印费，咨询服务费和基础建设，及对农业生产发展的补助等</w:t>
      </w:r>
      <w:r>
        <w:rPr>
          <w:rFonts w:eastAsia="仿宋_GB2312"/>
          <w:sz w:val="32"/>
          <w:szCs w:val="32"/>
        </w:rPr>
        <w:t>。20</w:t>
      </w:r>
      <w:r>
        <w:rPr>
          <w:rFonts w:hint="eastAsia" w:eastAsia="仿宋_GB2312"/>
          <w:sz w:val="32"/>
          <w:szCs w:val="32"/>
          <w:lang w:val="en-US" w:eastAsia="zh-CN"/>
        </w:rPr>
        <w:t>24</w:t>
      </w:r>
      <w:r>
        <w:rPr>
          <w:rFonts w:eastAsia="仿宋_GB2312"/>
          <w:sz w:val="32"/>
          <w:szCs w:val="32"/>
        </w:rPr>
        <w:t>年项目支出</w:t>
      </w:r>
      <w:r>
        <w:rPr>
          <w:rFonts w:hint="eastAsia" w:eastAsia="仿宋_GB2312"/>
          <w:sz w:val="32"/>
          <w:szCs w:val="32"/>
          <w:lang w:val="en-US" w:eastAsia="zh-CN"/>
        </w:rPr>
        <w:t>947.03</w:t>
      </w:r>
      <w:r>
        <w:rPr>
          <w:rFonts w:eastAsia="仿宋_GB2312"/>
          <w:sz w:val="32"/>
          <w:szCs w:val="32"/>
        </w:rPr>
        <w:t>万元，比上年</w:t>
      </w:r>
      <w:r>
        <w:rPr>
          <w:rFonts w:hint="eastAsia" w:eastAsia="仿宋_GB2312"/>
          <w:sz w:val="32"/>
          <w:szCs w:val="32"/>
          <w:lang w:eastAsia="zh-CN"/>
        </w:rPr>
        <w:t>减少</w:t>
      </w:r>
      <w:r>
        <w:rPr>
          <w:rFonts w:hint="eastAsia" w:eastAsia="仿宋_GB2312"/>
          <w:sz w:val="32"/>
          <w:szCs w:val="32"/>
          <w:lang w:val="en-US" w:eastAsia="zh-CN"/>
        </w:rPr>
        <w:t>35.97</w:t>
      </w:r>
      <w:r>
        <w:rPr>
          <w:rFonts w:eastAsia="仿宋_GB2312"/>
          <w:sz w:val="32"/>
          <w:szCs w:val="32"/>
        </w:rPr>
        <w:t>万元</w:t>
      </w:r>
      <w:r>
        <w:rPr>
          <w:rFonts w:hint="eastAsia" w:eastAsia="仿宋_GB2312"/>
          <w:sz w:val="32"/>
          <w:szCs w:val="32"/>
          <w:lang w:eastAsia="zh-CN"/>
        </w:rPr>
        <w:t>，</w:t>
      </w:r>
      <w:r>
        <w:rPr>
          <w:rFonts w:eastAsia="仿宋_GB2312"/>
          <w:sz w:val="32"/>
          <w:szCs w:val="32"/>
        </w:rPr>
        <w:t>其中</w:t>
      </w:r>
      <w:r>
        <w:rPr>
          <w:rFonts w:hint="eastAsia" w:eastAsia="仿宋_GB2312"/>
          <w:sz w:val="32"/>
          <w:szCs w:val="32"/>
          <w:lang w:eastAsia="zh-CN"/>
        </w:rPr>
        <w:t>：运行管理费用</w:t>
      </w:r>
      <w:r>
        <w:rPr>
          <w:rFonts w:eastAsia="仿宋_GB2312"/>
          <w:sz w:val="32"/>
          <w:szCs w:val="32"/>
        </w:rPr>
        <w:t>支出</w:t>
      </w:r>
      <w:r>
        <w:rPr>
          <w:rFonts w:hint="eastAsia" w:eastAsia="仿宋_GB2312"/>
          <w:sz w:val="32"/>
          <w:szCs w:val="32"/>
          <w:lang w:val="en-US" w:eastAsia="zh-CN"/>
        </w:rPr>
        <w:t>185.42</w:t>
      </w:r>
      <w:r>
        <w:rPr>
          <w:rFonts w:eastAsia="仿宋_GB2312"/>
          <w:sz w:val="32"/>
          <w:szCs w:val="32"/>
        </w:rPr>
        <w:t>万元，比上年</w:t>
      </w:r>
      <w:r>
        <w:rPr>
          <w:rFonts w:hint="eastAsia" w:eastAsia="仿宋_GB2312"/>
          <w:sz w:val="32"/>
          <w:szCs w:val="32"/>
          <w:lang w:eastAsia="zh-CN"/>
        </w:rPr>
        <w:t>减少</w:t>
      </w:r>
      <w:r>
        <w:rPr>
          <w:rFonts w:hint="eastAsia" w:eastAsia="仿宋_GB2312"/>
          <w:sz w:val="32"/>
          <w:szCs w:val="32"/>
          <w:lang w:val="en-US" w:eastAsia="zh-CN"/>
        </w:rPr>
        <w:t>287.04</w:t>
      </w:r>
      <w:r>
        <w:rPr>
          <w:rFonts w:eastAsia="仿宋_GB2312"/>
          <w:sz w:val="32"/>
          <w:szCs w:val="32"/>
        </w:rPr>
        <w:t>万元，主要是</w:t>
      </w:r>
      <w:r>
        <w:rPr>
          <w:rFonts w:hint="eastAsia" w:eastAsia="仿宋_GB2312"/>
          <w:sz w:val="32"/>
          <w:szCs w:val="32"/>
          <w:lang w:eastAsia="zh-CN"/>
        </w:rPr>
        <w:t>项目减少</w:t>
      </w:r>
      <w:r>
        <w:rPr>
          <w:rFonts w:eastAsia="仿宋_GB2312"/>
          <w:sz w:val="32"/>
          <w:szCs w:val="32"/>
        </w:rPr>
        <w:t>；</w:t>
      </w:r>
      <w:r>
        <w:rPr>
          <w:rFonts w:hint="eastAsia" w:eastAsia="仿宋_GB2312"/>
          <w:sz w:val="32"/>
          <w:szCs w:val="32"/>
          <w:lang w:eastAsia="zh-CN"/>
        </w:rPr>
        <w:t>农业补助</w:t>
      </w:r>
      <w:r>
        <w:rPr>
          <w:rFonts w:eastAsia="仿宋_GB2312"/>
          <w:sz w:val="32"/>
          <w:szCs w:val="32"/>
        </w:rPr>
        <w:t>支出</w:t>
      </w:r>
      <w:r>
        <w:rPr>
          <w:rFonts w:hint="eastAsia" w:eastAsia="仿宋_GB2312"/>
          <w:sz w:val="32"/>
          <w:szCs w:val="32"/>
          <w:lang w:val="en-US" w:eastAsia="zh-CN"/>
        </w:rPr>
        <w:t>6</w:t>
      </w:r>
      <w:r>
        <w:rPr>
          <w:rFonts w:eastAsia="仿宋_GB2312"/>
          <w:sz w:val="32"/>
          <w:szCs w:val="32"/>
        </w:rPr>
        <w:t>万元，比上年</w:t>
      </w:r>
      <w:r>
        <w:rPr>
          <w:rFonts w:hint="eastAsia" w:eastAsia="仿宋_GB2312"/>
          <w:sz w:val="32"/>
          <w:szCs w:val="32"/>
          <w:lang w:eastAsia="zh-CN"/>
        </w:rPr>
        <w:t>减少</w:t>
      </w:r>
      <w:r>
        <w:rPr>
          <w:rFonts w:hint="eastAsia" w:eastAsia="仿宋_GB2312"/>
          <w:sz w:val="32"/>
          <w:szCs w:val="32"/>
          <w:lang w:val="en-US" w:eastAsia="zh-CN"/>
        </w:rPr>
        <w:t>30.47</w:t>
      </w:r>
      <w:r>
        <w:rPr>
          <w:rFonts w:eastAsia="仿宋_GB2312"/>
          <w:sz w:val="32"/>
          <w:szCs w:val="32"/>
        </w:rPr>
        <w:t>万元，</w:t>
      </w:r>
      <w:r>
        <w:rPr>
          <w:rFonts w:hint="eastAsia" w:eastAsia="仿宋_GB2312"/>
          <w:sz w:val="32"/>
          <w:szCs w:val="32"/>
          <w:lang w:eastAsia="zh-CN"/>
        </w:rPr>
        <w:t>减少</w:t>
      </w:r>
      <w:r>
        <w:rPr>
          <w:rFonts w:hint="eastAsia" w:eastAsia="仿宋_GB2312"/>
          <w:sz w:val="32"/>
          <w:szCs w:val="32"/>
          <w:lang w:val="en-US" w:eastAsia="zh-CN"/>
        </w:rPr>
        <w:t>83</w:t>
      </w:r>
      <w:r>
        <w:rPr>
          <w:rFonts w:eastAsia="仿宋_GB2312"/>
          <w:sz w:val="32"/>
          <w:szCs w:val="32"/>
        </w:rPr>
        <w:t>%，主要是</w:t>
      </w:r>
      <w:r>
        <w:rPr>
          <w:rFonts w:hint="eastAsia" w:eastAsia="仿宋_GB2312"/>
          <w:sz w:val="32"/>
          <w:szCs w:val="32"/>
          <w:lang w:eastAsia="zh-CN"/>
        </w:rPr>
        <w:t>水库移民口粮补助减少</w:t>
      </w:r>
      <w:r>
        <w:rPr>
          <w:rFonts w:hint="eastAsia" w:eastAsia="仿宋_GB2312"/>
          <w:sz w:val="32"/>
          <w:szCs w:val="32"/>
          <w:lang w:val="en-US" w:eastAsia="zh-CN"/>
        </w:rPr>
        <w:t>。资本性支出755.6 万元，比上年增加281.54万元，主要是扶助水库移民工程增加。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Times New Roman" w:hAnsi="Times New Roman" w:eastAsia="黑体" w:cs="Times New Roman"/>
          <w:kern w:val="2"/>
          <w:sz w:val="32"/>
          <w:szCs w:val="32"/>
        </w:rPr>
      </w:pPr>
      <w:r>
        <w:rPr>
          <w:rFonts w:hint="eastAsia" w:ascii="Times New Roman" w:hAnsi="Times New Roman" w:eastAsia="黑体" w:cs="Times New Roman"/>
          <w:kern w:val="2"/>
          <w:sz w:val="32"/>
          <w:szCs w:val="32"/>
          <w:lang w:eastAsia="zh-CN"/>
        </w:rPr>
        <w:t>四、</w:t>
      </w:r>
      <w:r>
        <w:rPr>
          <w:rFonts w:hint="default" w:ascii="Times New Roman" w:hAnsi="Times New Roman" w:eastAsia="黑体" w:cs="Times New Roman"/>
          <w:kern w:val="2"/>
          <w:sz w:val="32"/>
          <w:szCs w:val="32"/>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Times New Roman" w:hAnsi="Times New Roman" w:eastAsia="黑体" w:cs="Times New Roman"/>
          <w:kern w:val="2"/>
          <w:sz w:val="32"/>
          <w:szCs w:val="32"/>
          <w:lang w:val="en-US" w:eastAsia="zh-CN"/>
        </w:rPr>
      </w:pPr>
      <w:r>
        <w:rPr>
          <w:rFonts w:hint="eastAsia" w:ascii="Times New Roman" w:hAnsi="Times New Roman" w:eastAsia="黑体" w:cs="Times New Roman"/>
          <w:kern w:val="2"/>
          <w:sz w:val="32"/>
          <w:szCs w:val="32"/>
          <w:lang w:val="en-US" w:eastAsia="zh-CN"/>
        </w:rPr>
        <w:t xml:space="preserve">     本年度没有。</w:t>
      </w:r>
    </w:p>
    <w:p>
      <w:pPr>
        <w:numPr>
          <w:ilvl w:val="0"/>
          <w:numId w:val="0"/>
        </w:numPr>
        <w:tabs>
          <w:tab w:val="left" w:pos="2296"/>
        </w:tabs>
        <w:spacing w:line="600" w:lineRule="exact"/>
        <w:ind w:leftChars="200"/>
        <w:rPr>
          <w:rFonts w:hint="default" w:ascii="Times New Roman" w:hAnsi="Times New Roman" w:eastAsia="黑体" w:cs="Times New Roman"/>
          <w:kern w:val="2"/>
          <w:sz w:val="32"/>
          <w:szCs w:val="32"/>
        </w:rPr>
      </w:pPr>
      <w:r>
        <w:rPr>
          <w:rFonts w:hint="eastAsia" w:ascii="Times New Roman" w:hAnsi="Times New Roman" w:eastAsia="黑体" w:cs="Times New Roman"/>
          <w:kern w:val="2"/>
          <w:sz w:val="32"/>
          <w:szCs w:val="32"/>
          <w:lang w:eastAsia="zh-CN"/>
        </w:rPr>
        <w:t>五、</w:t>
      </w:r>
      <w:r>
        <w:rPr>
          <w:rFonts w:hint="default" w:ascii="Times New Roman" w:hAnsi="Times New Roman" w:eastAsia="黑体" w:cs="Times New Roman"/>
          <w:kern w:val="2"/>
          <w:sz w:val="32"/>
          <w:szCs w:val="32"/>
        </w:rPr>
        <w:t>社会保险基金预算支出情况</w:t>
      </w:r>
    </w:p>
    <w:p>
      <w:pPr>
        <w:numPr>
          <w:ilvl w:val="0"/>
          <w:numId w:val="0"/>
        </w:numPr>
        <w:tabs>
          <w:tab w:val="left" w:pos="2296"/>
        </w:tabs>
        <w:spacing w:line="600" w:lineRule="exact"/>
        <w:ind w:leftChars="200"/>
        <w:rPr>
          <w:rFonts w:hint="default" w:ascii="Times New Roman" w:hAnsi="Times New Roman" w:eastAsia="黑体" w:cs="Times New Roman"/>
          <w:kern w:val="2"/>
          <w:sz w:val="32"/>
          <w:szCs w:val="32"/>
          <w:lang w:val="en-US" w:eastAsia="zh-CN"/>
        </w:rPr>
      </w:pPr>
      <w:r>
        <w:rPr>
          <w:rFonts w:hint="eastAsia" w:ascii="Times New Roman" w:hAnsi="Times New Roman" w:eastAsia="黑体" w:cs="Times New Roman"/>
          <w:kern w:val="2"/>
          <w:sz w:val="32"/>
          <w:szCs w:val="32"/>
          <w:lang w:val="en-US" w:eastAsia="zh-CN"/>
        </w:rPr>
        <w:t xml:space="preserve">     本年度没有，</w:t>
      </w:r>
    </w:p>
    <w:p>
      <w:pPr>
        <w:widowControl/>
        <w:numPr>
          <w:ilvl w:val="0"/>
          <w:numId w:val="0"/>
        </w:numPr>
        <w:spacing w:line="600" w:lineRule="exact"/>
        <w:ind w:firstLine="320" w:firstLineChars="10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部门整体支出绩效情况</w:t>
      </w:r>
    </w:p>
    <w:p>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eastAsia="zh-CN"/>
        </w:rPr>
        <w:t>（</w:t>
      </w:r>
      <w:r>
        <w:rPr>
          <w:rFonts w:hint="default" w:ascii="Times New Roman" w:hAnsi="Times New Roman" w:eastAsia="方正楷体简体" w:cs="Times New Roman"/>
          <w:b/>
          <w:bCs/>
          <w:sz w:val="32"/>
          <w:szCs w:val="32"/>
          <w:lang w:val="en-US" w:eastAsia="zh-CN"/>
        </w:rPr>
        <w:t>一）抓好稳产保供，夯实农业发展根基</w:t>
      </w:r>
    </w:p>
    <w:p>
      <w:pPr>
        <w:pStyle w:val="2"/>
        <w:pageBreakBefore w:val="0"/>
        <w:widowControl w:val="0"/>
        <w:kinsoku/>
        <w:wordWrap/>
        <w:overflowPunct/>
        <w:topLinePunct w:val="0"/>
        <w:autoSpaceDE/>
        <w:autoSpaceDN/>
        <w:bidi w:val="0"/>
        <w:adjustRightInd w:val="0"/>
        <w:snapToGrid w:val="0"/>
        <w:spacing w:line="540" w:lineRule="exact"/>
        <w:ind w:right="0" w:firstLine="640" w:firstLineChars="200"/>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bCs/>
          <w:sz w:val="32"/>
          <w:szCs w:val="32"/>
          <w:u w:val="none"/>
          <w:lang w:val="en-US" w:eastAsia="zh-CN"/>
        </w:rPr>
        <w:t>一是抓好粮食生产工作。</w:t>
      </w:r>
      <w:r>
        <w:rPr>
          <w:rFonts w:hint="default" w:ascii="Times New Roman" w:hAnsi="Times New Roman" w:eastAsia="方正仿宋简体" w:cs="Times New Roman"/>
          <w:b w:val="0"/>
          <w:bCs w:val="0"/>
          <w:sz w:val="32"/>
          <w:szCs w:val="32"/>
          <w:u w:val="none"/>
          <w:lang w:val="en-US" w:eastAsia="zh-CN"/>
        </w:rPr>
        <w:t>圆满完成全年3万亩粮食生产任务，</w:t>
      </w:r>
      <w:r>
        <w:rPr>
          <w:rFonts w:hint="default" w:ascii="Times New Roman" w:hAnsi="Times New Roman" w:eastAsia="方正仿宋简体" w:cs="Times New Roman"/>
          <w:sz w:val="32"/>
          <w:szCs w:val="32"/>
          <w:lang w:val="en-US" w:eastAsia="zh-CN"/>
        </w:rPr>
        <w:t>创建</w:t>
      </w:r>
      <w:r>
        <w:rPr>
          <w:rFonts w:hint="default" w:ascii="Times New Roman" w:hAnsi="Times New Roman" w:eastAsia="方正仿宋简体" w:cs="Times New Roman"/>
          <w:color w:val="auto"/>
          <w:kern w:val="2"/>
          <w:sz w:val="32"/>
          <w:szCs w:val="32"/>
          <w:lang w:val="en-US" w:eastAsia="zh-CN" w:bidi="ar-SA"/>
        </w:rPr>
        <w:t>双季稻绿色高质高效千亩示范片1个、百亩示范点2个，</w:t>
      </w:r>
      <w:r>
        <w:rPr>
          <w:rFonts w:hint="default" w:ascii="Times New Roman" w:hAnsi="Times New Roman" w:eastAsia="方正仿宋简体" w:cs="Times New Roman"/>
          <w:sz w:val="32"/>
          <w:szCs w:val="32"/>
          <w:lang w:val="en-US" w:eastAsia="zh-CN"/>
        </w:rPr>
        <w:t>预计全年粮食产量达1.18万吨。</w:t>
      </w:r>
      <w:r>
        <w:rPr>
          <w:rFonts w:hint="default" w:ascii="Times New Roman" w:hAnsi="Times New Roman" w:eastAsia="方正仿宋简体" w:cs="Times New Roman"/>
          <w:color w:val="auto"/>
          <w:sz w:val="32"/>
          <w:szCs w:val="32"/>
          <w:lang w:val="en-US" w:eastAsia="zh-CN"/>
        </w:rPr>
        <w:t>尝试“北粮南种”，引进吉宏6号优质稻种，开展田间试验，如试验成功，可以推广种植，高品质稻米较高的价格优势不仅能大幅提高农民种粮收益和种粮积极性，也为今后打造南岳“寿米”品牌打下基础。</w:t>
      </w:r>
      <w:r>
        <w:rPr>
          <w:rFonts w:hint="default" w:ascii="Times New Roman" w:hAnsi="Times New Roman" w:eastAsia="方正仿宋简体" w:cs="Times New Roman"/>
          <w:b/>
          <w:bCs/>
          <w:sz w:val="32"/>
          <w:szCs w:val="32"/>
          <w:lang w:val="en-US" w:eastAsia="zh-CN"/>
        </w:rPr>
        <w:t>二是确保生猪稳产保供。</w:t>
      </w:r>
      <w:r>
        <w:rPr>
          <w:rFonts w:hint="default" w:ascii="Times New Roman" w:hAnsi="Times New Roman" w:eastAsia="方正仿宋简体" w:cs="Times New Roman"/>
          <w:sz w:val="32"/>
          <w:szCs w:val="32"/>
          <w:lang w:val="en-US" w:eastAsia="zh-CN"/>
        </w:rPr>
        <w:t>常态化开展重大动物疫病防控工作，</w:t>
      </w:r>
      <w:r>
        <w:rPr>
          <w:rFonts w:hint="default" w:ascii="Times New Roman" w:hAnsi="Times New Roman" w:eastAsia="方正仿宋简体" w:cs="Times New Roman"/>
          <w:color w:val="auto"/>
          <w:sz w:val="32"/>
          <w:szCs w:val="32"/>
          <w:lang w:val="en-US" w:eastAsia="zh-CN"/>
        </w:rPr>
        <w:t>现有存栏生猪1.1万头，其中能繁母猪存栏0.12万头，全年累计出栏生猪1.66万头。推进小型B类屠宰场（</w:t>
      </w:r>
      <w:r>
        <w:rPr>
          <w:rFonts w:hint="default" w:ascii="Times New Roman" w:hAnsi="Times New Roman" w:eastAsia="方正仿宋简体" w:cs="Times New Roman"/>
          <w:b w:val="0"/>
          <w:bCs w:val="0"/>
          <w:color w:val="auto"/>
          <w:kern w:val="2"/>
          <w:sz w:val="32"/>
          <w:szCs w:val="32"/>
          <w:lang w:val="en-US" w:eastAsia="zh-CN" w:bidi="ar-SA"/>
        </w:rPr>
        <w:t>点）建设，已经办理好营业执照，正在办理国土用地手续。</w:t>
      </w:r>
      <w:r>
        <w:rPr>
          <w:rFonts w:hint="default" w:ascii="Times New Roman" w:hAnsi="Times New Roman" w:eastAsia="方正仿宋简体" w:cs="Times New Roman"/>
          <w:b/>
          <w:bCs/>
          <w:kern w:val="2"/>
          <w:sz w:val="32"/>
          <w:szCs w:val="32"/>
          <w:lang w:val="en-US" w:eastAsia="zh-CN" w:bidi="ar-SA"/>
        </w:rPr>
        <w:t>三是加大农产品日常检测力度。</w:t>
      </w:r>
      <w:r>
        <w:rPr>
          <w:rFonts w:hint="default" w:ascii="Times New Roman" w:hAnsi="Times New Roman" w:eastAsia="方正仿宋简体" w:cs="Times New Roman"/>
          <w:b w:val="0"/>
          <w:bCs w:val="0"/>
          <w:color w:val="auto"/>
          <w:kern w:val="2"/>
          <w:sz w:val="32"/>
          <w:szCs w:val="32"/>
          <w:lang w:val="en-US" w:eastAsia="zh-CN" w:bidi="ar-SA"/>
        </w:rPr>
        <w:t>市级畜禽水产品、果蔬产品</w:t>
      </w:r>
      <w:r>
        <w:rPr>
          <w:rFonts w:hint="default" w:ascii="Times New Roman" w:hAnsi="Times New Roman" w:eastAsia="方正仿宋简体" w:cs="Times New Roman"/>
          <w:b w:val="0"/>
          <w:bCs w:val="0"/>
          <w:color w:val="auto"/>
          <w:kern w:val="2"/>
          <w:sz w:val="32"/>
          <w:szCs w:val="32"/>
          <w:u w:val="none"/>
          <w:lang w:val="en-US" w:eastAsia="zh-CN" w:bidi="ar-SA"/>
        </w:rPr>
        <w:t>定量检测</w:t>
      </w:r>
      <w:r>
        <w:rPr>
          <w:rFonts w:hint="default" w:ascii="Times New Roman" w:hAnsi="Times New Roman" w:eastAsia="方正仿宋简体" w:cs="Times New Roman"/>
          <w:b w:val="0"/>
          <w:bCs w:val="0"/>
          <w:color w:val="auto"/>
          <w:kern w:val="2"/>
          <w:sz w:val="32"/>
          <w:szCs w:val="32"/>
          <w:lang w:val="en-US" w:eastAsia="zh-CN" w:bidi="ar-SA"/>
        </w:rPr>
        <w:t>合格率为100%、区快速检测合格率达99.5%。</w:t>
      </w:r>
      <w:r>
        <w:rPr>
          <w:rFonts w:hint="default" w:ascii="Times New Roman" w:hAnsi="Times New Roman" w:eastAsia="方正仿宋简体" w:cs="Times New Roman"/>
          <w:b/>
          <w:bCs/>
          <w:kern w:val="2"/>
          <w:sz w:val="32"/>
          <w:szCs w:val="32"/>
          <w:lang w:val="en-US" w:eastAsia="zh-CN" w:bidi="ar-SA"/>
        </w:rPr>
        <w:t>四是</w:t>
      </w:r>
      <w:r>
        <w:rPr>
          <w:rFonts w:hint="default" w:ascii="Times New Roman" w:hAnsi="Times New Roman" w:eastAsia="方正仿宋简体" w:cs="Times New Roman"/>
          <w:b/>
          <w:bCs/>
          <w:color w:val="auto"/>
          <w:sz w:val="32"/>
          <w:szCs w:val="32"/>
          <w:lang w:val="en-US" w:eastAsia="zh-CN"/>
        </w:rPr>
        <w:t>严守耕地红线。</w:t>
      </w:r>
      <w:r>
        <w:rPr>
          <w:rFonts w:hint="default" w:ascii="Times New Roman" w:hAnsi="Times New Roman" w:eastAsia="方正仿宋简体" w:cs="Times New Roman"/>
          <w:b w:val="0"/>
          <w:bCs w:val="0"/>
          <w:color w:val="auto"/>
          <w:kern w:val="2"/>
          <w:sz w:val="32"/>
          <w:szCs w:val="32"/>
          <w:lang w:val="en-US" w:eastAsia="zh-CN" w:bidi="ar-SA"/>
        </w:rPr>
        <w:t>出台专项整治方案，深入村（社区）开展指导，省级交办耕地撂荒治理35个图斑现已全部整改销号。</w:t>
      </w:r>
      <w:r>
        <w:rPr>
          <w:rFonts w:hint="default" w:ascii="Times New Roman" w:hAnsi="Times New Roman" w:eastAsia="方正仿宋简体" w:cs="Times New Roman"/>
          <w:b/>
          <w:bCs/>
          <w:color w:val="auto"/>
          <w:kern w:val="2"/>
          <w:sz w:val="32"/>
          <w:szCs w:val="32"/>
          <w:lang w:val="en-US" w:eastAsia="zh-CN" w:bidi="ar-SA"/>
        </w:rPr>
        <w:t>五是加快补齐农田水利建设短板。</w:t>
      </w:r>
      <w:r>
        <w:rPr>
          <w:rFonts w:hint="default" w:ascii="Times New Roman" w:hAnsi="Times New Roman" w:eastAsia="方正仿宋简体" w:cs="Times New Roman"/>
          <w:b w:val="0"/>
          <w:bCs w:val="0"/>
          <w:color w:val="auto"/>
          <w:kern w:val="2"/>
          <w:sz w:val="32"/>
          <w:szCs w:val="32"/>
          <w:lang w:val="en-US" w:eastAsia="zh-CN" w:bidi="ar-SA"/>
        </w:rPr>
        <w:t>扎实推进大禾田水库除险加固、城区河道清淤工程、山塘清淤整治等重点民生实事，新增蓄水能力14.5万方。</w:t>
      </w:r>
    </w:p>
    <w:p>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（二）聚焦成果巩固，坚决守牢返贫致贫底线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0" w:leftChars="0" w:right="0" w:rightChars="0" w:firstLine="640" w:firstLineChars="200"/>
        <w:textAlignment w:val="auto"/>
        <w:rPr>
          <w:rFonts w:hint="default" w:ascii="Times New Roman" w:hAnsi="Times New Roman" w:eastAsia="方正楷体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sz w:val="32"/>
          <w:szCs w:val="32"/>
          <w:lang w:val="en-US" w:eastAsia="zh-CN"/>
        </w:rPr>
        <w:t>一是持续健全完善防返贫动态监测和帮扶机制</w:t>
      </w:r>
      <w:r>
        <w:rPr>
          <w:rFonts w:hint="default" w:ascii="Times New Roman" w:hAnsi="Times New Roman" w:eastAsia="方正仿宋简体" w:cs="Times New Roman"/>
          <w:color w:val="auto"/>
          <w:sz w:val="32"/>
          <w:szCs w:val="32"/>
          <w:lang w:val="en-US" w:eastAsia="zh-CN"/>
        </w:rPr>
        <w:t>，巩固脱贫攻坚成果，全区脱贫人口人均纯收入实现20165元，增速达15.6%。</w:t>
      </w:r>
      <w:r>
        <w:rPr>
          <w:rFonts w:hint="default" w:ascii="Times New Roman" w:hAnsi="Times New Roman" w:eastAsia="方正仿宋简体" w:cs="Times New Roman"/>
          <w:b/>
          <w:bCs/>
          <w:color w:val="auto"/>
          <w:sz w:val="32"/>
          <w:szCs w:val="32"/>
          <w:lang w:val="en-US" w:eastAsia="zh-CN"/>
        </w:rPr>
        <w:t>二是加大衔接资金投入。</w:t>
      </w:r>
      <w:r>
        <w:rPr>
          <w:rFonts w:hint="default" w:ascii="Times New Roman" w:hAnsi="Times New Roman" w:eastAsia="方正仿宋简体" w:cs="Times New Roman"/>
          <w:color w:val="auto"/>
          <w:sz w:val="32"/>
          <w:szCs w:val="32"/>
          <w:lang w:val="en-US" w:eastAsia="zh-CN"/>
        </w:rPr>
        <w:t>截至目前，南岳区衔接资金到账共计2992.8万元，衔接资金整体支出进度达93%。年度实施项目数量60个，已开工项目数60个，项目开工率100%。</w:t>
      </w:r>
      <w:r>
        <w:rPr>
          <w:rFonts w:hint="default" w:ascii="Times New Roman" w:hAnsi="Times New Roman" w:eastAsia="方正仿宋简体" w:cs="Times New Roman"/>
          <w:b w:val="0"/>
          <w:bCs w:val="0"/>
          <w:color w:val="auto"/>
          <w:sz w:val="32"/>
          <w:szCs w:val="32"/>
          <w:lang w:val="en-US" w:eastAsia="zh-CN"/>
        </w:rPr>
        <w:t>中央财政衔接推进乡村振兴补助资金用</w:t>
      </w:r>
      <w:r>
        <w:rPr>
          <w:rFonts w:hint="default" w:ascii="Times New Roman" w:hAnsi="Times New Roman" w:eastAsia="方正仿宋简体" w:cs="Times New Roman"/>
          <w:color w:val="auto"/>
          <w:spacing w:val="0"/>
          <w:kern w:val="2"/>
          <w:position w:val="0"/>
          <w:sz w:val="32"/>
          <w:szCs w:val="32"/>
          <w:lang w:val="en-US" w:eastAsia="zh-CN"/>
        </w:rPr>
        <w:t>于产业帮扶比例达到79%。</w:t>
      </w:r>
      <w:r>
        <w:rPr>
          <w:rFonts w:hint="default" w:ascii="Times New Roman" w:hAnsi="Times New Roman" w:eastAsia="方正仿宋简体" w:cs="Times New Roman"/>
          <w:b/>
          <w:bCs/>
          <w:color w:val="auto"/>
          <w:sz w:val="32"/>
          <w:szCs w:val="32"/>
          <w:lang w:val="en-US" w:eastAsia="zh-CN"/>
        </w:rPr>
        <w:t>三是</w:t>
      </w:r>
      <w:r>
        <w:rPr>
          <w:rFonts w:hint="default" w:ascii="Times New Roman" w:hAnsi="Times New Roman" w:eastAsia="方正仿宋简体" w:cs="Times New Roman"/>
          <w:b/>
          <w:bCs/>
          <w:color w:val="auto"/>
          <w:kern w:val="2"/>
          <w:sz w:val="32"/>
          <w:szCs w:val="32"/>
          <w:lang w:val="en-US" w:eastAsia="zh-CN" w:bidi="ar-SA"/>
        </w:rPr>
        <w:t>抓实脱贫群众持续增收。</w:t>
      </w:r>
      <w:r>
        <w:rPr>
          <w:rFonts w:hint="default" w:ascii="Times New Roman" w:hAnsi="Times New Roman" w:eastAsia="方正仿宋简体" w:cs="Times New Roman"/>
          <w:b w:val="0"/>
          <w:bCs w:val="0"/>
          <w:color w:val="auto"/>
          <w:kern w:val="2"/>
          <w:sz w:val="32"/>
          <w:szCs w:val="32"/>
          <w:lang w:val="en-US" w:eastAsia="zh-CN" w:bidi="ar-SA"/>
        </w:rPr>
        <w:t>完成脱贫人口稳岗就业707人，发放一次性交通补贴322人次、14.955万元。配备公益性岗位145人。全区共建成乡村车间19个，吸纳208名城乡劳动者就地就近就业。发放雨露计划补助7.05万元，全区2024年“雨露计划”毕业生就业率达94.44%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kern w:val="2"/>
          <w:sz w:val="32"/>
          <w:szCs w:val="32"/>
          <w:lang w:val="en-US" w:eastAsia="zh-CN" w:bidi="ar-SA"/>
        </w:rPr>
        <w:t>（三）</w:t>
      </w:r>
      <w:r>
        <w:rPr>
          <w:rFonts w:hint="default" w:ascii="Times New Roman" w:hAnsi="Times New Roman" w:eastAsia="方正楷体简体" w:cs="Times New Roman"/>
          <w:b/>
          <w:bCs/>
          <w:sz w:val="32"/>
          <w:szCs w:val="32"/>
          <w:lang w:val="en-US" w:eastAsia="zh-CN"/>
        </w:rPr>
        <w:t>坚持三产融合，推动现代农业高质发展。</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b/>
          <w:bCs/>
          <w:color w:val="auto"/>
          <w:kern w:val="0"/>
          <w:sz w:val="32"/>
          <w:szCs w:val="32"/>
          <w:lang w:val="en-US" w:eastAsia="zh-CN" w:bidi="ar-SA"/>
        </w:rPr>
        <w:t>一是特色产业蓬勃发展。</w:t>
      </w:r>
      <w:r>
        <w:rPr>
          <w:rFonts w:hint="default" w:ascii="Times New Roman" w:hAnsi="Times New Roman" w:eastAsia="方正仿宋简体" w:cs="Times New Roman"/>
          <w:color w:val="auto"/>
          <w:kern w:val="0"/>
          <w:sz w:val="32"/>
          <w:szCs w:val="32"/>
          <w:lang w:val="en-US" w:eastAsia="zh-CN" w:bidi="ar-SA"/>
        </w:rPr>
        <w:t>深入挖掘各村资源优势，成功培育一批特色鲜明的农业产业。大力支持寿岳乡发展林下经济，在全乡推广种植黄精千余亩，产销全链条已初步形成。支持南岳镇各村（社区）大力发展水果、蔬菜种植，在光明、紫峰、黄竹等村打造黄桃基地600余亩，在双田、新村、岳东社区建设葡萄园100余亩，在双田、红星、樟树桥建设蔬菜种植大棚800余亩。</w:t>
      </w:r>
      <w:r>
        <w:rPr>
          <w:rFonts w:hint="default" w:ascii="Times New Roman" w:hAnsi="Times New Roman" w:eastAsia="方正仿宋简体" w:cs="Times New Roman"/>
          <w:b/>
          <w:bCs/>
          <w:color w:val="auto"/>
          <w:kern w:val="0"/>
          <w:sz w:val="32"/>
          <w:szCs w:val="32"/>
          <w:lang w:val="en-US" w:eastAsia="zh-CN" w:bidi="ar-SA"/>
        </w:rPr>
        <w:t>二是强化茶业品牌打造。</w:t>
      </w:r>
      <w:r>
        <w:rPr>
          <w:rFonts w:hint="default" w:ascii="Times New Roman" w:hAnsi="Times New Roman" w:eastAsia="方正仿宋简体" w:cs="Times New Roman"/>
          <w:color w:val="auto"/>
          <w:sz w:val="32"/>
          <w:szCs w:val="32"/>
          <w:lang w:val="en-US" w:eastAsia="zh-CN"/>
        </w:rPr>
        <w:t>开展全方位、多层次、精细化的整体包装设计与策划工作，深度挖掘南岳寿文化、茶文化历史等元素，</w:t>
      </w:r>
      <w:r>
        <w:rPr>
          <w:rFonts w:hint="default" w:ascii="Times New Roman" w:hAnsi="Times New Roman" w:eastAsia="方正仿宋简体" w:cs="Times New Roman"/>
          <w:color w:val="auto"/>
          <w:kern w:val="0"/>
          <w:sz w:val="32"/>
          <w:szCs w:val="32"/>
          <w:lang w:val="en-US" w:eastAsia="zh-CN" w:bidi="ar-SA"/>
        </w:rPr>
        <w:t>拍摄制作独具创意的影像资料进行推广。</w:t>
      </w:r>
      <w:r>
        <w:rPr>
          <w:rFonts w:hint="default" w:ascii="Times New Roman" w:hAnsi="Times New Roman" w:eastAsia="方正仿宋简体" w:cs="Times New Roman"/>
          <w:color w:val="auto"/>
          <w:sz w:val="32"/>
          <w:szCs w:val="32"/>
          <w:lang w:val="en-US" w:eastAsia="zh-CN"/>
        </w:rPr>
        <w:t>今年组织区内茶企参加“农博会”“茶博会”等各类展销会3次，在北京“一带一路”产品推介会上对南岳云雾茶进行推介宣传，成功举办“茶祭”大典，</w:t>
      </w:r>
      <w:r>
        <w:rPr>
          <w:rFonts w:hint="default" w:ascii="Times New Roman" w:hAnsi="Times New Roman" w:eastAsia="方正仿宋简体" w:cs="Times New Roman"/>
          <w:color w:val="auto"/>
          <w:kern w:val="0"/>
          <w:sz w:val="32"/>
          <w:szCs w:val="32"/>
          <w:lang w:val="en-US" w:eastAsia="zh-CN" w:bidi="ar-SA"/>
        </w:rPr>
        <w:t>进一步提升“南岳云雾茶”品牌的知名度、美誉度与市场竞争力。</w:t>
      </w:r>
      <w:r>
        <w:rPr>
          <w:rFonts w:hint="default" w:ascii="Times New Roman" w:hAnsi="Times New Roman" w:eastAsia="方正仿宋简体" w:cs="Times New Roman"/>
          <w:b/>
          <w:bCs/>
          <w:color w:val="auto"/>
          <w:kern w:val="2"/>
          <w:sz w:val="32"/>
          <w:szCs w:val="32"/>
          <w:lang w:val="en-US" w:eastAsia="zh-CN" w:bidi="ar-SA"/>
        </w:rPr>
        <w:t>三是大力发展乡村旅游产业。</w:t>
      </w:r>
      <w:r>
        <w:rPr>
          <w:rFonts w:hint="default" w:ascii="Times New Roman" w:hAnsi="Times New Roman" w:eastAsia="方正仿宋简体" w:cs="Times New Roman"/>
          <w:b w:val="0"/>
          <w:bCs w:val="0"/>
          <w:color w:val="auto"/>
          <w:kern w:val="2"/>
          <w:sz w:val="32"/>
          <w:szCs w:val="32"/>
          <w:lang w:val="en-US" w:eastAsia="zh-CN" w:bidi="ar-SA"/>
        </w:rPr>
        <w:t>聚焦“吃住行游购娱”，打造一批集农业观光、休闲度假、农事体验、科普教育等于一体的乡村旅游综合体。</w:t>
      </w:r>
      <w:r>
        <w:rPr>
          <w:rFonts w:hint="default" w:ascii="Times New Roman" w:hAnsi="Times New Roman" w:eastAsia="方正仿宋简体" w:cs="Times New Roman"/>
          <w:b w:val="0"/>
          <w:bCs w:val="0"/>
          <w:color w:val="auto"/>
          <w:kern w:val="2"/>
          <w:sz w:val="32"/>
          <w:szCs w:val="32"/>
          <w:u w:val="none"/>
          <w:lang w:val="en-US" w:eastAsia="zh-CN" w:bidi="ar-SA"/>
        </w:rPr>
        <w:t>新村村和光明村依托优良自然资源，通过引进企业主体打造了以“民宿集群+乡村旅居”为中心的休闲度假区，安排乡村振兴衔接资金600万元，以村集体入股，每年享受固定分红的模式，持续带动村集体经济增长和农民增收。</w:t>
      </w:r>
      <w:r>
        <w:rPr>
          <w:rFonts w:hint="default" w:ascii="Times New Roman" w:hAnsi="Times New Roman" w:eastAsia="方正仿宋简体" w:cs="Times New Roman"/>
          <w:b w:val="0"/>
          <w:bCs w:val="0"/>
          <w:color w:val="auto"/>
          <w:kern w:val="2"/>
          <w:sz w:val="32"/>
          <w:szCs w:val="32"/>
          <w:lang w:val="en-US" w:eastAsia="zh-CN" w:bidi="ar-SA"/>
        </w:rPr>
        <w:t>龙池村采取“村集体经济组织＋国有文旅企业＋市场专业运营公司”的发展模式，立足千亩茶山风光布局以云由山顶生态露营基地为中心精品民宿群，打造了集茶园观光游憩、民宿康养度假、帐篷露营集会、乡野运动游乐、农事茶艺体验于一体的特色山居村落，预计2024年带动村集体经济收入增长30万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楷体简体" w:cs="Times New Roman"/>
          <w:b/>
          <w:bCs/>
          <w:color w:val="auto"/>
          <w:kern w:val="2"/>
          <w:sz w:val="32"/>
          <w:szCs w:val="32"/>
          <w:lang w:val="en-US" w:eastAsia="zh-CN" w:bidi="ar-SA"/>
        </w:rPr>
      </w:pPr>
      <w:r>
        <w:rPr>
          <w:rFonts w:hint="default" w:ascii="Times New Roman" w:hAnsi="Times New Roman" w:eastAsia="方正楷体简体" w:cs="Times New Roman"/>
          <w:b/>
          <w:bCs/>
          <w:color w:val="auto"/>
          <w:kern w:val="2"/>
          <w:sz w:val="32"/>
          <w:szCs w:val="32"/>
          <w:lang w:val="en-US" w:eastAsia="zh-CN" w:bidi="ar-SA"/>
        </w:rPr>
        <w:t>（四）改善人居环境，建设宜居宜业和美乡村</w:t>
      </w:r>
    </w:p>
    <w:p>
      <w:pPr>
        <w:pStyle w:val="2"/>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一是强化资金保障。</w:t>
      </w:r>
      <w:r>
        <w:rPr>
          <w:rFonts w:hint="default" w:ascii="Times New Roman" w:hAnsi="Times New Roman" w:eastAsia="方正仿宋简体" w:cs="Times New Roman"/>
          <w:color w:val="auto"/>
          <w:sz w:val="32"/>
          <w:szCs w:val="32"/>
          <w:u w:val="none"/>
          <w:lang w:eastAsia="zh-CN"/>
        </w:rPr>
        <w:t>将</w:t>
      </w:r>
      <w:r>
        <w:rPr>
          <w:rFonts w:hint="default" w:ascii="Times New Roman" w:hAnsi="Times New Roman" w:eastAsia="方正仿宋简体" w:cs="Times New Roman"/>
          <w:color w:val="auto"/>
          <w:sz w:val="32"/>
          <w:szCs w:val="32"/>
          <w:u w:val="none"/>
        </w:rPr>
        <w:t>美丽乡村建设、</w:t>
      </w:r>
      <w:r>
        <w:rPr>
          <w:rFonts w:hint="default" w:ascii="Times New Roman" w:hAnsi="Times New Roman" w:eastAsia="方正仿宋简体" w:cs="Times New Roman"/>
          <w:color w:val="auto"/>
          <w:sz w:val="32"/>
          <w:szCs w:val="32"/>
          <w:u w:val="none"/>
          <w:lang w:eastAsia="zh-CN"/>
        </w:rPr>
        <w:t>乡村振兴</w:t>
      </w:r>
      <w:r>
        <w:rPr>
          <w:rFonts w:hint="default" w:ascii="Times New Roman" w:hAnsi="Times New Roman" w:eastAsia="方正仿宋简体" w:cs="Times New Roman"/>
          <w:color w:val="auto"/>
          <w:sz w:val="32"/>
          <w:szCs w:val="32"/>
          <w:u w:val="none"/>
        </w:rPr>
        <w:t>等项目资金统筹实施</w:t>
      </w:r>
      <w:r>
        <w:rPr>
          <w:rFonts w:hint="default" w:ascii="Times New Roman" w:hAnsi="Times New Roman" w:eastAsia="方正仿宋简体" w:cs="Times New Roman"/>
          <w:color w:val="auto"/>
          <w:sz w:val="32"/>
          <w:szCs w:val="32"/>
          <w:u w:val="none"/>
          <w:lang w:eastAsia="zh-CN"/>
        </w:rPr>
        <w:t>，</w:t>
      </w:r>
      <w:r>
        <w:rPr>
          <w:rFonts w:hint="default" w:ascii="Times New Roman" w:hAnsi="Times New Roman" w:eastAsia="方正仿宋简体" w:cs="Times New Roman"/>
          <w:color w:val="auto"/>
          <w:sz w:val="32"/>
          <w:szCs w:val="32"/>
          <w:u w:val="none"/>
          <w:lang w:val="en-US" w:eastAsia="zh-CN"/>
        </w:rPr>
        <w:t>安排农村人居环境整治专项资金506万。船山村申报省级美丽乡村通过，获得200万省级美丽乡村建设资金。</w:t>
      </w:r>
      <w:r>
        <w:rPr>
          <w:rFonts w:hint="default" w:ascii="Times New Roman" w:hAnsi="Times New Roman" w:eastAsia="方正仿宋简体" w:cs="Times New Roman"/>
          <w:b/>
          <w:bCs/>
          <w:sz w:val="32"/>
          <w:szCs w:val="32"/>
          <w:u w:val="none"/>
          <w:lang w:val="en-US" w:eastAsia="zh-CN"/>
        </w:rPr>
        <w:t>二是</w:t>
      </w:r>
      <w:r>
        <w:rPr>
          <w:rFonts w:hint="default" w:ascii="Times New Roman" w:hAnsi="Times New Roman" w:eastAsia="方正仿宋简体" w:cs="Times New Roman"/>
          <w:b/>
          <w:bCs/>
          <w:color w:val="auto"/>
          <w:kern w:val="2"/>
          <w:sz w:val="32"/>
          <w:szCs w:val="32"/>
          <w:lang w:val="en-US" w:eastAsia="zh-CN" w:bidi="ar-SA"/>
        </w:rPr>
        <w:t>实施农村人居环境大整治大提升行动。</w:t>
      </w:r>
      <w:r>
        <w:rPr>
          <w:rFonts w:hint="default" w:ascii="Times New Roman" w:hAnsi="Times New Roman" w:eastAsia="方正仿宋简体" w:cs="Times New Roman"/>
          <w:b w:val="0"/>
          <w:bCs w:val="0"/>
          <w:color w:val="auto"/>
          <w:kern w:val="2"/>
          <w:sz w:val="32"/>
          <w:szCs w:val="32"/>
          <w:lang w:val="en-US" w:eastAsia="zh-CN" w:bidi="ar-SA"/>
        </w:rPr>
        <w:t>扎实推进农村“厕所革命”，完成40户农村改厕任务。在各村（社区）添置、投放各式垃圾箱180个，成堆生活垃圾基本实现动态清零</w:t>
      </w:r>
      <w:r>
        <w:rPr>
          <w:rFonts w:hint="default"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0"/>
          <w:szCs w:val="30"/>
          <w:lang w:val="en-US" w:eastAsia="zh-CN"/>
        </w:rPr>
        <w:t>完成龙荫港河道清淤、防汛排涝、垃圾清理3.2公里</w:t>
      </w:r>
      <w:r>
        <w:rPr>
          <w:rFonts w:hint="default"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color w:val="auto"/>
          <w:sz w:val="32"/>
          <w:szCs w:val="32"/>
          <w:u w:val="none"/>
          <w:lang w:val="en-US" w:eastAsia="zh-CN"/>
        </w:rPr>
        <w:t>村容村貌得到较大改善</w:t>
      </w:r>
      <w:r>
        <w:rPr>
          <w:rFonts w:hint="default"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eastAsia="方正仿宋简体" w:cs="Times New Roman"/>
          <w:b/>
          <w:bCs/>
          <w:color w:val="auto"/>
          <w:sz w:val="32"/>
          <w:szCs w:val="32"/>
          <w:lang w:val="en-US" w:eastAsia="zh-CN"/>
        </w:rPr>
        <w:t>三是</w:t>
      </w:r>
      <w:r>
        <w:rPr>
          <w:rFonts w:hint="default" w:ascii="Times New Roman" w:hAnsi="Times New Roman" w:eastAsia="方正仿宋简体" w:cs="Times New Roman"/>
          <w:b/>
          <w:bCs/>
          <w:color w:val="auto"/>
          <w:sz w:val="32"/>
          <w:szCs w:val="32"/>
          <w:u w:val="none"/>
          <w:lang w:val="en-US" w:eastAsia="zh-CN"/>
        </w:rPr>
        <w:t>建立健全长效机制。</w:t>
      </w:r>
      <w:r>
        <w:rPr>
          <w:rFonts w:hint="default" w:ascii="Times New Roman" w:hAnsi="Times New Roman" w:eastAsia="方正仿宋简体" w:cs="Times New Roman"/>
          <w:color w:val="auto"/>
          <w:kern w:val="0"/>
          <w:sz w:val="32"/>
          <w:szCs w:val="32"/>
          <w:lang w:val="en-US" w:eastAsia="zh-CN" w:bidi="ar-SA"/>
        </w:rPr>
        <w:t>出台了《南岳区农村人居环境整治提质扩面奖补实施方案》，明确美丽屋场、美丽片区、美丽路段的标准，积极开展相关评比活动，充分激发群众参与农村人居环境整治的积极性和创造性。其中，</w:t>
      </w:r>
      <w:r>
        <w:rPr>
          <w:rFonts w:hint="default" w:ascii="Times New Roman" w:hAnsi="Times New Roman" w:eastAsia="方正仿宋简体" w:cs="Times New Roman"/>
          <w:color w:val="auto"/>
          <w:sz w:val="32"/>
          <w:szCs w:val="32"/>
          <w:u w:val="none"/>
          <w:lang w:val="en-US" w:eastAsia="zh-CN"/>
        </w:rPr>
        <w:t>樟树桥村定冲组自筹资金26万余元、筹劳150余人，建设“定冲美丽屋场”，打造“一户一景”乡村景观，整治环境达1万平方米；双田村耕田组自筹资金18万余元，新建文化广场、绿化公园和高标准公共菜园，村民自发成立建设委员会，义务参与整治项目的全过程监督管理，共建共享幸福美好家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方正楷体简体" w:cs="Times New Roman"/>
          <w:b/>
          <w:bCs/>
          <w:color w:val="auto"/>
          <w:kern w:val="2"/>
          <w:sz w:val="32"/>
          <w:szCs w:val="32"/>
          <w:lang w:val="en-US" w:eastAsia="zh-CN" w:bidi="ar-SA"/>
        </w:rPr>
      </w:pPr>
      <w:r>
        <w:rPr>
          <w:rFonts w:hint="default" w:ascii="Times New Roman" w:hAnsi="Times New Roman" w:eastAsia="方正楷体简体" w:cs="Times New Roman"/>
          <w:b/>
          <w:bCs/>
          <w:color w:val="auto"/>
          <w:kern w:val="2"/>
          <w:sz w:val="32"/>
          <w:szCs w:val="32"/>
          <w:lang w:val="en-US" w:eastAsia="zh-CN" w:bidi="ar-SA"/>
        </w:rPr>
        <w:t>（五）筑牢安全防线，持续深化农村重点领域改革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仿宋" w:cs="Times New Roman"/>
          <w:b/>
          <w:bCs/>
          <w:sz w:val="32"/>
          <w:szCs w:val="32"/>
          <w:lang w:val="en-US" w:eastAsia="zh-CN"/>
        </w:rPr>
        <w:t>一是狠抓安全生产。</w:t>
      </w:r>
      <w:r>
        <w:rPr>
          <w:rFonts w:hint="default" w:ascii="Times New Roman" w:hAnsi="Times New Roman" w:eastAsia="仿宋" w:cs="Times New Roman"/>
          <w:sz w:val="32"/>
          <w:szCs w:val="32"/>
          <w:lang w:val="en-US" w:eastAsia="zh-CN"/>
        </w:rPr>
        <w:t>重点针对水利工程建设、农产品质量安全、农村沼气安全使用等领域，开展安全监督检查，全年检查全区重要水利工程、防汛设施和重点河道300余次、</w:t>
      </w:r>
      <w:r>
        <w:rPr>
          <w:rFonts w:hint="default" w:ascii="Times New Roman" w:hAnsi="Times New Roman" w:eastAsia="仿宋" w:cs="Times New Roman"/>
          <w:sz w:val="32"/>
          <w:szCs w:val="32"/>
          <w:lang w:eastAsia="zh-CN"/>
        </w:rPr>
        <w:t>农村沼气池</w:t>
      </w:r>
      <w:r>
        <w:rPr>
          <w:rFonts w:hint="default" w:ascii="Times New Roman" w:hAnsi="Times New Roman" w:eastAsia="仿宋" w:cs="Times New Roman"/>
          <w:sz w:val="32"/>
          <w:szCs w:val="32"/>
          <w:lang w:val="en-US" w:eastAsia="zh-CN"/>
        </w:rPr>
        <w:t>40余座，发放安全生产宣传资料1000余份。</w:t>
      </w:r>
      <w:r>
        <w:rPr>
          <w:rFonts w:hint="default" w:ascii="Times New Roman" w:hAnsi="Times New Roman" w:eastAsia="方正仿宋简体" w:cs="Times New Roman"/>
          <w:b/>
          <w:bCs/>
          <w:color w:val="auto"/>
          <w:kern w:val="2"/>
          <w:sz w:val="32"/>
          <w:szCs w:val="32"/>
          <w:lang w:val="en-US" w:eastAsia="zh-CN" w:bidi="ar-SA"/>
        </w:rPr>
        <w:t>二是扎实做好第二轮土地承包到期后再延长30年试点。</w:t>
      </w:r>
      <w:r>
        <w:rPr>
          <w:rFonts w:hint="default" w:ascii="Times New Roman" w:hAnsi="Times New Roman" w:eastAsia="方正仿宋简体" w:cs="Times New Roman"/>
          <w:b w:val="0"/>
          <w:bCs w:val="0"/>
          <w:color w:val="auto"/>
          <w:kern w:val="2"/>
          <w:sz w:val="32"/>
          <w:szCs w:val="32"/>
          <w:lang w:val="en-US" w:eastAsia="zh-CN" w:bidi="ar-SA"/>
        </w:rPr>
        <w:t>建立数据变更、数据共享、数据汇交机制，确保农村承包地合同管理工作有序推进。</w:t>
      </w:r>
      <w:r>
        <w:rPr>
          <w:rFonts w:hint="default" w:ascii="Times New Roman" w:hAnsi="Times New Roman" w:eastAsia="方正仿宋简体" w:cs="Times New Roman"/>
          <w:b/>
          <w:bCs/>
          <w:color w:val="auto"/>
          <w:kern w:val="2"/>
          <w:sz w:val="32"/>
          <w:szCs w:val="32"/>
          <w:lang w:val="en-US" w:eastAsia="zh-CN" w:bidi="ar-SA"/>
        </w:rPr>
        <w:t>三是</w:t>
      </w:r>
      <w:r>
        <w:rPr>
          <w:rFonts w:hint="default" w:ascii="Times New Roman" w:hAnsi="Times New Roman" w:eastAsia="方正仿宋简体" w:cs="Times New Roman"/>
          <w:b/>
          <w:bCs/>
          <w:color w:val="auto"/>
          <w:kern w:val="0"/>
          <w:sz w:val="32"/>
          <w:szCs w:val="32"/>
          <w:lang w:val="en-US" w:eastAsia="zh-CN" w:bidi="ar-SA"/>
        </w:rPr>
        <w:t>深入开展“三湘护农”和“群腐”整治工作。</w:t>
      </w:r>
      <w:r>
        <w:rPr>
          <w:rFonts w:hint="default" w:ascii="Times New Roman" w:hAnsi="Times New Roman" w:eastAsia="方正仿宋简体" w:cs="Times New Roman"/>
          <w:color w:val="auto"/>
          <w:spacing w:val="0"/>
          <w:kern w:val="2"/>
          <w:position w:val="0"/>
          <w:sz w:val="32"/>
          <w:szCs w:val="32"/>
          <w:lang w:val="en-US" w:eastAsia="zh-CN"/>
        </w:rPr>
        <w:t>全面开展惠农补贴资金管理、农村集体“三资”管理、涉农项目资金审批分配和永久基本农田“非粮化”等突出问题</w:t>
      </w:r>
      <w:r>
        <w:rPr>
          <w:rFonts w:hint="default" w:ascii="Times New Roman" w:hAnsi="Times New Roman" w:eastAsia="方正仿宋简体" w:cs="Times New Roman"/>
          <w:color w:val="auto"/>
          <w:kern w:val="0"/>
          <w:sz w:val="32"/>
          <w:szCs w:val="32"/>
          <w:lang w:val="en-US" w:eastAsia="zh-CN" w:bidi="ar-SA"/>
        </w:rPr>
        <w:t>自查自纠，排查移交区纪委线索21条，立案3件。</w:t>
      </w:r>
      <w:r>
        <w:rPr>
          <w:rFonts w:hint="default" w:ascii="Times New Roman" w:hAnsi="Times New Roman" w:eastAsia="方正仿宋简体" w:cs="Times New Roman"/>
          <w:b w:val="0"/>
          <w:bCs w:val="0"/>
          <w:color w:val="auto"/>
          <w:kern w:val="2"/>
          <w:sz w:val="32"/>
          <w:szCs w:val="32"/>
          <w:lang w:val="en-US" w:eastAsia="zh-CN" w:bidi="ar-SA"/>
        </w:rPr>
        <w:t>重点对全区村级债务开展全面排查，2022年底全区村级债务共计2665.84万，通过专项整治，全区村级剩余债务650万元，减少了2015.84万。</w:t>
      </w:r>
    </w:p>
    <w:p>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楷体简体" w:cs="Times New Roman"/>
          <w:b/>
          <w:bCs/>
          <w:color w:val="auto"/>
          <w:kern w:val="2"/>
          <w:sz w:val="32"/>
          <w:szCs w:val="32"/>
          <w:lang w:val="en-US" w:eastAsia="zh-CN" w:bidi="ar-SA"/>
        </w:rPr>
      </w:pPr>
      <w:r>
        <w:rPr>
          <w:rFonts w:hint="default" w:ascii="Times New Roman" w:hAnsi="Times New Roman" w:eastAsia="方正楷体简体" w:cs="Times New Roman"/>
          <w:b/>
          <w:bCs/>
          <w:color w:val="auto"/>
          <w:kern w:val="2"/>
          <w:sz w:val="32"/>
          <w:szCs w:val="32"/>
          <w:lang w:val="en-US" w:eastAsia="zh-CN" w:bidi="ar-SA"/>
        </w:rPr>
        <w:t>（六）多措并举，水利水务成效斐然</w:t>
      </w:r>
    </w:p>
    <w:p>
      <w:pPr>
        <w:spacing w:line="580" w:lineRule="exact"/>
        <w:ind w:firstLine="640" w:firstLineChars="200"/>
        <w:rPr>
          <w:rFonts w:ascii="Times New Roman" w:hAnsi="Times New Roman" w:eastAsia="仿宋_GB2312"/>
          <w:sz w:val="32"/>
          <w:szCs w:val="32"/>
        </w:rPr>
      </w:pPr>
      <w:r>
        <w:rPr>
          <w:rFonts w:hint="default" w:ascii="Times New Roman" w:hAnsi="Times New Roman" w:eastAsia="方正仿宋简体" w:cs="Times New Roman"/>
          <w:b/>
          <w:bCs/>
          <w:color w:val="auto"/>
          <w:kern w:val="2"/>
          <w:sz w:val="32"/>
          <w:szCs w:val="32"/>
          <w:lang w:val="en-US" w:eastAsia="zh-CN" w:bidi="ar-SA"/>
        </w:rPr>
        <w:t>一是聚力重大项目攻坚。</w:t>
      </w:r>
      <w:r>
        <w:rPr>
          <w:rFonts w:hint="default" w:ascii="Times New Roman" w:hAnsi="Times New Roman" w:eastAsia="方正仿宋简体" w:cs="Times New Roman"/>
          <w:color w:val="auto"/>
          <w:kern w:val="2"/>
          <w:sz w:val="32"/>
          <w:szCs w:val="32"/>
          <w:lang w:val="en-US" w:eastAsia="zh-CN" w:bidi="ar-SA"/>
        </w:rPr>
        <w:t>2024年我局争取国债水利建设项目4个，资金2432万元。截至目前，大禾田水库除险加固工程、野家水闸除险加固工程、小型水库安全监测设施建设等3个项目主体工程均已完工，石子江山洪沟（乌石铺）防洪治理主体工程也已完成95%。南岳区引水工程暨城乡供水一体化项目取得实质性进展，现已完成衡阳县、衡山县段管线安装3407米，3号综合泵房主体工程已完工，完成投资2000多万。由我局负责的金月湖公园项目，经多年不懈努力，克服拆迁难、推进难等问题，在第三届旅发大会召开前顺利竣工投产。</w:t>
      </w:r>
      <w:r>
        <w:rPr>
          <w:rFonts w:hint="default" w:ascii="Times New Roman" w:hAnsi="Times New Roman" w:eastAsia="方正仿宋简体" w:cs="Times New Roman"/>
          <w:b/>
          <w:bCs/>
          <w:color w:val="auto"/>
          <w:kern w:val="2"/>
          <w:sz w:val="32"/>
          <w:szCs w:val="32"/>
          <w:lang w:val="en-US" w:eastAsia="zh-CN" w:bidi="ar-SA"/>
        </w:rPr>
        <w:t>二是抓实抓细防汛减灾工作。</w:t>
      </w:r>
      <w:r>
        <w:rPr>
          <w:rFonts w:hint="default" w:ascii="Times New Roman" w:hAnsi="Times New Roman" w:eastAsia="方正仿宋简体" w:cs="Times New Roman"/>
          <w:color w:val="auto"/>
          <w:kern w:val="2"/>
          <w:sz w:val="32"/>
          <w:szCs w:val="32"/>
          <w:lang w:val="en-US" w:eastAsia="zh-CN" w:bidi="ar-SA"/>
        </w:rPr>
        <w:t>一方面，关口前置做好“防与备。严格按要求修订水库度汛方案、应急预案，提前预置应急力量和防汛物资。常态化开展风险隐患排查，全面落实24小时值班制度，及时发布山洪灾害预警预报，今年累计启动山洪灾害预警6次，发布和推送预警信息1.6万人次。另一方面，守牢防线把好“安全关”。7·28强降雨突发汛情，全体干部职工取消休假，迅速到岗，由局班子成员带队组织带领各业务股室工作人员分别赶赴各水库、乡镇、涉农村（社区）开展抗洪指导和救灾工作。大禾田水库大坝发生三级坝坡滑坡险情后，我局第一时间向区委区政府及省市主管部门报告，并迅速赶赴现场处置，连夜组织全体40余名干部参与抢险工作，险情在7小时内得到控制。通过科学调度、周密安排、全区农业、水利领域没有发生一起人员伤亡、水库垮坝和山洪决堤事件。同时，积极向省市争取抢险和灾后重建资金近千万元，对损毁严重的农业和水利基础设施进行修复，尽快恢复生产。</w:t>
      </w:r>
      <w:r>
        <w:rPr>
          <w:rFonts w:hint="default" w:ascii="Times New Roman" w:hAnsi="Times New Roman" w:eastAsia="方正仿宋简体" w:cs="Times New Roman"/>
          <w:b/>
          <w:bCs/>
          <w:color w:val="000000"/>
          <w:kern w:val="2"/>
          <w:sz w:val="32"/>
          <w:szCs w:val="32"/>
          <w:lang w:val="en-US" w:eastAsia="zh-CN" w:bidi="ar-SA"/>
        </w:rPr>
        <w:t>三是稳步推进水务体制改革。</w:t>
      </w:r>
      <w:r>
        <w:rPr>
          <w:rFonts w:hint="default" w:ascii="Times New Roman" w:hAnsi="Times New Roman" w:eastAsia="方正仿宋简体" w:cs="Times New Roman"/>
          <w:sz w:val="32"/>
          <w:szCs w:val="32"/>
        </w:rPr>
        <w:t>根据区委区政府加快改革赋能工作部署</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在</w:t>
      </w:r>
      <w:r>
        <w:rPr>
          <w:rFonts w:hint="default" w:ascii="Times New Roman" w:hAnsi="Times New Roman" w:eastAsia="方正仿宋简体" w:cs="Times New Roman"/>
          <w:sz w:val="32"/>
          <w:szCs w:val="32"/>
          <w:lang w:val="en-US" w:eastAsia="zh-CN"/>
        </w:rPr>
        <w:t>区</w:t>
      </w:r>
      <w:r>
        <w:rPr>
          <w:rFonts w:hint="default" w:ascii="Times New Roman" w:hAnsi="Times New Roman" w:eastAsia="方正仿宋简体" w:cs="Times New Roman"/>
          <w:sz w:val="32"/>
          <w:szCs w:val="32"/>
          <w:lang w:eastAsia="zh-CN"/>
        </w:rPr>
        <w:t>水务体制</w:t>
      </w:r>
      <w:r>
        <w:rPr>
          <w:rFonts w:hint="default" w:ascii="Times New Roman" w:hAnsi="Times New Roman" w:eastAsia="方正仿宋简体" w:cs="Times New Roman"/>
          <w:sz w:val="32"/>
          <w:szCs w:val="32"/>
        </w:rPr>
        <w:t>改革领导小组的统筹指导下，按时间节点，</w:t>
      </w:r>
      <w:r>
        <w:rPr>
          <w:rFonts w:hint="default" w:ascii="Times New Roman" w:hAnsi="Times New Roman" w:eastAsia="方正仿宋简体" w:cs="Times New Roman"/>
          <w:color w:val="auto"/>
          <w:sz w:val="32"/>
          <w:szCs w:val="32"/>
        </w:rPr>
        <w:t>紧盯“排查、化解、防范”三个环节，</w:t>
      </w:r>
      <w:r>
        <w:rPr>
          <w:rFonts w:hint="default" w:ascii="Times New Roman" w:hAnsi="Times New Roman" w:eastAsia="方正仿宋简体" w:cs="Times New Roman"/>
          <w:color w:val="auto"/>
          <w:sz w:val="32"/>
          <w:szCs w:val="32"/>
          <w:lang w:eastAsia="zh-CN"/>
        </w:rPr>
        <w:t>以</w:t>
      </w:r>
      <w:r>
        <w:rPr>
          <w:rFonts w:hint="default" w:ascii="Times New Roman" w:hAnsi="Times New Roman" w:eastAsia="方正仿宋简体" w:cs="Times New Roman"/>
          <w:color w:val="auto"/>
          <w:sz w:val="32"/>
          <w:szCs w:val="32"/>
        </w:rPr>
        <w:t>“思想不散、秩序不乱、工作不断、国有资产不流失”</w:t>
      </w:r>
      <w:r>
        <w:rPr>
          <w:rFonts w:hint="default" w:ascii="Times New Roman" w:hAnsi="Times New Roman" w:eastAsia="方正仿宋简体" w:cs="Times New Roman"/>
          <w:color w:val="auto"/>
          <w:sz w:val="32"/>
          <w:szCs w:val="32"/>
          <w:lang w:eastAsia="zh-CN"/>
        </w:rPr>
        <w:t>为目标，</w:t>
      </w:r>
      <w:r>
        <w:rPr>
          <w:rFonts w:hint="default" w:ascii="Times New Roman" w:hAnsi="Times New Roman" w:eastAsia="方正仿宋简体" w:cs="Times New Roman"/>
          <w:sz w:val="32"/>
          <w:szCs w:val="32"/>
          <w:lang w:val="en-US" w:eastAsia="zh-CN"/>
        </w:rPr>
        <w:t>水务体制改革</w:t>
      </w:r>
      <w:r>
        <w:rPr>
          <w:rFonts w:hint="default" w:ascii="Times New Roman" w:hAnsi="Times New Roman" w:eastAsia="方正仿宋简体" w:cs="Times New Roman"/>
          <w:color w:val="auto"/>
          <w:sz w:val="32"/>
          <w:szCs w:val="32"/>
          <w:lang w:val="en-US" w:eastAsia="zh-CN"/>
        </w:rPr>
        <w:t>取得重要进展和明显成效</w:t>
      </w:r>
      <w:r>
        <w:rPr>
          <w:rFonts w:hint="default" w:ascii="Times New Roman" w:hAnsi="Times New Roman" w:eastAsia="方正仿宋简体" w:cs="Times New Roman"/>
          <w:sz w:val="32"/>
          <w:szCs w:val="32"/>
          <w:lang w:val="en-US" w:eastAsia="zh-CN"/>
        </w:rPr>
        <w:t>。区自来水公司正在积极筹备组建，原</w:t>
      </w:r>
      <w:r>
        <w:rPr>
          <w:rFonts w:hint="default" w:ascii="Times New Roman" w:hAnsi="Times New Roman" w:eastAsia="方正仿宋简体" w:cs="Times New Roman"/>
          <w:sz w:val="32"/>
          <w:szCs w:val="32"/>
          <w:lang w:eastAsia="zh-CN"/>
        </w:rPr>
        <w:t>水电站职工</w:t>
      </w:r>
      <w:r>
        <w:rPr>
          <w:rFonts w:hint="default" w:ascii="Times New Roman" w:hAnsi="Times New Roman" w:eastAsia="方正仿宋简体" w:cs="Times New Roman"/>
          <w:sz w:val="32"/>
          <w:szCs w:val="32"/>
          <w:lang w:val="en-US" w:eastAsia="zh-CN"/>
        </w:rPr>
        <w:t>也得到稳妥有序</w:t>
      </w:r>
      <w:r>
        <w:rPr>
          <w:rFonts w:hint="default" w:ascii="Times New Roman" w:hAnsi="Times New Roman" w:eastAsia="方正仿宋简体" w:cs="Times New Roman"/>
          <w:sz w:val="32"/>
          <w:szCs w:val="32"/>
          <w:lang w:eastAsia="zh-CN"/>
        </w:rPr>
        <w:t>分流安置，</w:t>
      </w:r>
      <w:r>
        <w:rPr>
          <w:rFonts w:hint="default" w:ascii="Times New Roman" w:hAnsi="Times New Roman" w:eastAsia="方正仿宋简体" w:cs="Times New Roman"/>
          <w:sz w:val="32"/>
          <w:szCs w:val="32"/>
          <w:lang w:val="en-US" w:eastAsia="zh-CN"/>
        </w:rPr>
        <w:t>切实维护了意识形态领域安全稳定，无负面舆情产生。</w:t>
      </w:r>
      <w:r>
        <w:rPr>
          <w:rFonts w:hint="default" w:ascii="Times New Roman" w:hAnsi="Times New Roman" w:eastAsia="方正仿宋简体" w:cs="Times New Roman"/>
          <w:sz w:val="32"/>
          <w:szCs w:val="32"/>
          <w:lang w:eastAsia="zh-CN"/>
        </w:rPr>
        <w:t>确保水务体制改革平稳过渡，</w:t>
      </w:r>
      <w:r>
        <w:rPr>
          <w:rFonts w:hint="default" w:ascii="Times New Roman" w:hAnsi="Times New Roman" w:eastAsia="方正仿宋简体" w:cs="Times New Roman"/>
          <w:sz w:val="32"/>
          <w:szCs w:val="32"/>
          <w:lang w:val="en-US" w:eastAsia="zh-CN"/>
        </w:rPr>
        <w:t>为</w:t>
      </w:r>
      <w:r>
        <w:rPr>
          <w:rFonts w:hint="default" w:ascii="Times New Roman" w:hAnsi="Times New Roman" w:eastAsia="方正仿宋简体" w:cs="Times New Roman"/>
          <w:sz w:val="32"/>
          <w:szCs w:val="32"/>
        </w:rPr>
        <w:t>形成科学高效</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高质量发展的城市供水工作格局</w:t>
      </w:r>
      <w:r>
        <w:rPr>
          <w:rFonts w:hint="default" w:ascii="Times New Roman" w:hAnsi="Times New Roman" w:eastAsia="方正仿宋简体" w:cs="Times New Roman"/>
          <w:sz w:val="32"/>
          <w:szCs w:val="32"/>
          <w:lang w:val="en-US" w:eastAsia="zh-CN"/>
        </w:rPr>
        <w:t>打下坚实基础。</w:t>
      </w:r>
    </w:p>
    <w:p>
      <w:pPr>
        <w:spacing w:line="580" w:lineRule="exact"/>
        <w:ind w:firstLine="640" w:firstLineChars="200"/>
        <w:rPr>
          <w:rFonts w:ascii="Times New Roman" w:hAnsi="Times New Roman" w:eastAsia="仿宋_GB2312"/>
          <w:b/>
          <w:sz w:val="32"/>
          <w:szCs w:val="32"/>
        </w:rPr>
      </w:pPr>
      <w:r>
        <w:rPr>
          <w:rFonts w:ascii="Times New Roman" w:hAnsi="Times New Roman" w:eastAsia="仿宋_GB2312"/>
          <w:sz w:val="32"/>
          <w:szCs w:val="32"/>
        </w:rPr>
        <w:t xml:space="preserve"> </w:t>
      </w:r>
    </w:p>
    <w:p>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eastAsia" w:ascii="Times New Roman" w:hAnsi="Times New Roman" w:eastAsia="黑体" w:cs="Times New Roman"/>
          <w:sz w:val="32"/>
          <w:szCs w:val="32"/>
        </w:rPr>
        <w:t>、</w:t>
      </w:r>
      <w:r>
        <w:rPr>
          <w:rFonts w:ascii="Times New Roman" w:hAnsi="Times New Roman" w:eastAsia="黑体" w:cs="Times New Roman"/>
          <w:sz w:val="32"/>
          <w:szCs w:val="32"/>
        </w:rPr>
        <w:t>存在的问题及原因分析</w:t>
      </w:r>
    </w:p>
    <w:p>
      <w:pPr>
        <w:spacing w:line="600" w:lineRule="exact"/>
        <w:ind w:firstLine="640" w:firstLineChars="200"/>
        <w:rPr>
          <w:rFonts w:eastAsia="仿宋_GB2312"/>
          <w:sz w:val="32"/>
          <w:szCs w:val="32"/>
        </w:rPr>
      </w:pPr>
      <w:r>
        <w:rPr>
          <w:rFonts w:eastAsia="仿宋_GB2312"/>
          <w:sz w:val="32"/>
          <w:szCs w:val="32"/>
        </w:rPr>
        <w:t>通过前述对</w:t>
      </w:r>
      <w:r>
        <w:rPr>
          <w:rFonts w:hint="eastAsia" w:eastAsia="仿宋_GB2312"/>
          <w:sz w:val="32"/>
          <w:szCs w:val="32"/>
          <w:lang w:eastAsia="zh-CN"/>
        </w:rPr>
        <w:t>本单位</w:t>
      </w:r>
      <w:r>
        <w:rPr>
          <w:rFonts w:eastAsia="仿宋_GB2312"/>
          <w:sz w:val="32"/>
          <w:szCs w:val="32"/>
        </w:rPr>
        <w:t>整体支出情况的分析，反映出目前整体支出主要在预算执行方面还存在一些问题和不足：</w:t>
      </w:r>
    </w:p>
    <w:p>
      <w:pPr>
        <w:spacing w:line="600" w:lineRule="exact"/>
        <w:ind w:firstLine="643" w:firstLineChars="200"/>
        <w:rPr>
          <w:rFonts w:hint="eastAsia" w:ascii="Calibri" w:hAnsi="Calibri" w:eastAsia="楷体_GB2312" w:cs="Times New Roman"/>
          <w:b/>
          <w:sz w:val="32"/>
          <w:szCs w:val="32"/>
          <w:lang w:eastAsia="zh-CN"/>
        </w:rPr>
      </w:pPr>
      <w:r>
        <w:rPr>
          <w:rFonts w:hint="eastAsia" w:ascii="Calibri" w:hAnsi="Calibri" w:eastAsia="楷体_GB2312" w:cs="Times New Roman"/>
          <w:b/>
          <w:sz w:val="32"/>
          <w:szCs w:val="32"/>
          <w:lang w:eastAsia="zh-CN"/>
        </w:rPr>
        <w:t>（一）预算编制无法包括大部份的项目，造成预算与决算数字相差很远。</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由于年初预算时只能对人头工资和行政经费进行统计，而项目投入多为区级项目和上级主管部门指定项目，并且是年中随机拨入资金，无法预算，所以造成项目预算与决算数据差异很大</w:t>
      </w:r>
      <w:r>
        <w:rPr>
          <w:rFonts w:hint="eastAsia" w:eastAsia="仿宋_GB2312"/>
          <w:sz w:val="32"/>
          <w:szCs w:val="32"/>
          <w:lang w:val="en-US" w:eastAsia="zh-CN"/>
        </w:rPr>
        <w:t>。</w:t>
      </w:r>
      <w:r>
        <w:rPr>
          <w:rFonts w:hint="eastAsia" w:eastAsia="仿宋_GB2312"/>
          <w:sz w:val="32"/>
          <w:szCs w:val="32"/>
        </w:rPr>
        <w:t>我们将在</w:t>
      </w:r>
      <w:r>
        <w:rPr>
          <w:rFonts w:eastAsia="仿宋_GB2312"/>
          <w:sz w:val="32"/>
          <w:szCs w:val="32"/>
        </w:rPr>
        <w:t>下年加以重视，</w:t>
      </w:r>
      <w:r>
        <w:rPr>
          <w:rFonts w:hint="eastAsia" w:eastAsia="仿宋_GB2312"/>
          <w:sz w:val="32"/>
          <w:szCs w:val="32"/>
        </w:rPr>
        <w:t>提前谋划，</w:t>
      </w:r>
      <w:r>
        <w:rPr>
          <w:rFonts w:hint="eastAsia" w:eastAsia="仿宋_GB2312"/>
          <w:sz w:val="32"/>
          <w:szCs w:val="32"/>
          <w:lang w:eastAsia="zh-CN"/>
        </w:rPr>
        <w:t>科学编制项目预算，进一步提高预算编制的精确性。</w:t>
      </w:r>
      <w:r>
        <w:rPr>
          <w:rFonts w:hint="eastAsia" w:eastAsia="仿宋_GB2312"/>
          <w:sz w:val="32"/>
          <w:szCs w:val="32"/>
          <w:lang w:val="en-US" w:eastAsia="zh-CN"/>
        </w:rPr>
        <w:t xml:space="preserve">    </w:t>
      </w:r>
    </w:p>
    <w:p>
      <w:pPr>
        <w:numPr>
          <w:ilvl w:val="0"/>
          <w:numId w:val="0"/>
        </w:numPr>
        <w:spacing w:line="600" w:lineRule="exact"/>
        <w:ind w:firstLine="640" w:firstLineChars="200"/>
        <w:rPr>
          <w:rFonts w:hint="eastAsia" w:eastAsia="仿宋_GB2312"/>
          <w:sz w:val="32"/>
          <w:szCs w:val="32"/>
          <w:lang w:eastAsia="zh-CN"/>
        </w:rPr>
      </w:pPr>
    </w:p>
    <w:p>
      <w:pPr>
        <w:widowControl/>
        <w:numPr>
          <w:ilvl w:val="0"/>
          <w:numId w:val="2"/>
        </w:numPr>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下一步改进措施</w:t>
      </w:r>
    </w:p>
    <w:p>
      <w:pPr>
        <w:spacing w:line="600" w:lineRule="exact"/>
        <w:ind w:firstLine="640" w:firstLineChars="200"/>
        <w:rPr>
          <w:rFonts w:eastAsia="仿宋_GB2312"/>
          <w:sz w:val="32"/>
          <w:szCs w:val="32"/>
        </w:rPr>
      </w:pPr>
      <w:r>
        <w:rPr>
          <w:rFonts w:eastAsia="仿宋_GB2312"/>
          <w:sz w:val="32"/>
          <w:szCs w:val="32"/>
        </w:rPr>
        <w:t>针对上述存在的问题，拟采取以下改进措施：</w:t>
      </w:r>
    </w:p>
    <w:p>
      <w:pPr>
        <w:spacing w:line="600" w:lineRule="exact"/>
        <w:ind w:firstLine="640" w:firstLineChars="200"/>
        <w:rPr>
          <w:rFonts w:hint="eastAsia" w:eastAsia="仿宋_GB2312"/>
          <w:sz w:val="32"/>
          <w:szCs w:val="32"/>
          <w:lang w:val="en-US" w:eastAsia="zh-CN"/>
        </w:rPr>
      </w:pPr>
      <w:r>
        <w:rPr>
          <w:rFonts w:hint="eastAsia" w:ascii="仿宋_GB2312" w:hAnsi="仿宋_GB2312" w:eastAsia="仿宋_GB2312" w:cs="仿宋_GB2312"/>
          <w:b w:val="0"/>
          <w:bCs/>
          <w:sz w:val="32"/>
          <w:szCs w:val="32"/>
          <w:lang w:val="en-US" w:eastAsia="zh-CN"/>
        </w:rPr>
        <w:t>强化预算管理，与相关部门及早沟通，尽可能将区级和上级主管部门的项目预算到位，提高预算的全面性、准确性，另外，定期开展预算执行分析，</w:t>
      </w:r>
      <w:r>
        <w:rPr>
          <w:rFonts w:hint="eastAsia" w:eastAsia="仿宋_GB2312"/>
          <w:sz w:val="32"/>
          <w:szCs w:val="32"/>
          <w:lang w:val="en-US" w:eastAsia="zh-CN"/>
        </w:rPr>
        <w:t>通过定期对项目实施和预算执行情况进行梳理，及时掌握项目进度，督促项目实施单位早启动、早实施、早验收，对符合条件的项目按照项目进度支付相关款项，将预算资金管理贯穿于项目实施全过程中。</w:t>
      </w:r>
    </w:p>
    <w:p>
      <w:pPr>
        <w:spacing w:line="600" w:lineRule="exact"/>
        <w:ind w:firstLine="640" w:firstLineChars="200"/>
        <w:rPr>
          <w:rFonts w:hint="eastAsia" w:eastAsia="仿宋_GB2312"/>
          <w:sz w:val="32"/>
          <w:szCs w:val="32"/>
          <w:lang w:val="en-US" w:eastAsia="zh-CN"/>
        </w:rPr>
      </w:pP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 xml:space="preserve">                        南岳区农业农村局</w:t>
      </w:r>
    </w:p>
    <w:p>
      <w:p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 xml:space="preserve">                         2025年5月30日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9CCF1"/>
    <w:multiLevelType w:val="singleLevel"/>
    <w:tmpl w:val="F639CCF1"/>
    <w:lvl w:ilvl="0" w:tentative="0">
      <w:start w:val="2"/>
      <w:numFmt w:val="chineseCounting"/>
      <w:suff w:val="nothing"/>
      <w:lvlText w:val="%1、"/>
      <w:lvlJc w:val="left"/>
      <w:rPr>
        <w:rFonts w:hint="eastAsia"/>
      </w:rPr>
    </w:lvl>
  </w:abstractNum>
  <w:abstractNum w:abstractNumId="1">
    <w:nsid w:val="692A871F"/>
    <w:multiLevelType w:val="singleLevel"/>
    <w:tmpl w:val="692A871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MWI1MjlmMTY0OWZhZDY3NzYxNGY5OGViY2Y3NjgifQ=="/>
    <w:docVar w:name="KSO_WPS_MARK_KEY" w:val="f84ae1d7-fa71-4cb2-8600-110ec54fc0cd"/>
  </w:docVars>
  <w:rsids>
    <w:rsidRoot w:val="41683341"/>
    <w:rsid w:val="02571C51"/>
    <w:rsid w:val="052120A3"/>
    <w:rsid w:val="0D996AA4"/>
    <w:rsid w:val="12B207D2"/>
    <w:rsid w:val="1A952EBF"/>
    <w:rsid w:val="1DDF4451"/>
    <w:rsid w:val="2C7474F5"/>
    <w:rsid w:val="2C8903AA"/>
    <w:rsid w:val="2CDA0C05"/>
    <w:rsid w:val="30191A45"/>
    <w:rsid w:val="320C7AB3"/>
    <w:rsid w:val="336D45FC"/>
    <w:rsid w:val="3414192E"/>
    <w:rsid w:val="36A235BF"/>
    <w:rsid w:val="41683341"/>
    <w:rsid w:val="43C24475"/>
    <w:rsid w:val="45B44819"/>
    <w:rsid w:val="4B7823A7"/>
    <w:rsid w:val="54E3249D"/>
    <w:rsid w:val="56D227CA"/>
    <w:rsid w:val="583A0626"/>
    <w:rsid w:val="5898534D"/>
    <w:rsid w:val="635F3637"/>
    <w:rsid w:val="69CE0BCF"/>
    <w:rsid w:val="6C1449A1"/>
    <w:rsid w:val="6CE32BE3"/>
    <w:rsid w:val="6D401DE3"/>
    <w:rsid w:val="6DE567B3"/>
    <w:rsid w:val="7176519D"/>
    <w:rsid w:val="741E421A"/>
    <w:rsid w:val="742E508B"/>
    <w:rsid w:val="764010A6"/>
    <w:rsid w:val="79077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No Spacing"/>
    <w:qFormat/>
    <w:uiPriority w:val="1"/>
    <w:pPr>
      <w:adjustRightInd w:val="0"/>
      <w:snapToGrid w:val="0"/>
      <w:jc w:val="both"/>
    </w:pPr>
    <w:rPr>
      <w:rFonts w:ascii="Tahoma" w:hAnsi="Tahoma" w:eastAsia="仿宋" w:cs="Times New Roman"/>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7000</Words>
  <Characters>7295</Characters>
  <Lines>0</Lines>
  <Paragraphs>0</Paragraphs>
  <TotalTime>32</TotalTime>
  <ScaleCrop>false</ScaleCrop>
  <LinksUpToDate>false</LinksUpToDate>
  <CharactersWithSpaces>7401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2023-02-15T02:22:00Z</dcterms:created>
  <dc:creator>Administrator</dc:creator>
  <cp:lastModifiedBy>Administrator</cp:lastModifiedBy>
  <dcterms:modified xsi:type="dcterms:W3CDTF">2025-07-03T04:25:55Z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FAC11869ADF1475D9C5E071C7DE010F9_12</vt:lpwstr>
  </property>
</Properties>
</file>