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_GBK"/>
          <w:sz w:val="36"/>
          <w:szCs w:val="36"/>
        </w:rPr>
      </w:pPr>
      <w:r>
        <w:rPr>
          <w:rFonts w:hint="eastAsia" w:ascii="方正小标宋简体" w:hAnsi="方正小标宋简体" w:eastAsia="方正小标宋简体" w:cs="方正小标宋简体"/>
          <w:sz w:val="36"/>
          <w:szCs w:val="36"/>
          <w:lang w:val="en-US" w:eastAsia="zh-CN"/>
        </w:rPr>
        <w:t>湖南</w:t>
      </w:r>
      <w:r>
        <w:rPr>
          <w:rFonts w:hint="eastAsia" w:ascii="方正小标宋简体" w:hAnsi="方正小标宋简体" w:eastAsia="方正小标宋简体" w:cs="方正小标宋简体"/>
          <w:sz w:val="36"/>
          <w:szCs w:val="36"/>
        </w:rPr>
        <w:t>省</w:t>
      </w:r>
      <w:r>
        <w:rPr>
          <w:rFonts w:hint="eastAsia" w:ascii="方正小标宋简体" w:hAnsi="方正小标宋简体" w:eastAsia="方正小标宋简体" w:cs="方正小标宋简体"/>
          <w:sz w:val="36"/>
          <w:szCs w:val="36"/>
          <w:lang w:val="en-US" w:eastAsia="zh-CN"/>
        </w:rPr>
        <w:t>南岳区发展和改革局</w:t>
      </w: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24</w:t>
      </w:r>
      <w:r>
        <w:rPr>
          <w:rFonts w:hint="eastAsia" w:ascii="方正小标宋简体" w:hAnsi="方正小标宋简体" w:eastAsia="方正小标宋简体" w:cs="方正小标宋简体"/>
          <w:sz w:val="36"/>
          <w:szCs w:val="36"/>
        </w:rPr>
        <w:t>年度部门整体支出绩效评价报告</w:t>
      </w:r>
    </w:p>
    <w:p>
      <w:pPr>
        <w:spacing w:line="600" w:lineRule="exact"/>
        <w:ind w:firstLine="645"/>
        <w:jc w:val="both"/>
        <w:rPr>
          <w:rFonts w:eastAsia="仿宋_GB2312"/>
          <w:sz w:val="32"/>
          <w:szCs w:val="32"/>
        </w:rPr>
      </w:pPr>
      <w:r>
        <w:rPr>
          <w:rFonts w:eastAsia="仿宋_GB2312"/>
          <w:sz w:val="32"/>
          <w:szCs w:val="32"/>
        </w:rPr>
        <w:t>根据《中共中央国务院关于全面实施预算绩效管理的意见》的文件精神，我厅对部门整体支出进行了绩效评价，现报告如下：</w:t>
      </w:r>
    </w:p>
    <w:p>
      <w:pPr>
        <w:numPr>
          <w:ilvl w:val="0"/>
          <w:numId w:val="0"/>
        </w:numPr>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lang w:eastAsia="zh-CN"/>
        </w:rPr>
        <w:t>一、</w:t>
      </w:r>
      <w:r>
        <w:rPr>
          <w:rFonts w:hint="eastAsia" w:ascii="黑体" w:hAnsi="Times New Roman" w:eastAsia="黑体" w:cs="Times New Roman"/>
          <w:sz w:val="32"/>
          <w:szCs w:val="32"/>
        </w:rPr>
        <w:t>部门（单位）基本情况</w:t>
      </w:r>
    </w:p>
    <w:p>
      <w:pPr>
        <w:widowControl/>
        <w:spacing w:line="600" w:lineRule="exact"/>
        <w:ind w:firstLine="630" w:firstLineChars="196"/>
        <w:jc w:val="left"/>
        <w:rPr>
          <w:rFonts w:eastAsia="楷体_GB2312"/>
          <w:b/>
          <w:snapToGrid w:val="0"/>
          <w:kern w:val="0"/>
          <w:sz w:val="32"/>
          <w:szCs w:val="32"/>
        </w:rPr>
      </w:pPr>
      <w:r>
        <w:rPr>
          <w:rFonts w:eastAsia="楷体_GB2312"/>
          <w:b/>
          <w:snapToGrid w:val="0"/>
          <w:kern w:val="0"/>
          <w:sz w:val="32"/>
          <w:szCs w:val="32"/>
        </w:rPr>
        <w:t>（一）部门职能职责</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1、</w:t>
      </w:r>
      <w:r>
        <w:rPr>
          <w:rFonts w:hint="eastAsia" w:ascii="仿宋" w:hAnsi="仿宋" w:eastAsia="仿宋" w:cs="仿宋"/>
          <w:b w:val="0"/>
          <w:bCs w:val="0"/>
          <w:color w:val="000000"/>
          <w:kern w:val="2"/>
          <w:sz w:val="32"/>
          <w:szCs w:val="32"/>
        </w:rPr>
        <w:t>拟订并组织实施全区国民经济和社会发展战略、中长期规划和年度计划。</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2、</w:t>
      </w:r>
      <w:r>
        <w:rPr>
          <w:rFonts w:hint="eastAsia" w:ascii="仿宋" w:hAnsi="仿宋" w:eastAsia="仿宋" w:cs="仿宋"/>
          <w:b w:val="0"/>
          <w:bCs w:val="0"/>
          <w:color w:val="000000"/>
          <w:kern w:val="2"/>
          <w:sz w:val="32"/>
          <w:szCs w:val="32"/>
        </w:rPr>
        <w:t>研究提出加快建设现代化经济体系、推动高质量发展的总体目标、重大任务以及相关政策。</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3、</w:t>
      </w:r>
      <w:r>
        <w:rPr>
          <w:rFonts w:hint="eastAsia" w:ascii="仿宋" w:hAnsi="仿宋" w:eastAsia="仿宋" w:cs="仿宋"/>
          <w:b w:val="0"/>
          <w:bCs w:val="0"/>
          <w:color w:val="000000"/>
          <w:kern w:val="2"/>
          <w:sz w:val="32"/>
          <w:szCs w:val="32"/>
        </w:rPr>
        <w:t>研究提出全区国民经济和社会发展主要目标，监测预测预警宏观经济和社会发展态势趋势，提出宏观调控政策建议，综合协调宏观经济政策，牵头研究宏观经济应对措施。</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4、</w:t>
      </w:r>
      <w:r>
        <w:rPr>
          <w:rFonts w:hint="eastAsia" w:ascii="仿宋" w:hAnsi="仿宋" w:eastAsia="仿宋" w:cs="仿宋"/>
          <w:b w:val="0"/>
          <w:bCs w:val="0"/>
          <w:color w:val="000000"/>
          <w:kern w:val="2"/>
          <w:sz w:val="32"/>
          <w:szCs w:val="32"/>
        </w:rPr>
        <w:t>研究提出和综合协调全区经济体制改革有关工作，提出相关改革建议。</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5、</w:t>
      </w:r>
      <w:r>
        <w:rPr>
          <w:rFonts w:hint="eastAsia" w:ascii="仿宋" w:hAnsi="仿宋" w:eastAsia="仿宋" w:cs="仿宋"/>
          <w:b w:val="0"/>
          <w:bCs w:val="0"/>
          <w:color w:val="000000"/>
          <w:kern w:val="2"/>
          <w:sz w:val="32"/>
          <w:szCs w:val="32"/>
        </w:rPr>
        <w:t>负责投资综合管理，拟订全区全社会固定资产投资总规模和投资结构的调控目标、政策及措施。</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6、</w:t>
      </w:r>
      <w:r>
        <w:rPr>
          <w:rFonts w:hint="eastAsia" w:ascii="仿宋" w:hAnsi="仿宋" w:eastAsia="仿宋" w:cs="仿宋"/>
          <w:b w:val="0"/>
          <w:bCs w:val="0"/>
          <w:color w:val="000000"/>
          <w:kern w:val="2"/>
          <w:sz w:val="32"/>
          <w:szCs w:val="32"/>
        </w:rPr>
        <w:t>推进落实区域协调发展战略、新型城镇化战略和重大</w:t>
      </w:r>
      <w:r>
        <w:rPr>
          <w:rFonts w:hint="eastAsia" w:ascii="仿宋" w:hAnsi="仿宋" w:eastAsia="仿宋" w:cs="仿宋"/>
          <w:b w:val="0"/>
          <w:bCs w:val="0"/>
          <w:color w:val="000000"/>
          <w:kern w:val="2"/>
          <w:sz w:val="32"/>
          <w:szCs w:val="32"/>
          <w:lang w:val="en-US" w:eastAsia="zh-CN"/>
        </w:rPr>
        <w:t>政</w:t>
      </w:r>
      <w:r>
        <w:rPr>
          <w:rFonts w:hint="eastAsia" w:ascii="仿宋" w:hAnsi="仿宋" w:eastAsia="仿宋" w:cs="仿宋"/>
          <w:b w:val="0"/>
          <w:bCs w:val="0"/>
          <w:color w:val="000000"/>
          <w:kern w:val="2"/>
          <w:sz w:val="32"/>
          <w:szCs w:val="32"/>
        </w:rPr>
        <w:t>策，组织拟订相关区域规划和政策。</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7、</w:t>
      </w:r>
      <w:r>
        <w:rPr>
          <w:rFonts w:hint="eastAsia" w:ascii="仿宋" w:hAnsi="仿宋" w:eastAsia="仿宋" w:cs="仿宋"/>
          <w:b w:val="0"/>
          <w:bCs w:val="0"/>
          <w:color w:val="000000"/>
          <w:kern w:val="2"/>
          <w:sz w:val="32"/>
          <w:szCs w:val="32"/>
        </w:rPr>
        <w:t>组织拟订综合性产业政策，负责协调第一、二、三产业发展的重大问题并统筹衔接相关发展规划和重大政策。</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lang w:val="en-US" w:eastAsia="zh-CN"/>
        </w:rPr>
      </w:pPr>
    </w:p>
    <w:p>
      <w:pPr>
        <w:widowControl w:val="0"/>
        <w:numPr>
          <w:ilvl w:val="0"/>
          <w:numId w:val="0"/>
        </w:numPr>
        <w:shd w:val="clear" w:color="auto" w:fill="FFFFFF"/>
        <w:adjustRightInd/>
        <w:snapToGrid/>
        <w:spacing w:after="0" w:line="580" w:lineRule="exact"/>
        <w:ind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8、</w:t>
      </w:r>
      <w:r>
        <w:rPr>
          <w:rFonts w:hint="eastAsia" w:ascii="仿宋" w:hAnsi="仿宋" w:eastAsia="仿宋" w:cs="仿宋"/>
          <w:b w:val="0"/>
          <w:bCs w:val="0"/>
          <w:color w:val="000000"/>
          <w:kern w:val="2"/>
          <w:sz w:val="32"/>
          <w:szCs w:val="32"/>
        </w:rPr>
        <w:t>推动实施创新驱动发展战略。会同相关部门拟订推进创新创业的规划和政策，提出创新发展和培育经济发展新动能的政策措施。</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9、</w:t>
      </w:r>
      <w:r>
        <w:rPr>
          <w:rFonts w:hint="eastAsia" w:ascii="仿宋" w:hAnsi="仿宋" w:eastAsia="仿宋" w:cs="仿宋"/>
          <w:b w:val="0"/>
          <w:bCs w:val="0"/>
          <w:color w:val="000000"/>
          <w:kern w:val="2"/>
          <w:sz w:val="32"/>
          <w:szCs w:val="32"/>
        </w:rPr>
        <w:t>跟踪研判涉及经济安全、生态安全、资源安全、科技安全、社会安全等各类风险隐患，提出相关工作建议。承担经济、生态、资源等重点领域国家安全工作协调机制相关工作。</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10、</w:t>
      </w:r>
      <w:r>
        <w:rPr>
          <w:rFonts w:hint="eastAsia" w:ascii="仿宋" w:hAnsi="仿宋" w:eastAsia="仿宋" w:cs="仿宋"/>
          <w:b w:val="0"/>
          <w:bCs w:val="0"/>
          <w:color w:val="000000"/>
          <w:kern w:val="2"/>
          <w:sz w:val="32"/>
          <w:szCs w:val="32"/>
        </w:rPr>
        <w:t>负责社会发展与国民经济发展的政策衔接，组织拟订社会发展战略、总体规划。</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11、</w:t>
      </w:r>
      <w:r>
        <w:rPr>
          <w:rFonts w:hint="eastAsia" w:ascii="仿宋" w:hAnsi="仿宋" w:eastAsia="仿宋" w:cs="仿宋"/>
          <w:b w:val="0"/>
          <w:bCs w:val="0"/>
          <w:color w:val="000000"/>
          <w:kern w:val="2"/>
          <w:sz w:val="32"/>
          <w:szCs w:val="32"/>
        </w:rPr>
        <w:t>推进可持续发展战略，推动生态文明建设和改革，协调生态环境保护与修复、能源资源节约和综合利用等工作。</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12、</w:t>
      </w:r>
      <w:r>
        <w:rPr>
          <w:rFonts w:hint="eastAsia" w:ascii="仿宋" w:hAnsi="仿宋" w:eastAsia="仿宋" w:cs="仿宋"/>
          <w:b w:val="0"/>
          <w:bCs w:val="0"/>
          <w:color w:val="000000"/>
          <w:kern w:val="2"/>
          <w:sz w:val="32"/>
          <w:szCs w:val="32"/>
        </w:rPr>
        <w:t>负责能源规划与社会发展规划的协调衔接。</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13、</w:t>
      </w:r>
      <w:r>
        <w:rPr>
          <w:rFonts w:hint="eastAsia" w:ascii="仿宋" w:hAnsi="仿宋" w:eastAsia="仿宋" w:cs="仿宋"/>
          <w:b w:val="0"/>
          <w:bCs w:val="0"/>
          <w:color w:val="000000"/>
          <w:kern w:val="2"/>
          <w:sz w:val="32"/>
          <w:szCs w:val="32"/>
        </w:rPr>
        <w:t>拟订全区价格改革方案和年度计划，研究提出价格调控目标和政策建议，组织实施价格总水平调控。</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14、</w:t>
      </w:r>
      <w:r>
        <w:rPr>
          <w:rFonts w:hint="eastAsia" w:ascii="仿宋" w:hAnsi="仿宋" w:eastAsia="仿宋" w:cs="仿宋"/>
          <w:b w:val="0"/>
          <w:bCs w:val="0"/>
          <w:color w:val="000000"/>
          <w:kern w:val="2"/>
          <w:sz w:val="32"/>
          <w:szCs w:val="32"/>
        </w:rPr>
        <w:t>牵头组织监督公共资源交易活动。研究拟订推进社会信用体系建设的规划、政策措施，统筹推进统一的信用信息平台建设，协调有关重大问题。</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15、</w:t>
      </w:r>
      <w:r>
        <w:rPr>
          <w:rFonts w:hint="eastAsia" w:ascii="仿宋" w:hAnsi="仿宋" w:eastAsia="仿宋" w:cs="仿宋"/>
          <w:b w:val="0"/>
          <w:bCs w:val="0"/>
          <w:color w:val="000000"/>
          <w:kern w:val="2"/>
          <w:sz w:val="32"/>
          <w:szCs w:val="32"/>
        </w:rPr>
        <w:t>会同有关部门拟订推进全区经济建设与国防建设协调发展的战略和规划，协调有关重大问题。会同实施军民融合发展战略，组织编制全区国民经济动员规划，协调和组织实施全区国民经济动员有关工作。</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16、</w:t>
      </w:r>
      <w:r>
        <w:rPr>
          <w:rFonts w:hint="eastAsia" w:ascii="仿宋" w:hAnsi="仿宋" w:eastAsia="仿宋" w:cs="仿宋"/>
          <w:b w:val="0"/>
          <w:bCs w:val="0"/>
          <w:color w:val="000000"/>
          <w:kern w:val="2"/>
          <w:sz w:val="32"/>
          <w:szCs w:val="32"/>
        </w:rPr>
        <w:t>贯彻执行有关粮食宏观调控和物资储备的发展战略、政策研究提出全区粮食宏观调控、粮食流通、物资储备的中长期规划。</w:t>
      </w:r>
    </w:p>
    <w:p>
      <w:pPr>
        <w:widowControl w:val="0"/>
        <w:numPr>
          <w:ilvl w:val="0"/>
          <w:numId w:val="0"/>
        </w:numPr>
        <w:shd w:val="clear" w:color="auto" w:fill="FFFFFF"/>
        <w:adjustRightInd/>
        <w:snapToGrid/>
        <w:spacing w:after="0" w:line="580" w:lineRule="exact"/>
        <w:ind w:leftChars="0" w:firstLine="640" w:firstLineChars="20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rPr>
        <w:t>17、</w:t>
      </w:r>
      <w:r>
        <w:rPr>
          <w:rFonts w:hint="eastAsia" w:ascii="仿宋" w:hAnsi="仿宋" w:eastAsia="仿宋" w:cs="仿宋"/>
          <w:b w:val="0"/>
          <w:bCs w:val="0"/>
          <w:color w:val="000000"/>
          <w:kern w:val="2"/>
          <w:sz w:val="32"/>
          <w:szCs w:val="32"/>
        </w:rPr>
        <w:t>负责本行业、领域职责范围内的应急管理工作，对本行业、领域职责范围内的安全生产工作实施监督管理。</w:t>
      </w:r>
    </w:p>
    <w:p>
      <w:pPr>
        <w:widowControl w:val="0"/>
        <w:shd w:val="clear" w:color="auto" w:fill="FFFFFF"/>
        <w:adjustRightInd/>
        <w:snapToGrid/>
        <w:spacing w:after="0" w:line="580" w:lineRule="exact"/>
        <w:ind w:firstLine="640" w:firstLineChars="200"/>
        <w:jc w:val="left"/>
        <w:rPr>
          <w:rFonts w:hint="eastAsia" w:ascii="Times New Roman" w:hAnsi="Times New Roman" w:eastAsia="方正仿宋简体" w:cs="Times New Roman"/>
          <w:color w:val="000000"/>
          <w:kern w:val="2"/>
          <w:sz w:val="32"/>
          <w:szCs w:val="32"/>
          <w:lang w:eastAsia="zh-CN"/>
        </w:rPr>
      </w:pPr>
      <w:r>
        <w:rPr>
          <w:rFonts w:hint="eastAsia" w:ascii="仿宋" w:hAnsi="仿宋" w:eastAsia="仿宋" w:cs="仿宋"/>
          <w:b w:val="0"/>
          <w:bCs w:val="0"/>
          <w:color w:val="000000"/>
          <w:kern w:val="2"/>
          <w:sz w:val="32"/>
          <w:szCs w:val="32"/>
          <w:lang w:val="en-US" w:eastAsia="zh-CN"/>
        </w:rPr>
        <w:t>18、</w:t>
      </w:r>
      <w:r>
        <w:rPr>
          <w:rFonts w:hint="eastAsia" w:ascii="仿宋" w:hAnsi="仿宋" w:eastAsia="仿宋" w:cs="仿宋"/>
          <w:b w:val="0"/>
          <w:bCs w:val="0"/>
          <w:color w:val="000000"/>
          <w:kern w:val="2"/>
          <w:sz w:val="32"/>
          <w:szCs w:val="32"/>
          <w:lang w:eastAsia="zh-CN"/>
        </w:rPr>
        <w:t>完成区委、区人民政府交办的其他任务。</w:t>
      </w:r>
    </w:p>
    <w:p>
      <w:pPr>
        <w:widowControl/>
        <w:spacing w:line="600" w:lineRule="exact"/>
        <w:ind w:firstLine="630" w:firstLineChars="196"/>
        <w:jc w:val="left"/>
        <w:rPr>
          <w:rFonts w:eastAsia="楷体_GB2312"/>
          <w:b/>
          <w:sz w:val="32"/>
          <w:szCs w:val="32"/>
        </w:rPr>
      </w:pPr>
      <w:r>
        <w:rPr>
          <w:rFonts w:eastAsia="楷体_GB2312"/>
          <w:b/>
          <w:sz w:val="32"/>
          <w:szCs w:val="32"/>
        </w:rPr>
        <w:t>（二）机构设置情况</w:t>
      </w:r>
    </w:p>
    <w:p>
      <w:pPr>
        <w:widowControl w:val="0"/>
        <w:shd w:val="clear" w:color="auto" w:fill="FFFFFF"/>
        <w:adjustRightInd/>
        <w:snapToGrid/>
        <w:spacing w:after="0" w:line="58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eastAsia="zh-CN"/>
        </w:rPr>
        <w:t>南岳区发展和改革局</w:t>
      </w:r>
      <w:r>
        <w:rPr>
          <w:rFonts w:hint="eastAsia" w:ascii="仿宋" w:hAnsi="仿宋" w:eastAsia="仿宋" w:cs="仿宋"/>
          <w:color w:val="auto"/>
          <w:kern w:val="2"/>
          <w:sz w:val="32"/>
          <w:szCs w:val="32"/>
        </w:rPr>
        <w:t>是全额拨款的行政单位，根据编办核定，我局内设股室</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个，分别是办公室、经济和社会发展综合规划股、固定资产投资股、价格和收费管理股、法规和行政审批服务股，</w:t>
      </w:r>
      <w:r>
        <w:rPr>
          <w:rFonts w:hint="eastAsia" w:ascii="仿宋" w:hAnsi="仿宋" w:eastAsia="仿宋" w:cs="仿宋"/>
          <w:color w:val="auto"/>
          <w:kern w:val="2"/>
          <w:sz w:val="32"/>
          <w:szCs w:val="32"/>
          <w:lang w:val="en-US" w:eastAsia="zh-CN"/>
        </w:rPr>
        <w:t>3个二级机构，分别是</w:t>
      </w:r>
      <w:r>
        <w:rPr>
          <w:rFonts w:hint="eastAsia" w:ascii="仿宋" w:hAnsi="仿宋" w:eastAsia="仿宋" w:cs="仿宋"/>
          <w:color w:val="auto"/>
          <w:kern w:val="2"/>
          <w:sz w:val="32"/>
          <w:szCs w:val="32"/>
        </w:rPr>
        <w:t>区重点建设项目事务中心</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区价格认证中心</w:t>
      </w:r>
      <w:r>
        <w:rPr>
          <w:rFonts w:hint="eastAsia" w:ascii="仿宋" w:hAnsi="仿宋" w:eastAsia="仿宋" w:cs="仿宋"/>
          <w:color w:val="auto"/>
          <w:kern w:val="2"/>
          <w:sz w:val="32"/>
          <w:szCs w:val="32"/>
          <w:lang w:eastAsia="zh-CN"/>
        </w:rPr>
        <w:t>、区发展和改革事务中心，</w:t>
      </w:r>
      <w:r>
        <w:rPr>
          <w:rFonts w:hint="eastAsia" w:ascii="仿宋" w:hAnsi="仿宋" w:eastAsia="仿宋" w:cs="仿宋"/>
          <w:color w:val="auto"/>
          <w:kern w:val="2"/>
          <w:sz w:val="32"/>
          <w:szCs w:val="32"/>
        </w:rPr>
        <w:t>核定编制人数</w:t>
      </w:r>
      <w:r>
        <w:rPr>
          <w:rFonts w:hint="eastAsia" w:ascii="仿宋" w:hAnsi="仿宋" w:eastAsia="仿宋" w:cs="仿宋"/>
          <w:color w:val="auto"/>
          <w:kern w:val="2"/>
          <w:sz w:val="32"/>
          <w:szCs w:val="32"/>
          <w:lang w:val="en-US" w:eastAsia="zh-CN"/>
        </w:rPr>
        <w:t>30</w:t>
      </w:r>
      <w:r>
        <w:rPr>
          <w:rFonts w:hint="eastAsia" w:ascii="仿宋" w:hAnsi="仿宋" w:eastAsia="仿宋" w:cs="仿宋"/>
          <w:color w:val="auto"/>
          <w:kern w:val="2"/>
          <w:sz w:val="32"/>
          <w:szCs w:val="32"/>
        </w:rPr>
        <w:t>人，其中：行政编制</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人，全额事业编制</w:t>
      </w:r>
      <w:r>
        <w:rPr>
          <w:rFonts w:hint="eastAsia" w:ascii="仿宋" w:hAnsi="仿宋" w:eastAsia="仿宋" w:cs="仿宋"/>
          <w:color w:val="auto"/>
          <w:kern w:val="2"/>
          <w:sz w:val="32"/>
          <w:szCs w:val="32"/>
          <w:lang w:val="en-US" w:eastAsia="zh-CN"/>
        </w:rPr>
        <w:t>26</w:t>
      </w:r>
      <w:r>
        <w:rPr>
          <w:rFonts w:hint="eastAsia" w:ascii="仿宋" w:hAnsi="仿宋" w:eastAsia="仿宋" w:cs="仿宋"/>
          <w:color w:val="auto"/>
          <w:kern w:val="2"/>
          <w:sz w:val="32"/>
          <w:szCs w:val="32"/>
        </w:rPr>
        <w:t>人，20</w:t>
      </w:r>
      <w:r>
        <w:rPr>
          <w:rFonts w:hint="eastAsia" w:ascii="仿宋" w:hAnsi="仿宋" w:eastAsia="仿宋" w:cs="仿宋"/>
          <w:color w:val="auto"/>
          <w:kern w:val="2"/>
          <w:sz w:val="32"/>
          <w:szCs w:val="32"/>
          <w:lang w:val="en-US" w:eastAsia="zh-CN"/>
        </w:rPr>
        <w:t>22</w:t>
      </w:r>
      <w:r>
        <w:rPr>
          <w:rFonts w:hint="eastAsia" w:ascii="仿宋" w:hAnsi="仿宋" w:eastAsia="仿宋" w:cs="仿宋"/>
          <w:color w:val="auto"/>
          <w:kern w:val="2"/>
          <w:sz w:val="32"/>
          <w:szCs w:val="32"/>
        </w:rPr>
        <w:t>年末实际在岗在编人数</w:t>
      </w:r>
      <w:r>
        <w:rPr>
          <w:rFonts w:hint="eastAsia" w:ascii="仿宋" w:hAnsi="仿宋" w:eastAsia="仿宋" w:cs="仿宋"/>
          <w:color w:val="auto"/>
          <w:kern w:val="2"/>
          <w:sz w:val="32"/>
          <w:szCs w:val="32"/>
          <w:lang w:val="en-US" w:eastAsia="zh-CN"/>
        </w:rPr>
        <w:t>21</w:t>
      </w:r>
      <w:r>
        <w:rPr>
          <w:rFonts w:hint="eastAsia" w:ascii="仿宋" w:hAnsi="仿宋" w:eastAsia="仿宋" w:cs="仿宋"/>
          <w:color w:val="auto"/>
          <w:kern w:val="2"/>
          <w:sz w:val="32"/>
          <w:szCs w:val="32"/>
        </w:rPr>
        <w:t>人，退休人员</w:t>
      </w:r>
      <w:r>
        <w:rPr>
          <w:rFonts w:hint="eastAsia" w:ascii="仿宋" w:hAnsi="仿宋" w:eastAsia="仿宋" w:cs="仿宋"/>
          <w:color w:val="auto"/>
          <w:kern w:val="2"/>
          <w:sz w:val="32"/>
          <w:szCs w:val="32"/>
          <w:lang w:val="en-US" w:eastAsia="zh-CN"/>
        </w:rPr>
        <w:t>30</w:t>
      </w:r>
      <w:r>
        <w:rPr>
          <w:rFonts w:hint="eastAsia" w:ascii="仿宋" w:hAnsi="仿宋" w:eastAsia="仿宋" w:cs="仿宋"/>
          <w:color w:val="auto"/>
          <w:kern w:val="2"/>
          <w:sz w:val="32"/>
          <w:szCs w:val="32"/>
        </w:rPr>
        <w:t>人，</w:t>
      </w:r>
      <w:r>
        <w:rPr>
          <w:rFonts w:hint="eastAsia" w:ascii="仿宋" w:hAnsi="仿宋" w:eastAsia="仿宋" w:cs="仿宋"/>
          <w:color w:val="auto"/>
          <w:kern w:val="2"/>
          <w:sz w:val="32"/>
          <w:szCs w:val="32"/>
          <w:lang w:val="en-US" w:eastAsia="zh-CN"/>
        </w:rPr>
        <w:t>自收自支编制人员1人，</w:t>
      </w:r>
      <w:r>
        <w:rPr>
          <w:rFonts w:hint="eastAsia" w:ascii="仿宋" w:hAnsi="仿宋" w:eastAsia="仿宋" w:cs="仿宋"/>
          <w:color w:val="auto"/>
          <w:kern w:val="2"/>
          <w:sz w:val="32"/>
          <w:szCs w:val="32"/>
        </w:rPr>
        <w:t>临聘</w:t>
      </w:r>
      <w:r>
        <w:rPr>
          <w:rFonts w:hint="eastAsia" w:ascii="仿宋" w:hAnsi="仿宋" w:eastAsia="仿宋" w:cs="仿宋"/>
          <w:color w:val="auto"/>
          <w:kern w:val="2"/>
          <w:sz w:val="32"/>
          <w:szCs w:val="32"/>
          <w:lang w:eastAsia="zh-CN"/>
        </w:rPr>
        <w:t>人员</w:t>
      </w:r>
      <w:r>
        <w:rPr>
          <w:rFonts w:hint="eastAsia" w:ascii="仿宋" w:hAnsi="仿宋" w:eastAsia="仿宋" w:cs="仿宋"/>
          <w:color w:val="auto"/>
          <w:kern w:val="2"/>
          <w:sz w:val="32"/>
          <w:szCs w:val="32"/>
          <w:lang w:val="en-US" w:eastAsia="zh-CN"/>
        </w:rPr>
        <w:t>6</w:t>
      </w:r>
      <w:r>
        <w:rPr>
          <w:rFonts w:hint="eastAsia" w:ascii="仿宋" w:hAnsi="仿宋" w:eastAsia="仿宋" w:cs="仿宋"/>
          <w:color w:val="auto"/>
          <w:kern w:val="2"/>
          <w:sz w:val="32"/>
          <w:szCs w:val="32"/>
        </w:rPr>
        <w:t>人，</w:t>
      </w:r>
      <w:r>
        <w:rPr>
          <w:rFonts w:hint="eastAsia" w:ascii="仿宋" w:hAnsi="仿宋" w:eastAsia="仿宋" w:cs="仿宋"/>
          <w:color w:val="auto"/>
          <w:kern w:val="2"/>
          <w:sz w:val="32"/>
          <w:szCs w:val="32"/>
          <w:lang w:eastAsia="zh-CN"/>
        </w:rPr>
        <w:t>无</w:t>
      </w:r>
      <w:r>
        <w:rPr>
          <w:rFonts w:hint="eastAsia" w:ascii="仿宋" w:hAnsi="仿宋" w:eastAsia="仿宋" w:cs="仿宋"/>
          <w:color w:val="auto"/>
          <w:kern w:val="2"/>
          <w:sz w:val="32"/>
          <w:szCs w:val="32"/>
        </w:rPr>
        <w:t>公务用车。</w:t>
      </w:r>
    </w:p>
    <w:p>
      <w:pPr>
        <w:widowControl/>
        <w:spacing w:line="600" w:lineRule="exact"/>
        <w:ind w:firstLine="630" w:firstLineChars="196"/>
        <w:jc w:val="left"/>
        <w:rPr>
          <w:rFonts w:eastAsia="楷体_GB2312"/>
          <w:b/>
          <w:sz w:val="32"/>
          <w:szCs w:val="32"/>
        </w:rPr>
      </w:pPr>
      <w:r>
        <w:rPr>
          <w:rFonts w:eastAsia="楷体_GB2312"/>
          <w:b/>
          <w:sz w:val="32"/>
          <w:szCs w:val="32"/>
        </w:rPr>
        <w:t>（三）人员编制情况</w:t>
      </w:r>
    </w:p>
    <w:p>
      <w:pPr>
        <w:numPr>
          <w:ilvl w:val="0"/>
          <w:numId w:val="0"/>
        </w:numPr>
        <w:ind w:firstLine="640" w:firstLineChars="200"/>
        <w:rPr>
          <w:rFonts w:hint="eastAsia" w:ascii="黑体" w:hAnsi="Times New Roman" w:eastAsia="黑体" w:cs="Times New Roman"/>
          <w:sz w:val="32"/>
          <w:szCs w:val="32"/>
        </w:rPr>
      </w:pPr>
      <w:r>
        <w:rPr>
          <w:rFonts w:eastAsia="仿宋_GB2312"/>
          <w:sz w:val="32"/>
          <w:szCs w:val="32"/>
        </w:rPr>
        <w:t>20</w:t>
      </w:r>
      <w:r>
        <w:rPr>
          <w:rFonts w:hint="eastAsia" w:eastAsia="仿宋_GB2312"/>
          <w:sz w:val="32"/>
          <w:szCs w:val="32"/>
          <w:lang w:val="en-US" w:eastAsia="zh-CN"/>
        </w:rPr>
        <w:t>24</w:t>
      </w:r>
      <w:r>
        <w:rPr>
          <w:rFonts w:eastAsia="仿宋_GB2312"/>
          <w:sz w:val="32"/>
          <w:szCs w:val="32"/>
        </w:rPr>
        <w:t>年末，我单位共有编制</w:t>
      </w:r>
      <w:r>
        <w:rPr>
          <w:rFonts w:hint="eastAsia" w:eastAsia="仿宋_GB2312"/>
          <w:sz w:val="32"/>
          <w:szCs w:val="32"/>
          <w:lang w:val="en-US" w:eastAsia="zh-CN"/>
        </w:rPr>
        <w:t xml:space="preserve"> 32</w:t>
      </w:r>
      <w:r>
        <w:rPr>
          <w:rFonts w:eastAsia="仿宋_GB2312"/>
          <w:sz w:val="32"/>
          <w:szCs w:val="32"/>
        </w:rPr>
        <w:t>人，其中行政编制</w:t>
      </w:r>
      <w:r>
        <w:rPr>
          <w:rFonts w:hint="eastAsia" w:eastAsia="仿宋_GB2312"/>
          <w:sz w:val="32"/>
          <w:szCs w:val="32"/>
          <w:lang w:val="en-US" w:eastAsia="zh-CN"/>
        </w:rPr>
        <w:t>7</w:t>
      </w:r>
      <w:r>
        <w:rPr>
          <w:rFonts w:eastAsia="仿宋_GB2312"/>
          <w:sz w:val="32"/>
          <w:szCs w:val="32"/>
        </w:rPr>
        <w:t>人，事业编制</w:t>
      </w:r>
      <w:r>
        <w:rPr>
          <w:rFonts w:hint="eastAsia" w:eastAsia="仿宋_GB2312"/>
          <w:sz w:val="32"/>
          <w:szCs w:val="32"/>
          <w:lang w:val="en-US" w:eastAsia="zh-CN"/>
        </w:rPr>
        <w:t>25</w:t>
      </w:r>
      <w:r>
        <w:rPr>
          <w:rFonts w:eastAsia="仿宋_GB2312"/>
          <w:sz w:val="32"/>
          <w:szCs w:val="32"/>
        </w:rPr>
        <w:t>人</w:t>
      </w:r>
      <w:r>
        <w:rPr>
          <w:rFonts w:hint="eastAsia" w:eastAsia="仿宋_GB2312"/>
          <w:sz w:val="32"/>
          <w:szCs w:val="32"/>
          <w:lang w:eastAsia="zh-CN"/>
        </w:rPr>
        <w:t>。</w:t>
      </w:r>
      <w:r>
        <w:rPr>
          <w:rFonts w:hint="eastAsia" w:eastAsia="仿宋_GB2312"/>
          <w:sz w:val="32"/>
          <w:szCs w:val="32"/>
          <w:lang w:val="en-US" w:eastAsia="zh-CN"/>
        </w:rPr>
        <w:t>自收自支人员2人</w:t>
      </w:r>
      <w:r>
        <w:rPr>
          <w:rFonts w:eastAsia="仿宋_GB2312"/>
          <w:sz w:val="32"/>
          <w:szCs w:val="32"/>
        </w:rPr>
        <w:t>。年末实有在职人员</w:t>
      </w:r>
      <w:r>
        <w:rPr>
          <w:rFonts w:hint="eastAsia" w:eastAsia="仿宋_GB2312"/>
          <w:sz w:val="32"/>
          <w:szCs w:val="32"/>
          <w:lang w:val="en-US" w:eastAsia="zh-CN"/>
        </w:rPr>
        <w:t>32</w:t>
      </w:r>
      <w:r>
        <w:rPr>
          <w:rFonts w:eastAsia="仿宋_GB2312"/>
          <w:sz w:val="32"/>
          <w:szCs w:val="32"/>
        </w:rPr>
        <w:t>人，离休人员</w:t>
      </w:r>
      <w:r>
        <w:rPr>
          <w:rFonts w:hint="eastAsia" w:eastAsia="仿宋_GB2312"/>
          <w:sz w:val="32"/>
          <w:szCs w:val="32"/>
          <w:lang w:val="en-US" w:eastAsia="zh-CN"/>
        </w:rPr>
        <w:t>29</w:t>
      </w:r>
      <w:r>
        <w:rPr>
          <w:rFonts w:eastAsia="仿宋_GB2312"/>
          <w:sz w:val="32"/>
          <w:szCs w:val="32"/>
        </w:rPr>
        <w:t>人。</w:t>
      </w:r>
    </w:p>
    <w:p>
      <w:pPr>
        <w:widowControl/>
        <w:numPr>
          <w:ilvl w:val="0"/>
          <w:numId w:val="1"/>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一般公共预算支出情况</w:t>
      </w:r>
    </w:p>
    <w:p>
      <w:pPr>
        <w:widowControl/>
        <w:numPr>
          <w:ilvl w:val="0"/>
          <w:numId w:val="0"/>
        </w:numPr>
        <w:spacing w:line="600" w:lineRule="exact"/>
        <w:ind w:firstLine="643" w:firstLineChars="20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pPr>
        <w:tabs>
          <w:tab w:val="left" w:pos="2296"/>
        </w:tabs>
        <w:spacing w:line="600" w:lineRule="exact"/>
        <w:ind w:firstLine="640" w:firstLineChars="200"/>
        <w:rPr>
          <w:rFonts w:hint="default" w:eastAsia="仿宋_GB2312"/>
          <w:sz w:val="32"/>
          <w:szCs w:val="32"/>
          <w:lang w:val="en-US"/>
        </w:rPr>
      </w:pPr>
      <w:r>
        <w:rPr>
          <w:rFonts w:eastAsia="仿宋_GB2312"/>
          <w:sz w:val="32"/>
          <w:szCs w:val="32"/>
        </w:rPr>
        <w:t>基本支出系保障我</w:t>
      </w:r>
      <w:r>
        <w:rPr>
          <w:rFonts w:hint="eastAsia" w:eastAsia="仿宋_GB2312"/>
          <w:sz w:val="32"/>
          <w:szCs w:val="32"/>
          <w:lang w:val="en-US" w:eastAsia="zh-CN"/>
        </w:rPr>
        <w:t>局</w:t>
      </w:r>
      <w:r>
        <w:rPr>
          <w:rFonts w:eastAsia="仿宋_GB2312"/>
          <w:sz w:val="32"/>
          <w:szCs w:val="32"/>
        </w:rPr>
        <w:t>机构正常运转、完成日常工作任务而发生的各项支出，包括用于在职和离退休人员基本工资、津贴补贴等人员经费以及办公费、印刷费、水电费、办公设备购置等日常公用经费。20</w:t>
      </w:r>
      <w:r>
        <w:rPr>
          <w:rFonts w:hint="eastAsia" w:eastAsia="仿宋_GB2312"/>
          <w:sz w:val="32"/>
          <w:szCs w:val="32"/>
          <w:lang w:val="en-US" w:eastAsia="zh-CN"/>
        </w:rPr>
        <w:t>24</w:t>
      </w:r>
      <w:r>
        <w:rPr>
          <w:rFonts w:eastAsia="仿宋_GB2312"/>
          <w:sz w:val="32"/>
          <w:szCs w:val="32"/>
        </w:rPr>
        <w:t>年基本支出</w:t>
      </w:r>
      <w:r>
        <w:rPr>
          <w:rFonts w:hint="eastAsia" w:eastAsia="仿宋_GB2312"/>
          <w:sz w:val="32"/>
          <w:szCs w:val="32"/>
          <w:lang w:val="en-US" w:eastAsia="zh-CN"/>
        </w:rPr>
        <w:t>731.97</w:t>
      </w:r>
      <w:r>
        <w:rPr>
          <w:rFonts w:eastAsia="仿宋_GB2312"/>
          <w:sz w:val="32"/>
          <w:szCs w:val="32"/>
        </w:rPr>
        <w:t>万元，较上年</w:t>
      </w:r>
      <w:r>
        <w:rPr>
          <w:rFonts w:hint="eastAsia" w:eastAsia="仿宋_GB2312"/>
          <w:sz w:val="32"/>
          <w:szCs w:val="32"/>
          <w:lang w:val="en-US" w:eastAsia="zh-CN"/>
        </w:rPr>
        <w:t>增加172.82</w:t>
      </w:r>
      <w:r>
        <w:rPr>
          <w:rFonts w:eastAsia="仿宋_GB2312"/>
          <w:sz w:val="32"/>
          <w:szCs w:val="32"/>
        </w:rPr>
        <w:t>万元。</w:t>
      </w:r>
      <w:r>
        <w:rPr>
          <w:rFonts w:eastAsia="仿宋_GB2312"/>
          <w:color w:val="000000"/>
          <w:sz w:val="32"/>
          <w:szCs w:val="32"/>
        </w:rPr>
        <w:t>基本支出中人员经费</w:t>
      </w:r>
      <w:r>
        <w:rPr>
          <w:rFonts w:hint="eastAsia" w:eastAsia="仿宋_GB2312"/>
          <w:color w:val="000000"/>
          <w:sz w:val="32"/>
          <w:szCs w:val="32"/>
          <w:lang w:val="en-US" w:eastAsia="zh-CN"/>
        </w:rPr>
        <w:t>500.18</w:t>
      </w:r>
      <w:r>
        <w:rPr>
          <w:rFonts w:eastAsia="仿宋_GB2312"/>
          <w:color w:val="000000"/>
          <w:sz w:val="32"/>
          <w:szCs w:val="32"/>
        </w:rPr>
        <w:t>万元，占基本支出的</w:t>
      </w:r>
      <w:r>
        <w:rPr>
          <w:rFonts w:hint="eastAsia" w:eastAsia="仿宋_GB2312"/>
          <w:color w:val="000000"/>
          <w:sz w:val="32"/>
          <w:szCs w:val="32"/>
          <w:lang w:val="en-US" w:eastAsia="zh-CN"/>
        </w:rPr>
        <w:t>68.33</w:t>
      </w:r>
      <w:r>
        <w:rPr>
          <w:rFonts w:eastAsia="仿宋_GB2312"/>
          <w:color w:val="000000"/>
          <w:sz w:val="32"/>
          <w:szCs w:val="32"/>
        </w:rPr>
        <w:t>%，</w:t>
      </w:r>
      <w:r>
        <w:rPr>
          <w:rFonts w:hint="eastAsia" w:eastAsia="仿宋_GB2312"/>
          <w:color w:val="000000"/>
          <w:sz w:val="32"/>
          <w:szCs w:val="32"/>
          <w:lang w:eastAsia="zh-CN"/>
        </w:rPr>
        <w:t>与上年</w:t>
      </w:r>
      <w:r>
        <w:rPr>
          <w:rFonts w:hint="eastAsia" w:eastAsia="仿宋_GB2312"/>
          <w:color w:val="000000"/>
          <w:sz w:val="32"/>
          <w:szCs w:val="32"/>
          <w:lang w:val="en-US" w:eastAsia="zh-CN"/>
        </w:rPr>
        <w:t>增加11.27万元</w:t>
      </w:r>
      <w:r>
        <w:rPr>
          <w:rFonts w:hint="eastAsia" w:eastAsia="仿宋_GB2312"/>
          <w:color w:val="000000"/>
          <w:sz w:val="32"/>
          <w:szCs w:val="32"/>
          <w:lang w:eastAsia="zh-CN"/>
        </w:rPr>
        <w:t>；</w:t>
      </w:r>
      <w:r>
        <w:rPr>
          <w:rFonts w:eastAsia="仿宋_GB2312"/>
          <w:color w:val="000000"/>
          <w:sz w:val="32"/>
          <w:szCs w:val="32"/>
        </w:rPr>
        <w:t>日常公用经费</w:t>
      </w:r>
      <w:r>
        <w:rPr>
          <w:rFonts w:hint="eastAsia" w:eastAsia="仿宋_GB2312"/>
          <w:color w:val="000000"/>
          <w:sz w:val="32"/>
          <w:szCs w:val="32"/>
          <w:lang w:val="en-US" w:eastAsia="zh-CN"/>
        </w:rPr>
        <w:t>144.28</w:t>
      </w:r>
      <w:r>
        <w:rPr>
          <w:rFonts w:eastAsia="仿宋_GB2312"/>
          <w:color w:val="000000"/>
          <w:sz w:val="32"/>
          <w:szCs w:val="32"/>
        </w:rPr>
        <w:t>万元，占基本支出的</w:t>
      </w:r>
      <w:r>
        <w:rPr>
          <w:rFonts w:hint="eastAsia" w:eastAsia="仿宋_GB2312"/>
          <w:color w:val="000000"/>
          <w:sz w:val="32"/>
          <w:szCs w:val="32"/>
          <w:lang w:val="en-US" w:eastAsia="zh-CN"/>
        </w:rPr>
        <w:t>19.71</w:t>
      </w:r>
      <w:r>
        <w:rPr>
          <w:rFonts w:eastAsia="仿宋_GB2312"/>
          <w:color w:val="000000"/>
          <w:sz w:val="32"/>
          <w:szCs w:val="32"/>
        </w:rPr>
        <w:t>%，较上年</w:t>
      </w:r>
      <w:r>
        <w:rPr>
          <w:rFonts w:hint="eastAsia" w:eastAsia="仿宋_GB2312"/>
          <w:color w:val="000000"/>
          <w:sz w:val="32"/>
          <w:szCs w:val="32"/>
          <w:lang w:val="en-US" w:eastAsia="zh-CN"/>
        </w:rPr>
        <w:t>增加74.04万元</w:t>
      </w:r>
      <w:r>
        <w:rPr>
          <w:rFonts w:hint="eastAsia" w:eastAsia="仿宋_GB2312"/>
          <w:color w:val="000000"/>
          <w:sz w:val="32"/>
          <w:szCs w:val="32"/>
          <w:lang w:eastAsia="zh-CN"/>
        </w:rPr>
        <w:t>，主要原因是</w:t>
      </w:r>
      <w:r>
        <w:rPr>
          <w:rFonts w:hint="eastAsia" w:eastAsia="仿宋_GB2312"/>
          <w:color w:val="000000"/>
          <w:sz w:val="32"/>
          <w:szCs w:val="32"/>
          <w:lang w:val="en-US" w:eastAsia="zh-CN"/>
        </w:rPr>
        <w:t>2024年7月机构合并，人员增加，公用经费支出增加。</w:t>
      </w:r>
    </w:p>
    <w:p>
      <w:pPr>
        <w:widowControl/>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pPr>
        <w:snapToGrid w:val="0"/>
        <w:spacing w:line="520" w:lineRule="exact"/>
        <w:ind w:firstLine="640" w:firstLineChars="200"/>
        <w:rPr>
          <w:rFonts w:hint="default" w:ascii="仿宋_GB2312" w:hAnsi="仿宋" w:eastAsia="仿宋_GB2312"/>
          <w:sz w:val="32"/>
          <w:szCs w:val="32"/>
          <w:lang w:val="en-US"/>
        </w:rPr>
      </w:pPr>
      <w:r>
        <w:rPr>
          <w:rFonts w:eastAsia="仿宋_GB2312"/>
          <w:sz w:val="32"/>
          <w:szCs w:val="32"/>
        </w:rPr>
        <w:t>项目支出系我</w:t>
      </w:r>
      <w:r>
        <w:rPr>
          <w:rFonts w:hint="eastAsia" w:eastAsia="仿宋_GB2312"/>
          <w:sz w:val="32"/>
          <w:szCs w:val="32"/>
          <w:lang w:val="en-US" w:eastAsia="zh-CN"/>
        </w:rPr>
        <w:t>局</w:t>
      </w:r>
      <w:r>
        <w:rPr>
          <w:rFonts w:eastAsia="仿宋_GB2312"/>
          <w:sz w:val="32"/>
          <w:szCs w:val="32"/>
        </w:rPr>
        <w:t>为完成财政财务管理工作而发生的支出，包括行业务工作经费和运行维护经费。业务工作经费支出主要用于</w:t>
      </w:r>
      <w:r>
        <w:rPr>
          <w:rFonts w:hint="eastAsia" w:eastAsia="仿宋_GB2312"/>
          <w:sz w:val="32"/>
          <w:szCs w:val="32"/>
          <w:lang w:val="en-US" w:eastAsia="zh-CN"/>
        </w:rPr>
        <w:t>发展和改革管理</w:t>
      </w:r>
      <w:r>
        <w:rPr>
          <w:rFonts w:eastAsia="仿宋_GB2312"/>
          <w:sz w:val="32"/>
          <w:szCs w:val="32"/>
        </w:rPr>
        <w:t>方面。20</w:t>
      </w:r>
      <w:r>
        <w:rPr>
          <w:rFonts w:hint="eastAsia" w:eastAsia="仿宋_GB2312"/>
          <w:sz w:val="32"/>
          <w:szCs w:val="32"/>
          <w:lang w:val="en-US" w:eastAsia="zh-CN"/>
        </w:rPr>
        <w:t>24</w:t>
      </w:r>
      <w:r>
        <w:rPr>
          <w:rFonts w:eastAsia="仿宋_GB2312"/>
          <w:sz w:val="32"/>
          <w:szCs w:val="32"/>
        </w:rPr>
        <w:t>年项目支出</w:t>
      </w:r>
      <w:r>
        <w:rPr>
          <w:rFonts w:hint="eastAsia" w:eastAsia="仿宋_GB2312"/>
          <w:sz w:val="32"/>
          <w:szCs w:val="32"/>
          <w:lang w:val="en-US" w:eastAsia="zh-CN"/>
        </w:rPr>
        <w:t>970.43</w:t>
      </w:r>
      <w:r>
        <w:rPr>
          <w:rFonts w:eastAsia="仿宋_GB2312"/>
          <w:sz w:val="32"/>
          <w:szCs w:val="32"/>
        </w:rPr>
        <w:t>万元，比上年</w:t>
      </w:r>
      <w:r>
        <w:rPr>
          <w:rFonts w:hint="eastAsia" w:eastAsia="仿宋_GB2312"/>
          <w:sz w:val="32"/>
          <w:szCs w:val="32"/>
          <w:lang w:val="en-US" w:eastAsia="zh-CN"/>
        </w:rPr>
        <w:t>增加386.84</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其中：</w:t>
      </w:r>
      <w:r>
        <w:rPr>
          <w:rFonts w:hint="eastAsia" w:ascii="Times New Roman" w:hAnsi="Times New Roman" w:eastAsia="仿宋_GB2312" w:cs="Times New Roman"/>
          <w:color w:val="auto"/>
          <w:sz w:val="32"/>
          <w:szCs w:val="32"/>
          <w:lang w:val="en-US" w:eastAsia="zh-CN"/>
        </w:rPr>
        <w:t>“四上”企业扶持资金项目156.7万元，占总项目支出的16.64%，统计类等项目支出101.03万元，占总项目支出的10.41%，其他项目712.7万元，占总项目支出的73.44%.主要原因是</w:t>
      </w:r>
      <w:r>
        <w:rPr>
          <w:rFonts w:hint="eastAsia" w:eastAsia="仿宋_GB2312"/>
          <w:color w:val="000000"/>
          <w:sz w:val="32"/>
          <w:szCs w:val="32"/>
          <w:lang w:val="en-US" w:eastAsia="zh-CN"/>
        </w:rPr>
        <w:t>2024年7月机构合并，项目支出增加</w:t>
      </w:r>
      <w:r>
        <w:rPr>
          <w:rFonts w:hint="eastAsia" w:ascii="Times New Roman" w:hAnsi="Times New Roman" w:eastAsia="仿宋_GB2312" w:cs="Times New Roman"/>
          <w:color w:val="auto"/>
          <w:sz w:val="32"/>
          <w:szCs w:val="32"/>
          <w:lang w:val="en-US" w:eastAsia="zh-CN"/>
        </w:rPr>
        <w:t>。</w:t>
      </w:r>
    </w:p>
    <w:p>
      <w:pPr>
        <w:tabs>
          <w:tab w:val="left" w:pos="2296"/>
        </w:tabs>
        <w:spacing w:line="600" w:lineRule="exact"/>
        <w:ind w:firstLine="640" w:firstLineChars="200"/>
        <w:rPr>
          <w:rFonts w:ascii="Times New Roman" w:hAnsi="Times New Roman" w:eastAsia="仿宋_GB2312" w:cs="Times New Roman"/>
          <w:sz w:val="32"/>
          <w:szCs w:val="32"/>
        </w:rPr>
      </w:pPr>
    </w:p>
    <w:p>
      <w:pPr>
        <w:widowControl/>
        <w:numPr>
          <w:ilvl w:val="0"/>
          <w:numId w:val="0"/>
        </w:numPr>
        <w:spacing w:line="600" w:lineRule="exact"/>
        <w:ind w:leftChars="0"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部门整体支出绩效情况</w:t>
      </w:r>
    </w:p>
    <w:p>
      <w:pPr>
        <w:pStyle w:val="9"/>
        <w:spacing w:before="0" w:beforeAutospacing="0" w:line="520" w:lineRule="exact"/>
        <w:ind w:firstLine="640"/>
        <w:rPr>
          <w:rFonts w:ascii="仿宋_GB2312" w:hAnsi="Times New Roman" w:eastAsia="仿宋_GB2312"/>
          <w:color w:val="000000" w:themeColor="text1"/>
          <w:sz w:val="32"/>
          <w:szCs w:val="32"/>
          <w14:textFill>
            <w14:solidFill>
              <w14:schemeClr w14:val="tx1"/>
            </w14:solidFill>
          </w14:textFill>
        </w:rPr>
      </w:pPr>
      <w:r>
        <w:rPr>
          <w:rFonts w:hint="eastAsia" w:ascii="Times New Roman" w:hAnsi="Times New Roman" w:eastAsia="仿宋" w:cs="Times New Roman"/>
          <w:sz w:val="32"/>
          <w:szCs w:val="32"/>
          <w:lang w:val="en-US" w:eastAsia="zh-CN"/>
        </w:rPr>
        <w:t>2024年，</w:t>
      </w:r>
      <w:r>
        <w:rPr>
          <w:rFonts w:hint="eastAsia" w:ascii="仿宋_GB2312" w:hAnsi="仿宋_GB2312" w:eastAsia="仿宋_GB2312" w:cs="仿宋_GB2312"/>
          <w:color w:val="000000"/>
          <w:kern w:val="0"/>
          <w:sz w:val="32"/>
          <w:szCs w:val="32"/>
          <w:lang w:val="en-US" w:eastAsia="zh-CN" w:bidi="ar"/>
        </w:rPr>
        <w:t>面对机构改革中单位的大范围调整合并，班子成员的大幅度调整，我局党组班子严格按照区委“1235”工作思路“遵道而行”，</w:t>
      </w:r>
      <w:r>
        <w:rPr>
          <w:rFonts w:hint="eastAsia" w:ascii="仿宋_GB2312" w:hAnsi="Times New Roman" w:eastAsia="仿宋_GB2312"/>
          <w:sz w:val="32"/>
          <w:szCs w:val="32"/>
        </w:rPr>
        <w:t>紧紧围绕把方向、稳增长、促转型、抓改革、惠民生、守底线等主责主业，坚持干字当头、</w:t>
      </w:r>
      <w:r>
        <w:rPr>
          <w:rFonts w:hint="eastAsia" w:ascii="仿宋_GB2312" w:hAnsi="Times New Roman" w:eastAsia="仿宋_GB2312"/>
          <w:color w:val="000000" w:themeColor="text1"/>
          <w:sz w:val="32"/>
          <w:szCs w:val="32"/>
          <w14:textFill>
            <w14:solidFill>
              <w14:schemeClr w14:val="tx1"/>
            </w14:solidFill>
          </w14:textFill>
        </w:rPr>
        <w:t>实字为要，较好地完成年度各项任务</w:t>
      </w:r>
    </w:p>
    <w:p>
      <w:pPr>
        <w:pStyle w:val="9"/>
        <w:keepNext w:val="0"/>
        <w:keepLines w:val="0"/>
        <w:pageBreakBefore w:val="0"/>
        <w:widowControl w:val="0"/>
        <w:kinsoku/>
        <w:wordWrap/>
        <w:overflowPunct/>
        <w:topLinePunct w:val="0"/>
        <w:autoSpaceDE/>
        <w:autoSpaceDN/>
        <w:bidi w:val="0"/>
        <w:adjustRightInd/>
        <w:snapToGrid/>
        <w:spacing w:before="0" w:beforeAutospacing="0" w:line="560" w:lineRule="exact"/>
        <w:ind w:firstLine="31680"/>
        <w:textAlignment w:val="auto"/>
        <w:rPr>
          <w:rFonts w:hint="eastAsia" w:ascii="Times New Roman" w:hAnsi="Times New Roman" w:eastAsia="仿宋" w:cs="Times New Roman"/>
          <w:sz w:val="32"/>
          <w:szCs w:val="32"/>
          <w:lang w:eastAsia="zh-CN"/>
        </w:rPr>
      </w:pP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楷体" w:hAnsi="楷体" w:eastAsia="楷体" w:cs="楷体"/>
          <w:b/>
          <w:bCs/>
          <w:sz w:val="32"/>
          <w:szCs w:val="32"/>
          <w:lang w:val="en-US" w:eastAsia="zh-CN"/>
        </w:rPr>
        <w:t>（一）坚持在党建引领中务实功。</w:t>
      </w:r>
      <w:r>
        <w:rPr>
          <w:rFonts w:hint="eastAsia" w:ascii="仿宋_GB2312" w:hAnsi="仿宋_GB2312" w:eastAsia="仿宋_GB2312" w:cs="仿宋_GB2312"/>
          <w:b/>
          <w:bCs/>
          <w:color w:val="000000"/>
          <w:kern w:val="0"/>
          <w:sz w:val="32"/>
          <w:szCs w:val="32"/>
          <w:lang w:val="en-US" w:eastAsia="zh-CN" w:bidi="ar"/>
        </w:rPr>
        <w:t>一是抓班子带队伍。</w:t>
      </w:r>
      <w:r>
        <w:rPr>
          <w:rFonts w:hint="eastAsia" w:ascii="仿宋_GB2312" w:hAnsi="仿宋_GB2312" w:eastAsia="仿宋_GB2312" w:cs="仿宋_GB2312"/>
          <w:color w:val="000000"/>
          <w:kern w:val="0"/>
          <w:sz w:val="32"/>
          <w:szCs w:val="32"/>
          <w:lang w:val="en-US" w:eastAsia="zh-CN" w:bidi="ar"/>
        </w:rPr>
        <w:t>始终把扛牢管党治党主体责任作为首要政治任务，</w:t>
      </w:r>
      <w:r>
        <w:rPr>
          <w:rFonts w:hint="eastAsia" w:ascii="仿宋_GB2312" w:hAnsi="仿宋_GB2312" w:eastAsia="仿宋_GB2312" w:cs="仿宋_GB2312"/>
          <w:color w:val="000000"/>
          <w:kern w:val="0"/>
          <w:sz w:val="32"/>
          <w:szCs w:val="32"/>
          <w:u w:val="none"/>
          <w:lang w:val="en-US" w:eastAsia="zh-CN" w:bidi="ar"/>
        </w:rPr>
        <w:t>班子成员分工明确，股室职责清晰，做到既有分工又注重合作，担当干事氛围浓厚。</w:t>
      </w:r>
      <w:r>
        <w:rPr>
          <w:rFonts w:hint="eastAsia" w:ascii="仿宋_GB2312" w:hAnsi="仿宋_GB2312" w:eastAsia="仿宋_GB2312" w:cs="仿宋_GB2312"/>
          <w:color w:val="000000"/>
          <w:kern w:val="0"/>
          <w:sz w:val="32"/>
          <w:szCs w:val="32"/>
          <w:lang w:val="en-US" w:eastAsia="zh-CN" w:bidi="ar"/>
        </w:rPr>
        <w:t>全面落实“第一议题”“三重一大”“三会一课”等制度规定，始终保持了队伍建设的正确方向</w:t>
      </w:r>
      <w:r>
        <w:rPr>
          <w:rFonts w:hint="eastAsia" w:ascii="仿宋" w:hAnsi="仿宋" w:eastAsia="仿宋" w:cs="仿宋"/>
          <w:sz w:val="32"/>
          <w:szCs w:val="32"/>
          <w:lang w:val="en-US" w:eastAsia="zh-CN"/>
        </w:rPr>
        <w:t>。</w:t>
      </w:r>
      <w:r>
        <w:rPr>
          <w:rFonts w:hint="eastAsia" w:ascii="仿宋_GB2312" w:hAnsi="仿宋_GB2312" w:eastAsia="仿宋_GB2312" w:cs="仿宋_GB2312"/>
          <w:b/>
          <w:bCs/>
          <w:color w:val="000000"/>
          <w:kern w:val="0"/>
          <w:sz w:val="32"/>
          <w:szCs w:val="32"/>
          <w:lang w:val="en-US" w:eastAsia="zh-CN" w:bidi="ar"/>
        </w:rPr>
        <w:t>二是抓作风优氛围。</w:t>
      </w:r>
      <w:r>
        <w:rPr>
          <w:rFonts w:hint="eastAsia" w:ascii="仿宋_GB2312" w:hAnsi="仿宋_GB2312" w:eastAsia="仿宋_GB2312" w:cs="仿宋_GB2312"/>
          <w:color w:val="000000"/>
          <w:kern w:val="0"/>
          <w:sz w:val="32"/>
          <w:szCs w:val="32"/>
          <w:lang w:val="en-US" w:eastAsia="zh-CN" w:bidi="ar"/>
        </w:rPr>
        <w:t>修订完善我局内控管理制度，坚持用制度管权、用制度管事、用制度管人。坚持以上率下，要求干部职工做到的事项，班子成员率先落实。</w:t>
      </w:r>
      <w:r>
        <w:rPr>
          <w:rFonts w:hint="eastAsia" w:ascii="仿宋_GB2312" w:hAnsi="仿宋_GB2312" w:eastAsia="仿宋_GB2312" w:cs="仿宋_GB2312"/>
          <w:color w:val="000000"/>
          <w:kern w:val="0"/>
          <w:sz w:val="32"/>
          <w:szCs w:val="32"/>
          <w:u w:val="none"/>
          <w:lang w:val="en-US" w:eastAsia="zh-CN" w:bidi="ar"/>
        </w:rPr>
        <w:t>目前全局内部关系融洽，快速达到了合编合心合力要求。</w:t>
      </w:r>
      <w:r>
        <w:rPr>
          <w:rFonts w:hint="eastAsia" w:ascii="仿宋_GB2312" w:hAnsi="仿宋_GB2312" w:eastAsia="仿宋_GB2312" w:cs="仿宋_GB2312"/>
          <w:b/>
          <w:bCs/>
          <w:color w:val="000000"/>
          <w:kern w:val="0"/>
          <w:sz w:val="32"/>
          <w:szCs w:val="32"/>
          <w:lang w:val="en-US" w:eastAsia="zh-CN" w:bidi="ar"/>
        </w:rPr>
        <w:t>三是抓廉政严纪律。</w:t>
      </w:r>
      <w:r>
        <w:rPr>
          <w:rFonts w:hint="eastAsia" w:ascii="仿宋_GB2312" w:hAnsi="仿宋_GB2312" w:eastAsia="仿宋_GB2312" w:cs="仿宋_GB2312"/>
          <w:color w:val="000000"/>
          <w:kern w:val="0"/>
          <w:sz w:val="32"/>
          <w:szCs w:val="32"/>
          <w:lang w:val="en-US" w:eastAsia="zh-CN" w:bidi="ar"/>
        </w:rPr>
        <w:t>认真组织“党组书记说廉”“党纪教育一刻钟”活动，常态化开展廉政谈话，队伍拒腐防变的思想根基不断夯实。</w:t>
      </w:r>
      <w:r>
        <w:rPr>
          <w:rFonts w:hint="eastAsia" w:ascii="仿宋_GB2312" w:hAnsi="仿宋_GB2312" w:eastAsia="仿宋_GB2312" w:cs="仿宋_GB2312"/>
          <w:b/>
          <w:bCs/>
          <w:color w:val="000000"/>
          <w:kern w:val="0"/>
          <w:sz w:val="32"/>
          <w:szCs w:val="32"/>
          <w:lang w:val="en-US" w:eastAsia="zh-CN" w:bidi="ar"/>
        </w:rPr>
        <w:t>四是抓安全守底线。</w:t>
      </w:r>
      <w:r>
        <w:rPr>
          <w:rFonts w:hint="eastAsia" w:ascii="仿宋_GB2312" w:hAnsi="仿宋_GB2312" w:eastAsia="仿宋_GB2312" w:cs="仿宋_GB2312"/>
          <w:color w:val="000000"/>
          <w:kern w:val="0"/>
          <w:sz w:val="32"/>
          <w:szCs w:val="32"/>
          <w:lang w:val="en-US" w:eastAsia="zh-CN" w:bidi="ar"/>
        </w:rPr>
        <w:t>坚持把意识形态工作列入党组中心组年度理论学习主要内容，纳入党员干部队伍年度教育实施计划，牢牢掌握了“主动权”、守住了“主阵地”。注重加大防间保密教育，严格落实涉密载体各项管理规定，强化经常性隐患排查，较好地堵塞了失泄密渠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（二）坚持在固牢经济中出实招。</w:t>
      </w:r>
      <w:r>
        <w:rPr>
          <w:rFonts w:hint="eastAsia" w:ascii="仿宋_GB2312" w:hAnsi="仿宋_GB2312" w:eastAsia="仿宋_GB2312" w:cs="仿宋_GB2312"/>
          <w:b/>
          <w:bCs/>
          <w:color w:val="000000"/>
          <w:kern w:val="0"/>
          <w:sz w:val="32"/>
          <w:szCs w:val="32"/>
          <w:lang w:val="en-US" w:eastAsia="zh-CN" w:bidi="ar"/>
        </w:rPr>
        <w:t>一是聚力稳增长。</w:t>
      </w:r>
      <w:r>
        <w:rPr>
          <w:rFonts w:hint="eastAsia" w:ascii="仿宋_GB2312" w:hAnsi="仿宋" w:eastAsia="仿宋_GB2312" w:cs="仿宋"/>
          <w:sz w:val="32"/>
          <w:szCs w:val="32"/>
          <w:lang w:val="en-US" w:eastAsia="zh-CN"/>
        </w:rPr>
        <w:t>紧盯年度经济社会发展目标任务，加严加密运行情况监测，牵头推进“八大行动”，深入开展“两重”“两新”送解优专项行动等，力促全区经济平稳运行、稳中向好</w:t>
      </w:r>
      <w:r>
        <w:rPr>
          <w:rFonts w:hint="eastAsia" w:ascii="仿宋_GB2312" w:hAnsi="仿宋_GB2312" w:eastAsia="仿宋_GB2312" w:cs="仿宋_GB2312"/>
          <w:color w:val="000000"/>
          <w:kern w:val="0"/>
          <w:sz w:val="32"/>
          <w:szCs w:val="32"/>
          <w:lang w:val="en-US" w:eastAsia="zh-CN" w:bidi="ar"/>
        </w:rPr>
        <w:t>。经全区上下共同努力，全年预计实现地区生产总值增长4.6%、固定资产投资增长16%、社会消费品零售总额增长7%，均有望排名五区前列；在</w:t>
      </w:r>
      <w:r>
        <w:rPr>
          <w:rFonts w:hint="eastAsia" w:ascii="仿宋_GB2312" w:hAnsi="仿宋_GB2312" w:eastAsia="仿宋_GB2312" w:cs="仿宋_GB2312"/>
          <w:kern w:val="0"/>
          <w:sz w:val="32"/>
          <w:szCs w:val="32"/>
          <w:lang w:val="en-US" w:eastAsia="zh-CN"/>
        </w:rPr>
        <w:t>全市“制造立市、文旅兴城”发展战略考核中，我区综合得分连续稳居五区第一。</w:t>
      </w:r>
      <w:r>
        <w:rPr>
          <w:rFonts w:hint="eastAsia" w:ascii="仿宋_GB2312" w:hAnsi="仿宋_GB2312" w:eastAsia="仿宋_GB2312" w:cs="仿宋_GB2312"/>
          <w:b/>
          <w:bCs/>
          <w:color w:val="000000"/>
          <w:kern w:val="0"/>
          <w:sz w:val="32"/>
          <w:szCs w:val="32"/>
          <w:lang w:val="en-US" w:eastAsia="zh-CN" w:bidi="ar"/>
        </w:rPr>
        <w:t>二是奋力抓争资。</w:t>
      </w:r>
      <w:r>
        <w:rPr>
          <w:rFonts w:hint="eastAsia" w:ascii="仿宋_GB2312" w:hAnsi="仿宋_GB2312" w:eastAsia="仿宋_GB2312" w:cs="仿宋_GB2312"/>
          <w:bCs/>
          <w:sz w:val="32"/>
          <w:szCs w:val="32"/>
          <w:lang w:val="en-US" w:eastAsia="zh-CN"/>
        </w:rPr>
        <w:t>以筹备第三届湖南省旅发大会为统揽，梳理下发旅发大会区级拟争资任务清单54项和拟争取政策任务清单43项，完成121个项目的申报储备。紧盯万亿国债增发和预算内项目投资动向等政策利好，</w:t>
      </w:r>
      <w:r>
        <w:rPr>
          <w:rFonts w:hint="default" w:ascii="仿宋_GB2312" w:hAnsi="仿宋_GB2312" w:eastAsia="仿宋_GB2312" w:cs="仿宋_GB2312"/>
          <w:color w:val="auto"/>
          <w:sz w:val="32"/>
          <w:szCs w:val="32"/>
          <w:lang w:val="en-US" w:eastAsia="zh-CN"/>
        </w:rPr>
        <w:t>争取</w:t>
      </w:r>
      <w:r>
        <w:rPr>
          <w:rFonts w:hint="eastAsia" w:ascii="仿宋_GB2312" w:hAnsi="仿宋_GB2312" w:eastAsia="仿宋_GB2312" w:cs="仿宋_GB2312"/>
          <w:color w:val="auto"/>
          <w:sz w:val="32"/>
          <w:szCs w:val="32"/>
          <w:lang w:val="en-US" w:eastAsia="zh-CN"/>
        </w:rPr>
        <w:t>到位中央预算内资金6492</w:t>
      </w:r>
      <w:r>
        <w:rPr>
          <w:rFonts w:hint="default"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增发国债资金2432万元</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专项债</w:t>
      </w:r>
      <w:r>
        <w:rPr>
          <w:rFonts w:hint="eastAsia" w:ascii="仿宋_GB2312" w:hAnsi="仿宋_GB2312" w:eastAsia="仿宋_GB2312" w:cs="仿宋_GB2312"/>
          <w:color w:val="auto"/>
          <w:sz w:val="32"/>
          <w:szCs w:val="32"/>
          <w:lang w:val="en-US" w:eastAsia="zh-CN"/>
        </w:rPr>
        <w:t>资金</w:t>
      </w:r>
      <w:r>
        <w:rPr>
          <w:rFonts w:hint="default" w:ascii="仿宋_GB2312" w:hAnsi="仿宋_GB2312" w:eastAsia="仿宋_GB2312" w:cs="仿宋_GB2312"/>
          <w:color w:val="auto"/>
          <w:sz w:val="32"/>
          <w:szCs w:val="32"/>
          <w:lang w:val="en-US" w:eastAsia="zh-CN"/>
        </w:rPr>
        <w:t>4.92亿元</w:t>
      </w:r>
      <w:r>
        <w:rPr>
          <w:rFonts w:hint="eastAsia" w:ascii="仿宋_GB2312" w:hAnsi="仿宋_GB2312" w:eastAsia="仿宋_GB2312" w:cs="仿宋_GB2312"/>
          <w:color w:val="auto"/>
          <w:sz w:val="32"/>
          <w:szCs w:val="32"/>
          <w:lang w:val="en-US" w:eastAsia="zh-CN"/>
        </w:rPr>
        <w:t>。大力开展“项目大谋划、谋划大项目”，完成2025年33个争资</w:t>
      </w:r>
      <w:r>
        <w:rPr>
          <w:rFonts w:hint="default"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val="en-US" w:eastAsia="zh-CN"/>
        </w:rPr>
        <w:t>储备。</w:t>
      </w:r>
      <w:r>
        <w:rPr>
          <w:rFonts w:hint="eastAsia" w:ascii="仿宋_GB2312" w:hAnsi="仿宋_GB2312" w:eastAsia="仿宋_GB2312" w:cs="仿宋_GB2312"/>
          <w:b/>
          <w:bCs/>
          <w:color w:val="000000"/>
          <w:kern w:val="0"/>
          <w:sz w:val="32"/>
          <w:szCs w:val="32"/>
          <w:lang w:val="en-US" w:eastAsia="zh-CN" w:bidi="ar"/>
        </w:rPr>
        <w:t>三是全力推项目。</w:t>
      </w:r>
      <w:r>
        <w:rPr>
          <w:rFonts w:hint="eastAsia" w:ascii="仿宋_GB2312" w:hAnsi="仿宋_GB2312" w:eastAsia="仿宋_GB2312" w:cs="仿宋_GB2312"/>
          <w:color w:val="000000"/>
          <w:kern w:val="0"/>
          <w:sz w:val="32"/>
          <w:szCs w:val="32"/>
          <w:lang w:val="en-US" w:eastAsia="zh-CN" w:bidi="ar"/>
        </w:rPr>
        <w:t>综合运用“清单管理、节点破冰、晾晒通报”等方式，着力推动项目建设提速增效，先后</w:t>
      </w:r>
      <w:r>
        <w:rPr>
          <w:rFonts w:hint="eastAsia" w:ascii="仿宋_GB2312" w:hAnsi="仿宋_GB2312" w:eastAsia="仿宋_GB2312" w:cs="仿宋_GB2312"/>
          <w:b w:val="0"/>
          <w:bCs w:val="0"/>
          <w:color w:val="000000"/>
          <w:kern w:val="0"/>
          <w:sz w:val="32"/>
          <w:szCs w:val="32"/>
          <w:lang w:val="en-US" w:eastAsia="zh-CN" w:bidi="ar"/>
        </w:rPr>
        <w:t>印发重点项目简报12期，下发督查通报5份、问题交办函</w:t>
      </w:r>
      <w:r>
        <w:rPr>
          <w:rFonts w:hint="eastAsia" w:ascii="仿宋_GB2312" w:hAnsi="仿宋_GB2312" w:eastAsia="仿宋_GB2312" w:cs="仿宋_GB2312"/>
          <w:color w:val="000000"/>
          <w:kern w:val="0"/>
          <w:sz w:val="32"/>
          <w:szCs w:val="32"/>
          <w:lang w:val="en-US" w:eastAsia="zh-CN" w:bidi="ar"/>
        </w:rPr>
        <w:t>11</w:t>
      </w:r>
      <w:r>
        <w:rPr>
          <w:rFonts w:hint="eastAsia" w:ascii="仿宋_GB2312" w:hAnsi="仿宋_GB2312" w:eastAsia="仿宋_GB2312" w:cs="仿宋_GB2312"/>
          <w:b w:val="0"/>
          <w:bCs w:val="0"/>
          <w:color w:val="000000"/>
          <w:kern w:val="0"/>
          <w:sz w:val="32"/>
          <w:szCs w:val="32"/>
          <w:lang w:val="en-US" w:eastAsia="zh-CN" w:bidi="ar"/>
        </w:rPr>
        <w:t>份</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auto"/>
          <w:sz w:val="32"/>
          <w:szCs w:val="32"/>
          <w:lang w:val="en-US" w:eastAsia="zh-CN"/>
        </w:rPr>
        <w:t>1-11月，10个市重点项目累计完成投资25.3亿元，占年度投资计划的130%，开复工率100%，市“五制一平台”项目建设考核排名市五区第一。1-12月，56个区重点建设项目累计完成投资17.9亿元，占年度投资计划的44.7%，开复工率69%，全年度内预计可竣工项目将达12个，创近年项目建设情况之最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（三）坚持在破解难题中谋实策。</w:t>
      </w:r>
      <w:r>
        <w:rPr>
          <w:rFonts w:hint="eastAsia" w:ascii="仿宋_GB2312" w:hAnsi="仿宋_GB2312" w:eastAsia="仿宋_GB2312" w:cs="仿宋_GB2312"/>
          <w:b/>
          <w:bCs/>
          <w:sz w:val="32"/>
          <w:szCs w:val="32"/>
          <w:lang w:val="en-US" w:eastAsia="zh-CN"/>
        </w:rPr>
        <w:t>一是下决心深化审批机制改革。</w:t>
      </w:r>
      <w:r>
        <w:rPr>
          <w:rFonts w:hint="eastAsia" w:ascii="仿宋_GB2312" w:hAnsi="仿宋_GB2312" w:eastAsia="仿宋_GB2312" w:cs="仿宋_GB2312"/>
          <w:sz w:val="32"/>
          <w:szCs w:val="32"/>
          <w:lang w:val="en-US" w:eastAsia="zh-CN"/>
        </w:rPr>
        <w:t>编制审批服务工作标准化导册，</w:t>
      </w:r>
      <w:r>
        <w:rPr>
          <w:rFonts w:hint="eastAsia" w:ascii="仿宋_GB2312" w:hAnsi="仿宋_GB2312" w:eastAsia="仿宋_GB2312" w:cs="仿宋_GB2312"/>
          <w:sz w:val="32"/>
          <w:szCs w:val="32"/>
        </w:rPr>
        <w:t>公开办事流程，简化办事程序，</w:t>
      </w:r>
      <w:r>
        <w:rPr>
          <w:rFonts w:hint="eastAsia" w:ascii="仿宋_GB2312" w:hAnsi="仿宋_GB2312" w:eastAsia="仿宋_GB2312" w:cs="仿宋_GB2312"/>
          <w:sz w:val="32"/>
          <w:szCs w:val="32"/>
          <w:lang w:val="en-US" w:eastAsia="zh-CN"/>
        </w:rPr>
        <w:t>实现立项审批服务中“立报立结”“日报日结”</w:t>
      </w:r>
      <w:r>
        <w:rPr>
          <w:rFonts w:hint="eastAsia" w:ascii="仿宋_GB2312" w:hAnsi="仿宋_GB2312" w:eastAsia="仿宋_GB2312" w:cs="仿宋_GB2312"/>
          <w:sz w:val="32"/>
          <w:szCs w:val="32"/>
        </w:rPr>
        <w:t>。主动协同相关审批单位全面推行“平台申报、一窗受理、并联审批、信息共享、限时办理、全程监督”的审批方式，大力实施“容缺审批”机制。</w:t>
      </w:r>
      <w:r>
        <w:rPr>
          <w:rFonts w:hint="eastAsia" w:ascii="仿宋_GB2312" w:hAnsi="仿宋_GB2312" w:eastAsia="仿宋_GB2312" w:cs="仿宋_GB2312"/>
          <w:b/>
          <w:bCs/>
          <w:sz w:val="32"/>
          <w:szCs w:val="32"/>
          <w:lang w:val="en-US" w:eastAsia="zh-CN"/>
        </w:rPr>
        <w:t>二是下力气培育“四上”企业。</w:t>
      </w:r>
      <w:r>
        <w:rPr>
          <w:rFonts w:hint="eastAsia" w:ascii="仿宋_GB2312" w:hAnsi="仿宋_GB2312" w:eastAsia="仿宋_GB2312" w:cs="仿宋_GB2312"/>
          <w:color w:val="000000"/>
          <w:sz w:val="32"/>
          <w:szCs w:val="32"/>
          <w:lang w:val="en-US" w:eastAsia="zh-CN"/>
        </w:rPr>
        <w:t>建立完善“四上”企业项目培育库，常态化开展“送解优”行动和“走找想促”活动，为企业送政策、解难题，帮助企业提振信心。</w:t>
      </w:r>
      <w:r>
        <w:rPr>
          <w:rFonts w:hint="eastAsia" w:ascii="仿宋_GB2312" w:hAnsi="仿宋_GB2312" w:eastAsia="仿宋_GB2312" w:cs="仿宋_GB2312"/>
          <w:b w:val="0"/>
          <w:bCs w:val="0"/>
          <w:kern w:val="2"/>
          <w:sz w:val="32"/>
          <w:szCs w:val="32"/>
          <w:lang w:val="en-US" w:eastAsia="zh-CN" w:bidi="ar-SA"/>
        </w:rPr>
        <w:t>培育“四上”主</w:t>
      </w:r>
      <w:r>
        <w:rPr>
          <w:rFonts w:hint="eastAsia" w:ascii="仿宋_GB2312" w:hAnsi="仿宋_GB2312" w:eastAsia="仿宋_GB2312" w:cs="仿宋_GB2312"/>
          <w:color w:val="auto"/>
          <w:sz w:val="32"/>
          <w:szCs w:val="32"/>
          <w:lang w:val="en-US" w:eastAsia="zh-CN"/>
        </w:rPr>
        <w:t>体达规入统6家</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bCs/>
          <w:sz w:val="32"/>
          <w:szCs w:val="32"/>
          <w:lang w:val="en-US" w:eastAsia="zh-CN"/>
        </w:rPr>
        <w:t>三是下功夫严格招投标管理。</w:t>
      </w:r>
      <w:r>
        <w:rPr>
          <w:rFonts w:hint="eastAsia" w:ascii="仿宋_GB2312" w:hAnsi="仿宋_GB2312" w:eastAsia="仿宋_GB2312" w:cs="仿宋_GB2312"/>
          <w:sz w:val="32"/>
          <w:szCs w:val="32"/>
          <w:lang w:val="en-US" w:eastAsia="zh-CN"/>
        </w:rPr>
        <w:t>持续深化招投标问题线索的调查和处理，重拳出击违规插手干预、工程建设超概算、出借挂靠资质和违法转分包、规避招标以及围标串标等难点问题。全年实施的24个公开招投标项目，未发生招投标事故，无招投标舆情和查处案件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（四）坚持在强化保障中重实干。</w:t>
      </w:r>
      <w:r>
        <w:rPr>
          <w:rFonts w:hint="eastAsia" w:ascii="仿宋_GB2312" w:hAnsi="仿宋_GB2312" w:eastAsia="仿宋_GB2312" w:cs="仿宋_GB2312"/>
          <w:b/>
          <w:bCs/>
          <w:sz w:val="32"/>
          <w:szCs w:val="32"/>
          <w:lang w:val="en-US" w:eastAsia="zh-CN"/>
        </w:rPr>
        <w:t>一是门票价格调整效果好。</w:t>
      </w:r>
      <w:r>
        <w:rPr>
          <w:rFonts w:hint="eastAsia" w:ascii="仿宋_GB2312" w:hAnsi="仿宋_GB2312" w:eastAsia="仿宋_GB2312" w:cs="仿宋_GB2312"/>
          <w:sz w:val="32"/>
          <w:szCs w:val="32"/>
        </w:rPr>
        <w:t>高效完成中心景区门票重新定价优化工作，省、市发改委正式下文取消淡旺季，统一定价为110元/人次，每年可增加门票收入4000万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以上。</w:t>
      </w:r>
      <w:r>
        <w:rPr>
          <w:rFonts w:hint="eastAsia" w:ascii="仿宋_GB2312" w:hAnsi="仿宋_GB2312" w:eastAsia="仿宋_GB2312" w:cs="仿宋_GB2312"/>
          <w:b/>
          <w:bCs/>
          <w:sz w:val="32"/>
          <w:szCs w:val="32"/>
          <w:lang w:val="en-US" w:eastAsia="zh-CN"/>
        </w:rPr>
        <w:t>二是营商环境优化措施实。</w:t>
      </w:r>
      <w:r>
        <w:rPr>
          <w:rFonts w:hint="eastAsia" w:ascii="仿宋_GB2312" w:hAnsi="仿宋_GB2312" w:eastAsia="仿宋_GB2312" w:cs="仿宋_GB2312"/>
          <w:color w:val="auto"/>
          <w:sz w:val="32"/>
          <w:szCs w:val="32"/>
          <w:lang w:val="en-US" w:eastAsia="zh-CN"/>
        </w:rPr>
        <w:t>持续深化“放管服”改革，推行政务服务“大综窗”改革，建立企业业务绿色通道，推行行政审批容缺办、加班办和即时办，依托“湘易办”等申办平台，实现商事登记设立全链条“网上全流程”办理，切实做到让办事不再多头跑，投资南岳落地更顺畅。</w:t>
      </w:r>
      <w:r>
        <w:rPr>
          <w:rFonts w:hint="eastAsia" w:ascii="仿宋_GB2312" w:hAnsi="仿宋_GB2312" w:eastAsia="仿宋_GB2312" w:cs="仿宋_GB2312"/>
          <w:color w:val="000000"/>
          <w:sz w:val="32"/>
          <w:szCs w:val="32"/>
          <w:shd w:val="clear" w:color="auto" w:fill="FFFFFF"/>
          <w:lang w:val="en-US" w:eastAsia="zh-CN"/>
        </w:rPr>
        <w:t>全年市场</w:t>
      </w:r>
      <w:r>
        <w:rPr>
          <w:rFonts w:hint="eastAsia" w:ascii="仿宋_GB2312" w:hAnsi="仿宋_GB2312" w:eastAsia="仿宋_GB2312" w:cs="仿宋_GB2312"/>
          <w:b w:val="0"/>
          <w:bCs w:val="0"/>
          <w:kern w:val="2"/>
          <w:sz w:val="32"/>
          <w:szCs w:val="32"/>
          <w:lang w:val="en-US" w:eastAsia="zh-CN" w:bidi="ar-SA"/>
        </w:rPr>
        <w:t>经营主体净增长1513户，净增企业358户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sz w:val="32"/>
          <w:szCs w:val="32"/>
          <w:lang w:val="en-US" w:eastAsia="zh-CN"/>
        </w:rPr>
        <w:t>三是基础工作有新加强。</w:t>
      </w:r>
      <w:r>
        <w:rPr>
          <w:rFonts w:hint="eastAsia" w:ascii="仿宋_GB2312" w:hAnsi="仿宋_GB2312" w:eastAsia="仿宋_GB2312" w:cs="仿宋_GB2312"/>
          <w:b w:val="0"/>
          <w:bCs w:val="0"/>
          <w:kern w:val="2"/>
          <w:sz w:val="32"/>
          <w:szCs w:val="32"/>
          <w:lang w:val="en-US" w:eastAsia="zh-CN" w:bidi="ar-SA"/>
        </w:rPr>
        <w:t>区价格</w:t>
      </w:r>
      <w:r>
        <w:rPr>
          <w:rFonts w:hint="eastAsia" w:ascii="仿宋_GB2312" w:hAnsi="仿宋_GB2312" w:eastAsia="仿宋_GB2312" w:cs="仿宋_GB2312"/>
          <w:color w:val="auto"/>
          <w:sz w:val="32"/>
          <w:szCs w:val="32"/>
          <w:lang w:val="en-US" w:eastAsia="zh-CN"/>
        </w:rPr>
        <w:t>认证中心被省表彰为先进工作单位，基本公共服务满意度调查结果排名全市五区前列，第五次全国经济普查取得阶段性成果，圆满完成城区生活垃圾处理收费价格论证、听证等前期工作，科学技术创新工作完成1.18亿元技术合同登记、成交27件技术合同。国</w:t>
      </w:r>
      <w:r>
        <w:rPr>
          <w:rFonts w:hint="eastAsia" w:ascii="仿宋_GB2312" w:hAnsi="仿宋_GB2312" w:eastAsia="仿宋_GB2312" w:cs="仿宋_GB2312"/>
          <w:sz w:val="32"/>
          <w:szCs w:val="32"/>
          <w:lang w:val="en-US" w:eastAsia="zh-CN"/>
        </w:rPr>
        <w:t>动（人防）、信用体系建设、粮安工作、电力行政执法、军粮供应保障、乡村振兴联村和安全生产等工作扎实有效，全年安全无事故。</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楷体" w:hAnsi="楷体" w:eastAsia="楷体" w:cs="楷体"/>
          <w:b/>
          <w:bCs/>
          <w:sz w:val="32"/>
          <w:szCs w:val="32"/>
          <w:lang w:val="en-US" w:eastAsia="zh-CN"/>
        </w:rPr>
        <w:t>（一）坚持在党建引领中务实功。</w:t>
      </w:r>
      <w:r>
        <w:rPr>
          <w:rFonts w:hint="eastAsia" w:ascii="仿宋_GB2312" w:hAnsi="仿宋_GB2312" w:eastAsia="仿宋_GB2312" w:cs="仿宋_GB2312"/>
          <w:b/>
          <w:bCs/>
          <w:color w:val="000000"/>
          <w:kern w:val="0"/>
          <w:sz w:val="32"/>
          <w:szCs w:val="32"/>
          <w:lang w:val="en-US" w:eastAsia="zh-CN" w:bidi="ar"/>
        </w:rPr>
        <w:t>一是抓班子带队伍。</w:t>
      </w:r>
      <w:r>
        <w:rPr>
          <w:rFonts w:hint="eastAsia" w:ascii="仿宋_GB2312" w:hAnsi="仿宋_GB2312" w:eastAsia="仿宋_GB2312" w:cs="仿宋_GB2312"/>
          <w:color w:val="000000"/>
          <w:kern w:val="0"/>
          <w:sz w:val="32"/>
          <w:szCs w:val="32"/>
          <w:lang w:val="en-US" w:eastAsia="zh-CN" w:bidi="ar"/>
        </w:rPr>
        <w:t>始终把扛牢管党治党主体责任作为首要政治任务，</w:t>
      </w:r>
      <w:r>
        <w:rPr>
          <w:rFonts w:hint="eastAsia" w:ascii="仿宋_GB2312" w:hAnsi="仿宋_GB2312" w:eastAsia="仿宋_GB2312" w:cs="仿宋_GB2312"/>
          <w:color w:val="000000"/>
          <w:kern w:val="0"/>
          <w:sz w:val="32"/>
          <w:szCs w:val="32"/>
          <w:u w:val="none"/>
          <w:lang w:val="en-US" w:eastAsia="zh-CN" w:bidi="ar"/>
        </w:rPr>
        <w:t>班子成员分工明确，股室职责清晰，做到既有分工又注重合作，担当干事氛围浓厚。</w:t>
      </w:r>
      <w:r>
        <w:rPr>
          <w:rFonts w:hint="eastAsia" w:ascii="仿宋_GB2312" w:hAnsi="仿宋_GB2312" w:eastAsia="仿宋_GB2312" w:cs="仿宋_GB2312"/>
          <w:color w:val="000000"/>
          <w:kern w:val="0"/>
          <w:sz w:val="32"/>
          <w:szCs w:val="32"/>
          <w:lang w:val="en-US" w:eastAsia="zh-CN" w:bidi="ar"/>
        </w:rPr>
        <w:t>全面落实“第一议题”“三重一大”“三会一课”等制度规定，始终保持了队伍建设的正确方向</w:t>
      </w:r>
      <w:r>
        <w:rPr>
          <w:rFonts w:hint="eastAsia" w:ascii="仿宋" w:hAnsi="仿宋" w:eastAsia="仿宋" w:cs="仿宋"/>
          <w:sz w:val="32"/>
          <w:szCs w:val="32"/>
          <w:lang w:val="en-US" w:eastAsia="zh-CN"/>
        </w:rPr>
        <w:t>。</w:t>
      </w:r>
      <w:r>
        <w:rPr>
          <w:rFonts w:hint="eastAsia" w:ascii="仿宋_GB2312" w:hAnsi="仿宋_GB2312" w:eastAsia="仿宋_GB2312" w:cs="仿宋_GB2312"/>
          <w:b/>
          <w:bCs/>
          <w:color w:val="000000"/>
          <w:kern w:val="0"/>
          <w:sz w:val="32"/>
          <w:szCs w:val="32"/>
          <w:lang w:val="en-US" w:eastAsia="zh-CN" w:bidi="ar"/>
        </w:rPr>
        <w:t>二是抓作风优氛围。</w:t>
      </w:r>
      <w:r>
        <w:rPr>
          <w:rFonts w:hint="eastAsia" w:ascii="仿宋_GB2312" w:hAnsi="仿宋_GB2312" w:eastAsia="仿宋_GB2312" w:cs="仿宋_GB2312"/>
          <w:color w:val="000000"/>
          <w:kern w:val="0"/>
          <w:sz w:val="32"/>
          <w:szCs w:val="32"/>
          <w:lang w:val="en-US" w:eastAsia="zh-CN" w:bidi="ar"/>
        </w:rPr>
        <w:t>修订完善我局内控管理制度，坚持用制度管权、用制度管事、用制度管人。坚持以上率下，要求干部职工做到的事项，班子成员率先落实。</w:t>
      </w:r>
      <w:r>
        <w:rPr>
          <w:rFonts w:hint="eastAsia" w:ascii="仿宋_GB2312" w:hAnsi="仿宋_GB2312" w:eastAsia="仿宋_GB2312" w:cs="仿宋_GB2312"/>
          <w:color w:val="000000"/>
          <w:kern w:val="0"/>
          <w:sz w:val="32"/>
          <w:szCs w:val="32"/>
          <w:u w:val="none"/>
          <w:lang w:val="en-US" w:eastAsia="zh-CN" w:bidi="ar"/>
        </w:rPr>
        <w:t>目前全局内部关系融洽，快速达到了合编合心合力要求。</w:t>
      </w:r>
      <w:r>
        <w:rPr>
          <w:rFonts w:hint="eastAsia" w:ascii="仿宋_GB2312" w:hAnsi="仿宋_GB2312" w:eastAsia="仿宋_GB2312" w:cs="仿宋_GB2312"/>
          <w:b/>
          <w:bCs/>
          <w:color w:val="000000"/>
          <w:kern w:val="0"/>
          <w:sz w:val="32"/>
          <w:szCs w:val="32"/>
          <w:lang w:val="en-US" w:eastAsia="zh-CN" w:bidi="ar"/>
        </w:rPr>
        <w:t>三是抓廉政严纪律。</w:t>
      </w:r>
      <w:r>
        <w:rPr>
          <w:rFonts w:hint="eastAsia" w:ascii="仿宋_GB2312" w:hAnsi="仿宋_GB2312" w:eastAsia="仿宋_GB2312" w:cs="仿宋_GB2312"/>
          <w:color w:val="000000"/>
          <w:kern w:val="0"/>
          <w:sz w:val="32"/>
          <w:szCs w:val="32"/>
          <w:lang w:val="en-US" w:eastAsia="zh-CN" w:bidi="ar"/>
        </w:rPr>
        <w:t>认真组织“党组书记说廉”“党纪教育一刻钟”活动，常态化开展廉政谈话，队伍拒腐防变的思想根基不断夯实。</w:t>
      </w:r>
      <w:r>
        <w:rPr>
          <w:rFonts w:hint="eastAsia" w:ascii="仿宋_GB2312" w:hAnsi="仿宋_GB2312" w:eastAsia="仿宋_GB2312" w:cs="仿宋_GB2312"/>
          <w:b/>
          <w:bCs/>
          <w:color w:val="000000"/>
          <w:kern w:val="0"/>
          <w:sz w:val="32"/>
          <w:szCs w:val="32"/>
          <w:lang w:val="en-US" w:eastAsia="zh-CN" w:bidi="ar"/>
        </w:rPr>
        <w:t>四是抓安全守底线。</w:t>
      </w:r>
      <w:r>
        <w:rPr>
          <w:rFonts w:hint="eastAsia" w:ascii="仿宋_GB2312" w:hAnsi="仿宋_GB2312" w:eastAsia="仿宋_GB2312" w:cs="仿宋_GB2312"/>
          <w:color w:val="000000"/>
          <w:kern w:val="0"/>
          <w:sz w:val="32"/>
          <w:szCs w:val="32"/>
          <w:lang w:val="en-US" w:eastAsia="zh-CN" w:bidi="ar"/>
        </w:rPr>
        <w:t>坚持把意识形态工作列入党组中心组年度理论学习主要内容，纳入党员干部队伍年度教育实施计划，牢牢掌握了“主动权”、守住了“主阵地”。注重加大防间保密教育，严格落实涉密载体各项管理规定，强化经常性隐患排查，较好地堵塞了失泄密渠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（二）坚持在固牢经济中出实招。</w:t>
      </w:r>
      <w:r>
        <w:rPr>
          <w:rFonts w:hint="eastAsia" w:ascii="仿宋_GB2312" w:hAnsi="仿宋_GB2312" w:eastAsia="仿宋_GB2312" w:cs="仿宋_GB2312"/>
          <w:b/>
          <w:bCs/>
          <w:color w:val="000000"/>
          <w:kern w:val="0"/>
          <w:sz w:val="32"/>
          <w:szCs w:val="32"/>
          <w:lang w:val="en-US" w:eastAsia="zh-CN" w:bidi="ar"/>
        </w:rPr>
        <w:t>一是聚力稳增长。</w:t>
      </w:r>
      <w:r>
        <w:rPr>
          <w:rFonts w:hint="eastAsia" w:ascii="仿宋_GB2312" w:hAnsi="仿宋" w:eastAsia="仿宋_GB2312" w:cs="仿宋"/>
          <w:sz w:val="32"/>
          <w:szCs w:val="32"/>
          <w:lang w:val="en-US" w:eastAsia="zh-CN"/>
        </w:rPr>
        <w:t>紧盯年度经济社会发展目标任务，加严加密运行情况监测，牵头推进“八大行动”，深入开展“两重”“两新”送解优专项行动等，力促全区经济平稳运行、稳中向好</w:t>
      </w:r>
      <w:r>
        <w:rPr>
          <w:rFonts w:hint="eastAsia" w:ascii="仿宋_GB2312" w:hAnsi="仿宋_GB2312" w:eastAsia="仿宋_GB2312" w:cs="仿宋_GB2312"/>
          <w:color w:val="000000"/>
          <w:kern w:val="0"/>
          <w:sz w:val="32"/>
          <w:szCs w:val="32"/>
          <w:lang w:val="en-US" w:eastAsia="zh-CN" w:bidi="ar"/>
        </w:rPr>
        <w:t>。经全区上下共同努力，全年预计实现地区生产总值增长4.6%、固定资产投资增长16%、社会消费品零售总额增长7%，均有望排名五区前列；在</w:t>
      </w:r>
      <w:r>
        <w:rPr>
          <w:rFonts w:hint="eastAsia" w:ascii="仿宋_GB2312" w:hAnsi="仿宋_GB2312" w:eastAsia="仿宋_GB2312" w:cs="仿宋_GB2312"/>
          <w:kern w:val="0"/>
          <w:sz w:val="32"/>
          <w:szCs w:val="32"/>
          <w:lang w:val="en-US" w:eastAsia="zh-CN"/>
        </w:rPr>
        <w:t>全市“制造立市、文旅兴城”发展战略考核中，我区综合得分连续稳居五区第一。</w:t>
      </w:r>
      <w:r>
        <w:rPr>
          <w:rFonts w:hint="eastAsia" w:ascii="仿宋_GB2312" w:hAnsi="仿宋_GB2312" w:eastAsia="仿宋_GB2312" w:cs="仿宋_GB2312"/>
          <w:b/>
          <w:bCs/>
          <w:color w:val="000000"/>
          <w:kern w:val="0"/>
          <w:sz w:val="32"/>
          <w:szCs w:val="32"/>
          <w:lang w:val="en-US" w:eastAsia="zh-CN" w:bidi="ar"/>
        </w:rPr>
        <w:t>二是奋力抓争资。</w:t>
      </w:r>
      <w:r>
        <w:rPr>
          <w:rFonts w:hint="eastAsia" w:ascii="仿宋_GB2312" w:hAnsi="仿宋_GB2312" w:eastAsia="仿宋_GB2312" w:cs="仿宋_GB2312"/>
          <w:bCs/>
          <w:sz w:val="32"/>
          <w:szCs w:val="32"/>
          <w:lang w:val="en-US" w:eastAsia="zh-CN"/>
        </w:rPr>
        <w:t>以筹备第三届湖南省旅发大会为统揽，梳理下发旅发大会区级拟争资任务清单54项和拟争取政策任务清单43项，完成121个项目的申报储备。紧盯万亿国债增发和预算内项目投资动向等政策利好，</w:t>
      </w:r>
      <w:r>
        <w:rPr>
          <w:rFonts w:hint="default" w:ascii="仿宋_GB2312" w:hAnsi="仿宋_GB2312" w:eastAsia="仿宋_GB2312" w:cs="仿宋_GB2312"/>
          <w:color w:val="auto"/>
          <w:sz w:val="32"/>
          <w:szCs w:val="32"/>
          <w:lang w:val="en-US" w:eastAsia="zh-CN"/>
        </w:rPr>
        <w:t>争取</w:t>
      </w:r>
      <w:r>
        <w:rPr>
          <w:rFonts w:hint="eastAsia" w:ascii="仿宋_GB2312" w:hAnsi="仿宋_GB2312" w:eastAsia="仿宋_GB2312" w:cs="仿宋_GB2312"/>
          <w:color w:val="auto"/>
          <w:sz w:val="32"/>
          <w:szCs w:val="32"/>
          <w:lang w:val="en-US" w:eastAsia="zh-CN"/>
        </w:rPr>
        <w:t>到位中央预算内资金6492</w:t>
      </w:r>
      <w:r>
        <w:rPr>
          <w:rFonts w:hint="default"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增发国债资金2432万元</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专项债</w:t>
      </w:r>
      <w:r>
        <w:rPr>
          <w:rFonts w:hint="eastAsia" w:ascii="仿宋_GB2312" w:hAnsi="仿宋_GB2312" w:eastAsia="仿宋_GB2312" w:cs="仿宋_GB2312"/>
          <w:color w:val="auto"/>
          <w:sz w:val="32"/>
          <w:szCs w:val="32"/>
          <w:lang w:val="en-US" w:eastAsia="zh-CN"/>
        </w:rPr>
        <w:t>资金</w:t>
      </w:r>
      <w:r>
        <w:rPr>
          <w:rFonts w:hint="default" w:ascii="仿宋_GB2312" w:hAnsi="仿宋_GB2312" w:eastAsia="仿宋_GB2312" w:cs="仿宋_GB2312"/>
          <w:color w:val="auto"/>
          <w:sz w:val="32"/>
          <w:szCs w:val="32"/>
          <w:lang w:val="en-US" w:eastAsia="zh-CN"/>
        </w:rPr>
        <w:t>4.92亿元</w:t>
      </w:r>
      <w:r>
        <w:rPr>
          <w:rFonts w:hint="eastAsia" w:ascii="仿宋_GB2312" w:hAnsi="仿宋_GB2312" w:eastAsia="仿宋_GB2312" w:cs="仿宋_GB2312"/>
          <w:color w:val="auto"/>
          <w:sz w:val="32"/>
          <w:szCs w:val="32"/>
          <w:lang w:val="en-US" w:eastAsia="zh-CN"/>
        </w:rPr>
        <w:t>。大力开展“项目大谋划、谋划大项目”，完成2025年33个争资</w:t>
      </w:r>
      <w:r>
        <w:rPr>
          <w:rFonts w:hint="default"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val="en-US" w:eastAsia="zh-CN"/>
        </w:rPr>
        <w:t>储备。</w:t>
      </w:r>
      <w:r>
        <w:rPr>
          <w:rFonts w:hint="eastAsia" w:ascii="仿宋_GB2312" w:hAnsi="仿宋_GB2312" w:eastAsia="仿宋_GB2312" w:cs="仿宋_GB2312"/>
          <w:b/>
          <w:bCs/>
          <w:color w:val="000000"/>
          <w:kern w:val="0"/>
          <w:sz w:val="32"/>
          <w:szCs w:val="32"/>
          <w:lang w:val="en-US" w:eastAsia="zh-CN" w:bidi="ar"/>
        </w:rPr>
        <w:t>三是全力推项目。</w:t>
      </w:r>
      <w:r>
        <w:rPr>
          <w:rFonts w:hint="eastAsia" w:ascii="仿宋_GB2312" w:hAnsi="仿宋_GB2312" w:eastAsia="仿宋_GB2312" w:cs="仿宋_GB2312"/>
          <w:color w:val="000000"/>
          <w:kern w:val="0"/>
          <w:sz w:val="32"/>
          <w:szCs w:val="32"/>
          <w:lang w:val="en-US" w:eastAsia="zh-CN" w:bidi="ar"/>
        </w:rPr>
        <w:t>综合运用“清单管理、节点破冰、晾晒通报”等方式，着力推动项目建设提速增效，先后</w:t>
      </w:r>
      <w:r>
        <w:rPr>
          <w:rFonts w:hint="eastAsia" w:ascii="仿宋_GB2312" w:hAnsi="仿宋_GB2312" w:eastAsia="仿宋_GB2312" w:cs="仿宋_GB2312"/>
          <w:b w:val="0"/>
          <w:bCs w:val="0"/>
          <w:color w:val="000000"/>
          <w:kern w:val="0"/>
          <w:sz w:val="32"/>
          <w:szCs w:val="32"/>
          <w:lang w:val="en-US" w:eastAsia="zh-CN" w:bidi="ar"/>
        </w:rPr>
        <w:t>印发重点项目简报12期，下发督查通报5份、问题交办函</w:t>
      </w:r>
      <w:r>
        <w:rPr>
          <w:rFonts w:hint="eastAsia" w:ascii="仿宋_GB2312" w:hAnsi="仿宋_GB2312" w:eastAsia="仿宋_GB2312" w:cs="仿宋_GB2312"/>
          <w:color w:val="000000"/>
          <w:kern w:val="0"/>
          <w:sz w:val="32"/>
          <w:szCs w:val="32"/>
          <w:lang w:val="en-US" w:eastAsia="zh-CN" w:bidi="ar"/>
        </w:rPr>
        <w:t>11</w:t>
      </w:r>
      <w:r>
        <w:rPr>
          <w:rFonts w:hint="eastAsia" w:ascii="仿宋_GB2312" w:hAnsi="仿宋_GB2312" w:eastAsia="仿宋_GB2312" w:cs="仿宋_GB2312"/>
          <w:b w:val="0"/>
          <w:bCs w:val="0"/>
          <w:color w:val="000000"/>
          <w:kern w:val="0"/>
          <w:sz w:val="32"/>
          <w:szCs w:val="32"/>
          <w:lang w:val="en-US" w:eastAsia="zh-CN" w:bidi="ar"/>
        </w:rPr>
        <w:t>份</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auto"/>
          <w:sz w:val="32"/>
          <w:szCs w:val="32"/>
          <w:lang w:val="en-US" w:eastAsia="zh-CN"/>
        </w:rPr>
        <w:t>1-11月，10个市重点项目累计完成投资25.3亿元，占年度投资计划的130%，开复工率100%，市“五制一平台”项目建设考核排名市五区第一。1-12月，56个区重点建设项目累计完成投资17.9亿元，占年度投资计划的44.7%，开复工率69%，全年度内预计可竣工项目将达12个，创近年项目建设情况之最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（三）坚持在破解难题中谋实策。</w:t>
      </w:r>
      <w:r>
        <w:rPr>
          <w:rFonts w:hint="eastAsia" w:ascii="仿宋_GB2312" w:hAnsi="仿宋_GB2312" w:eastAsia="仿宋_GB2312" w:cs="仿宋_GB2312"/>
          <w:b/>
          <w:bCs/>
          <w:sz w:val="32"/>
          <w:szCs w:val="32"/>
          <w:lang w:val="en-US" w:eastAsia="zh-CN"/>
        </w:rPr>
        <w:t>一是下决心深化审批机制改革。</w:t>
      </w:r>
      <w:r>
        <w:rPr>
          <w:rFonts w:hint="eastAsia" w:ascii="仿宋_GB2312" w:hAnsi="仿宋_GB2312" w:eastAsia="仿宋_GB2312" w:cs="仿宋_GB2312"/>
          <w:sz w:val="32"/>
          <w:szCs w:val="32"/>
          <w:lang w:val="en-US" w:eastAsia="zh-CN"/>
        </w:rPr>
        <w:t>编制审批服务工作标准化导册，</w:t>
      </w:r>
      <w:r>
        <w:rPr>
          <w:rFonts w:hint="eastAsia" w:ascii="仿宋_GB2312" w:hAnsi="仿宋_GB2312" w:eastAsia="仿宋_GB2312" w:cs="仿宋_GB2312"/>
          <w:sz w:val="32"/>
          <w:szCs w:val="32"/>
        </w:rPr>
        <w:t>公开办事流程，简化办事程序，</w:t>
      </w:r>
      <w:r>
        <w:rPr>
          <w:rFonts w:hint="eastAsia" w:ascii="仿宋_GB2312" w:hAnsi="仿宋_GB2312" w:eastAsia="仿宋_GB2312" w:cs="仿宋_GB2312"/>
          <w:sz w:val="32"/>
          <w:szCs w:val="32"/>
          <w:lang w:val="en-US" w:eastAsia="zh-CN"/>
        </w:rPr>
        <w:t>实现立项审批服务中“立报立结”“日报日结”</w:t>
      </w:r>
      <w:r>
        <w:rPr>
          <w:rFonts w:hint="eastAsia" w:ascii="仿宋_GB2312" w:hAnsi="仿宋_GB2312" w:eastAsia="仿宋_GB2312" w:cs="仿宋_GB2312"/>
          <w:sz w:val="32"/>
          <w:szCs w:val="32"/>
        </w:rPr>
        <w:t>。主动协同相关审批单位全面推行“平台申报、一窗受理、并联审批、信息共享、限时办理、全程监督”的审批方式，大力实施“容缺审批”机制。</w:t>
      </w:r>
      <w:r>
        <w:rPr>
          <w:rFonts w:hint="eastAsia" w:ascii="仿宋_GB2312" w:hAnsi="仿宋_GB2312" w:eastAsia="仿宋_GB2312" w:cs="仿宋_GB2312"/>
          <w:b/>
          <w:bCs/>
          <w:sz w:val="32"/>
          <w:szCs w:val="32"/>
          <w:lang w:val="en-US" w:eastAsia="zh-CN"/>
        </w:rPr>
        <w:t>二是下力气培育“四上”企业。</w:t>
      </w:r>
      <w:r>
        <w:rPr>
          <w:rFonts w:hint="eastAsia" w:ascii="仿宋_GB2312" w:hAnsi="仿宋_GB2312" w:eastAsia="仿宋_GB2312" w:cs="仿宋_GB2312"/>
          <w:color w:val="000000"/>
          <w:sz w:val="32"/>
          <w:szCs w:val="32"/>
          <w:lang w:val="en-US" w:eastAsia="zh-CN"/>
        </w:rPr>
        <w:t>建立完善“四上”企业项目培育库，常态化开展“送解优”行动和“走找想促”活动，为企业送政策、解难题，帮助企业提振信心。</w:t>
      </w:r>
      <w:r>
        <w:rPr>
          <w:rFonts w:hint="eastAsia" w:ascii="仿宋_GB2312" w:hAnsi="仿宋_GB2312" w:eastAsia="仿宋_GB2312" w:cs="仿宋_GB2312"/>
          <w:b w:val="0"/>
          <w:bCs w:val="0"/>
          <w:kern w:val="2"/>
          <w:sz w:val="32"/>
          <w:szCs w:val="32"/>
          <w:lang w:val="en-US" w:eastAsia="zh-CN" w:bidi="ar-SA"/>
        </w:rPr>
        <w:t>培育“四上”主</w:t>
      </w:r>
      <w:r>
        <w:rPr>
          <w:rFonts w:hint="eastAsia" w:ascii="仿宋_GB2312" w:hAnsi="仿宋_GB2312" w:eastAsia="仿宋_GB2312" w:cs="仿宋_GB2312"/>
          <w:color w:val="auto"/>
          <w:sz w:val="32"/>
          <w:szCs w:val="32"/>
          <w:lang w:val="en-US" w:eastAsia="zh-CN"/>
        </w:rPr>
        <w:t>体达规入统6家</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bCs/>
          <w:sz w:val="32"/>
          <w:szCs w:val="32"/>
          <w:lang w:val="en-US" w:eastAsia="zh-CN"/>
        </w:rPr>
        <w:t>三是下功夫严格招投标管理。</w:t>
      </w:r>
      <w:r>
        <w:rPr>
          <w:rFonts w:hint="eastAsia" w:ascii="仿宋_GB2312" w:hAnsi="仿宋_GB2312" w:eastAsia="仿宋_GB2312" w:cs="仿宋_GB2312"/>
          <w:sz w:val="32"/>
          <w:szCs w:val="32"/>
          <w:lang w:val="en-US" w:eastAsia="zh-CN"/>
        </w:rPr>
        <w:t>持续深化招投标问题线索的调查和处理，重拳出击违规插手干预、工程建设超概算、出借挂靠资质和违法转分包、规避招标以及围标串标等难点问题。全年实施的24个公开招投标项目，未发生招投标事故，无招投标舆情和查处案件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（四）坚持在强化保障中重实干。</w:t>
      </w:r>
      <w:r>
        <w:rPr>
          <w:rFonts w:hint="eastAsia" w:ascii="仿宋_GB2312" w:hAnsi="仿宋_GB2312" w:eastAsia="仿宋_GB2312" w:cs="仿宋_GB2312"/>
          <w:b/>
          <w:bCs/>
          <w:sz w:val="32"/>
          <w:szCs w:val="32"/>
          <w:lang w:val="en-US" w:eastAsia="zh-CN"/>
        </w:rPr>
        <w:t>一是门票价格调整效果好。</w:t>
      </w:r>
      <w:r>
        <w:rPr>
          <w:rFonts w:hint="eastAsia" w:ascii="仿宋_GB2312" w:hAnsi="仿宋_GB2312" w:eastAsia="仿宋_GB2312" w:cs="仿宋_GB2312"/>
          <w:sz w:val="32"/>
          <w:szCs w:val="32"/>
        </w:rPr>
        <w:t>高效完成中心景区门票重新定价优化工作，省、市发改委正式下文取消淡旺季，统一定价为110元/人次，每年可增加门票收入4000万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以上。</w:t>
      </w:r>
      <w:r>
        <w:rPr>
          <w:rFonts w:hint="eastAsia" w:ascii="仿宋_GB2312" w:hAnsi="仿宋_GB2312" w:eastAsia="仿宋_GB2312" w:cs="仿宋_GB2312"/>
          <w:b/>
          <w:bCs/>
          <w:sz w:val="32"/>
          <w:szCs w:val="32"/>
          <w:lang w:val="en-US" w:eastAsia="zh-CN"/>
        </w:rPr>
        <w:t>二是营商环境优化措施实。</w:t>
      </w:r>
      <w:r>
        <w:rPr>
          <w:rFonts w:hint="eastAsia" w:ascii="仿宋_GB2312" w:hAnsi="仿宋_GB2312" w:eastAsia="仿宋_GB2312" w:cs="仿宋_GB2312"/>
          <w:color w:val="auto"/>
          <w:sz w:val="32"/>
          <w:szCs w:val="32"/>
          <w:lang w:val="en-US" w:eastAsia="zh-CN"/>
        </w:rPr>
        <w:t>持续深化“放管服”改革，推行政务服务“大综窗”改革，建立企业业务绿色通道，推行行政审批容缺办、加班办和即时办，依托“湘易办”等申办平台，实现商事登记设立全链条“网上全流程”办理，切实做到让办事不再多头跑，投资南岳落地更顺畅。</w:t>
      </w:r>
      <w:r>
        <w:rPr>
          <w:rFonts w:hint="eastAsia" w:ascii="仿宋_GB2312" w:hAnsi="仿宋_GB2312" w:eastAsia="仿宋_GB2312" w:cs="仿宋_GB2312"/>
          <w:color w:val="000000"/>
          <w:sz w:val="32"/>
          <w:szCs w:val="32"/>
          <w:shd w:val="clear" w:color="auto" w:fill="FFFFFF"/>
          <w:lang w:val="en-US" w:eastAsia="zh-CN"/>
        </w:rPr>
        <w:t>全年市场</w:t>
      </w:r>
      <w:r>
        <w:rPr>
          <w:rFonts w:hint="eastAsia" w:ascii="仿宋_GB2312" w:hAnsi="仿宋_GB2312" w:eastAsia="仿宋_GB2312" w:cs="仿宋_GB2312"/>
          <w:b w:val="0"/>
          <w:bCs w:val="0"/>
          <w:kern w:val="2"/>
          <w:sz w:val="32"/>
          <w:szCs w:val="32"/>
          <w:lang w:val="en-US" w:eastAsia="zh-CN" w:bidi="ar-SA"/>
        </w:rPr>
        <w:t>经营主体净增长1513户，净增企业358户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sz w:val="32"/>
          <w:szCs w:val="32"/>
          <w:lang w:val="en-US" w:eastAsia="zh-CN"/>
        </w:rPr>
        <w:t>三是基础工作有新加强。</w:t>
      </w:r>
      <w:r>
        <w:rPr>
          <w:rFonts w:hint="eastAsia" w:ascii="仿宋_GB2312" w:hAnsi="仿宋_GB2312" w:eastAsia="仿宋_GB2312" w:cs="仿宋_GB2312"/>
          <w:b w:val="0"/>
          <w:bCs w:val="0"/>
          <w:kern w:val="2"/>
          <w:sz w:val="32"/>
          <w:szCs w:val="32"/>
          <w:lang w:val="en-US" w:eastAsia="zh-CN" w:bidi="ar-SA"/>
        </w:rPr>
        <w:t>区价格</w:t>
      </w:r>
      <w:r>
        <w:rPr>
          <w:rFonts w:hint="eastAsia" w:ascii="仿宋_GB2312" w:hAnsi="仿宋_GB2312" w:eastAsia="仿宋_GB2312" w:cs="仿宋_GB2312"/>
          <w:color w:val="auto"/>
          <w:sz w:val="32"/>
          <w:szCs w:val="32"/>
          <w:lang w:val="en-US" w:eastAsia="zh-CN"/>
        </w:rPr>
        <w:t>认证中心被省表彰为先进工作单位，基本公共服务满意度调查结果排名全市五区前列，第五次全国经济普查取得阶段性成果，圆满完成城区生活垃圾处理收费价格论证、听证等前期工作，科学技术创新工作完成1.18亿元技术合同登记、成交27件技术合同。国</w:t>
      </w:r>
      <w:r>
        <w:rPr>
          <w:rFonts w:hint="eastAsia" w:ascii="仿宋_GB2312" w:hAnsi="仿宋_GB2312" w:eastAsia="仿宋_GB2312" w:cs="仿宋_GB2312"/>
          <w:sz w:val="32"/>
          <w:szCs w:val="32"/>
          <w:lang w:val="en-US" w:eastAsia="zh-CN"/>
        </w:rPr>
        <w:t>动（人防）、信用体系建设、粮安工作、电力行政执法、军粮供应保障、乡村振兴联村和安全生产等工作扎实有效，全年安全无事故。</w:t>
      </w:r>
    </w:p>
    <w:p>
      <w:pPr>
        <w:adjustRightInd w:val="0"/>
        <w:snapToGrid w:val="0"/>
        <w:spacing w:line="520" w:lineRule="exact"/>
        <w:rPr>
          <w:rFonts w:ascii="楷体" w:hAnsi="楷体" w:eastAsia="楷体"/>
          <w:b/>
          <w:sz w:val="32"/>
          <w:szCs w:val="32"/>
        </w:rPr>
      </w:pPr>
    </w:p>
    <w:p>
      <w:pPr>
        <w:widowControl/>
        <w:spacing w:line="600" w:lineRule="exact"/>
        <w:ind w:firstLine="320" w:firstLineChars="1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w:t>
      </w:r>
      <w:r>
        <w:rPr>
          <w:rFonts w:ascii="Times New Roman" w:hAnsi="Times New Roman" w:eastAsia="黑体" w:cs="Times New Roman"/>
          <w:sz w:val="32"/>
          <w:szCs w:val="32"/>
        </w:rPr>
        <w:t>存在的问题及原因分析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虽然我局做了大量工作，取得一定成绩，但对照工作的高标准严要求，仍存有一些差距：</w:t>
      </w:r>
      <w:r>
        <w:rPr>
          <w:rFonts w:hint="eastAsia" w:ascii="楷体" w:hAnsi="楷体" w:eastAsia="楷体" w:cs="楷体"/>
          <w:b/>
          <w:bCs/>
          <w:sz w:val="32"/>
          <w:szCs w:val="32"/>
          <w:lang w:val="en-US" w:eastAsia="zh-CN"/>
        </w:rPr>
        <w:t>一是</w:t>
      </w:r>
      <w:r>
        <w:rPr>
          <w:rFonts w:hint="eastAsia" w:ascii="楷体" w:hAnsi="楷体" w:eastAsia="楷体" w:cs="楷体"/>
          <w:b/>
          <w:bCs/>
          <w:sz w:val="32"/>
          <w:szCs w:val="32"/>
        </w:rPr>
        <w:t>政治理论学习有待深化。</w:t>
      </w:r>
      <w:r>
        <w:rPr>
          <w:rFonts w:hint="eastAsia" w:ascii="仿宋_GB2312" w:hAnsi="仿宋_GB2312" w:eastAsia="仿宋_GB2312" w:cs="仿宋_GB2312"/>
          <w:sz w:val="32"/>
          <w:szCs w:val="32"/>
        </w:rPr>
        <w:t>尽管领导班子高度重视政治理论学习，但在学习的深度和广度上还存在一定差距。部分</w:t>
      </w:r>
      <w:r>
        <w:rPr>
          <w:rFonts w:hint="eastAsia" w:ascii="仿宋_GB2312" w:hAnsi="仿宋_GB2312" w:eastAsia="仿宋_GB2312" w:cs="仿宋_GB2312"/>
          <w:sz w:val="32"/>
          <w:szCs w:val="32"/>
          <w:lang w:val="en-US" w:eastAsia="zh-CN"/>
        </w:rPr>
        <w:t>干部职工</w:t>
      </w:r>
      <w:r>
        <w:rPr>
          <w:rFonts w:hint="eastAsia" w:ascii="仿宋_GB2312" w:hAnsi="仿宋_GB2312" w:eastAsia="仿宋_GB2312" w:cs="仿宋_GB2312"/>
          <w:sz w:val="32"/>
          <w:szCs w:val="32"/>
        </w:rPr>
        <w:t>对党的创新理论学习不够系统深入，存在一知半解、浅尝辄止的情况，在学以致用、学用结合方面还需进一步加强。</w:t>
      </w:r>
      <w:r>
        <w:rPr>
          <w:rFonts w:hint="eastAsia" w:ascii="楷体" w:hAnsi="楷体" w:eastAsia="楷体" w:cs="楷体"/>
          <w:b/>
          <w:bCs/>
          <w:sz w:val="32"/>
          <w:szCs w:val="32"/>
          <w:lang w:val="en-US" w:eastAsia="zh-CN"/>
        </w:rPr>
        <w:t>二是</w:t>
      </w:r>
      <w:r>
        <w:rPr>
          <w:rFonts w:hint="eastAsia" w:ascii="楷体" w:hAnsi="楷体" w:eastAsia="楷体" w:cs="楷体"/>
          <w:b/>
          <w:bCs/>
          <w:sz w:val="32"/>
          <w:szCs w:val="32"/>
        </w:rPr>
        <w:t>党建工作融合不够紧密。</w:t>
      </w:r>
      <w:r>
        <w:rPr>
          <w:rFonts w:hint="eastAsia" w:ascii="仿宋_GB2312" w:hAnsi="仿宋_GB2312" w:eastAsia="仿宋_GB2312" w:cs="仿宋_GB2312"/>
          <w:sz w:val="32"/>
          <w:szCs w:val="32"/>
        </w:rPr>
        <w:t>在党建工作与业务工作融合方面，虽然采取了一些措施，但融合的深度和效果还不够理想。党建工作与业务工作还存在“两张皮”现象，党建工作对业务工作的引领作用发挥不够充分，在将党建工作优势转化为发展优势方面还需进一步探索和实践。</w:t>
      </w:r>
      <w:r>
        <w:rPr>
          <w:rFonts w:hint="eastAsia" w:ascii="楷体" w:hAnsi="楷体" w:eastAsia="楷体" w:cs="楷体"/>
          <w:b/>
          <w:bCs/>
          <w:sz w:val="32"/>
          <w:szCs w:val="32"/>
          <w:lang w:val="en-US" w:eastAsia="zh-CN"/>
        </w:rPr>
        <w:t>三是</w:t>
      </w:r>
      <w:r>
        <w:rPr>
          <w:rFonts w:hint="eastAsia" w:ascii="楷体" w:hAnsi="楷体" w:eastAsia="楷体" w:cs="楷体"/>
          <w:b/>
          <w:bCs/>
          <w:sz w:val="32"/>
          <w:szCs w:val="32"/>
        </w:rPr>
        <w:t>队伍</w:t>
      </w:r>
      <w:r>
        <w:rPr>
          <w:rFonts w:hint="eastAsia" w:ascii="楷体" w:hAnsi="楷体" w:eastAsia="楷体" w:cs="楷体"/>
          <w:b/>
          <w:bCs/>
          <w:sz w:val="32"/>
          <w:szCs w:val="32"/>
          <w:lang w:val="en-US" w:eastAsia="zh-CN"/>
        </w:rPr>
        <w:t>整体</w:t>
      </w:r>
      <w:r>
        <w:rPr>
          <w:rFonts w:hint="eastAsia" w:ascii="楷体" w:hAnsi="楷体" w:eastAsia="楷体" w:cs="楷体"/>
          <w:b/>
          <w:bCs/>
          <w:sz w:val="32"/>
          <w:szCs w:val="32"/>
        </w:rPr>
        <w:t>建设存在短板。</w:t>
      </w:r>
      <w:r>
        <w:rPr>
          <w:rFonts w:hint="eastAsia" w:ascii="仿宋_GB2312" w:hAnsi="仿宋_GB2312" w:eastAsia="仿宋_GB2312" w:cs="仿宋_GB2312"/>
          <w:sz w:val="32"/>
          <w:szCs w:val="32"/>
        </w:rPr>
        <w:t>干部队伍结构有待进一步优化，专业型、复合型人才相对不足。因年度内班子成员队伍调整较大，部分</w:t>
      </w:r>
      <w:r>
        <w:rPr>
          <w:rFonts w:hint="eastAsia" w:ascii="仿宋_GB2312" w:hAnsi="仿宋_GB2312" w:eastAsia="仿宋_GB2312" w:cs="仿宋_GB2312"/>
          <w:sz w:val="32"/>
          <w:szCs w:val="32"/>
          <w:lang w:val="en-US" w:eastAsia="zh-CN"/>
        </w:rPr>
        <w:t>干部</w:t>
      </w:r>
      <w:r>
        <w:rPr>
          <w:rFonts w:hint="eastAsia" w:ascii="仿宋_GB2312" w:hAnsi="仿宋_GB2312" w:eastAsia="仿宋_GB2312" w:cs="仿宋_GB2312"/>
          <w:sz w:val="32"/>
          <w:szCs w:val="32"/>
        </w:rPr>
        <w:t>对经济建设的特点规律研究把握不够，理论思维层次有待进一步提高等</w:t>
      </w:r>
      <w:r>
        <w:rPr>
          <w:rFonts w:hint="eastAsia" w:ascii="仿宋_GB2312" w:hAnsi="仿宋_GB2312" w:eastAsia="仿宋_GB2312" w:cs="仿宋_GB2312"/>
          <w:sz w:val="32"/>
          <w:szCs w:val="32"/>
          <w:lang w:eastAsia="zh-CN"/>
        </w:rPr>
        <w:t>。</w:t>
      </w:r>
    </w:p>
    <w:p>
      <w:pPr>
        <w:widowControl/>
        <w:numPr>
          <w:ilvl w:val="0"/>
          <w:numId w:val="2"/>
        </w:num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pPr>
        <w:spacing w:line="520" w:lineRule="exact"/>
        <w:ind w:firstLine="643" w:firstLineChars="200"/>
        <w:jc w:val="left"/>
        <w:rPr>
          <w:rFonts w:ascii="仿宋_GB2312" w:hAnsi="仿宋_GB2312" w:eastAsia="仿宋_GB2312" w:cs="仿宋_GB2312"/>
          <w:sz w:val="32"/>
          <w:szCs w:val="32"/>
        </w:rPr>
      </w:pPr>
      <w:r>
        <w:rPr>
          <w:rFonts w:hint="eastAsia" w:ascii="楷体" w:hAnsi="楷体" w:eastAsia="楷体" w:cs="楷体"/>
          <w:b/>
          <w:bCs/>
          <w:sz w:val="32"/>
          <w:szCs w:val="32"/>
        </w:rPr>
        <w:t>（一）强研判，筑牢经济发展压舱石。</w:t>
      </w:r>
      <w:r>
        <w:rPr>
          <w:rFonts w:hint="eastAsia" w:ascii="仿宋_GB2312" w:hAnsi="仿宋_GB2312" w:eastAsia="仿宋_GB2312" w:cs="仿宋_GB2312"/>
          <w:sz w:val="32"/>
          <w:szCs w:val="32"/>
        </w:rPr>
        <w:t>继续加严加密经济运行监测分析，盯紧盯牢地区生产总值、固定资产投资等主要指标完成情况，认真分析研判全区宏观经济运行形势，及时发现解决苗头性、趋势性问题，确保全区经济稳健运行。</w:t>
      </w:r>
    </w:p>
    <w:p>
      <w:pPr>
        <w:spacing w:line="52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（二）抓项目，掀起经济发展新热潮。</w:t>
      </w:r>
      <w:r>
        <w:rPr>
          <w:rFonts w:hint="eastAsia" w:ascii="仿宋_GB2312" w:hAnsi="仿宋_GB2312" w:eastAsia="仿宋_GB2312" w:cs="仿宋_GB2312"/>
          <w:sz w:val="32"/>
          <w:szCs w:val="32"/>
        </w:rPr>
        <w:t>抓好2023年度重点项目考核，严格按照考核细则要求，坚持以项目平台的数据量化打分，坚决按项目工程进度情况进行排序列队，并按照《关于进一步加快全区重点项目建设的实施意见》严罚重奖。结合2023年重点项目建设的实施情况和2024年全区经济社会发展的目标任务，</w:t>
      </w:r>
      <w:r>
        <w:rPr>
          <w:rFonts w:ascii="仿宋_GB2312" w:hAnsi="仿宋_GB2312" w:eastAsia="仿宋_GB2312" w:cs="仿宋_GB2312"/>
          <w:sz w:val="32"/>
          <w:szCs w:val="32"/>
        </w:rPr>
        <w:t>重点围绕南岳区第三届旅发大会重点项目清单，</w:t>
      </w:r>
      <w:r>
        <w:rPr>
          <w:rFonts w:hint="eastAsia" w:ascii="仿宋_GB2312" w:hAnsi="仿宋_GB2312" w:eastAsia="仿宋_GB2312" w:cs="仿宋_GB2312"/>
          <w:sz w:val="32"/>
          <w:szCs w:val="32"/>
        </w:rPr>
        <w:t>科学合理确定2024年重点项目建设计划，发挥项目带动效应，舞好南岳旅游龙头，为办好第三届省旅发大会增光添彩。</w:t>
      </w:r>
    </w:p>
    <w:p>
      <w:pPr>
        <w:pStyle w:val="5"/>
        <w:spacing w:after="0" w:line="520" w:lineRule="exact"/>
        <w:ind w:left="0" w:leftChars="0"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（三）稳争资，做足高质量发展强支撑。</w:t>
      </w:r>
      <w:r>
        <w:rPr>
          <w:rFonts w:hint="eastAsia" w:ascii="仿宋_GB2312" w:hAnsi="仿宋_GB2312" w:eastAsia="仿宋_GB2312" w:cs="仿宋_GB2312"/>
          <w:sz w:val="32"/>
          <w:szCs w:val="32"/>
        </w:rPr>
        <w:t>协调各部门分</w:t>
      </w:r>
      <w:bookmarkStart w:id="0" w:name="_GoBack"/>
      <w:r>
        <w:rPr>
          <w:rFonts w:hint="eastAsia" w:ascii="仿宋_GB2312" w:hAnsi="仿宋_GB2312" w:eastAsia="仿宋_GB2312" w:cs="仿宋_GB2312"/>
          <w:sz w:val="32"/>
          <w:szCs w:val="32"/>
        </w:rPr>
        <w:t>头包装项目，做好项目储备和前期工作，做到让项目等资金，</w:t>
      </w:r>
      <w:bookmarkEnd w:id="0"/>
      <w:r>
        <w:rPr>
          <w:rFonts w:hint="eastAsia" w:ascii="仿宋_GB2312" w:hAnsi="仿宋_GB2312" w:eastAsia="仿宋_GB2312" w:cs="仿宋_GB2312"/>
          <w:sz w:val="32"/>
          <w:szCs w:val="32"/>
        </w:rPr>
        <w:t>以项目争资金，确保资金下达，项目能够快速推进。组建以区领导为分队长，旅游、农经、社会、资环、基础设施等相关职能部门为成员的争资争项分队，加强对各领域项目包装、储备和前期准备工作的研究推进，确保任何项目均有专队负责，确保年初争资计划真正落地，彻底改变争资争项中发改部门“唱独角戏”的局面，真正形成争资争项工作合力。</w:t>
      </w:r>
    </w:p>
    <w:p>
      <w:pPr>
        <w:spacing w:line="52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（四）重引领，大力加强队伍能力建设。</w:t>
      </w:r>
      <w:r>
        <w:rPr>
          <w:rFonts w:hint="eastAsia" w:ascii="仿宋_GB2312" w:eastAsia="仿宋_GB2312" w:cstheme="minorBidi"/>
          <w:sz w:val="32"/>
          <w:szCs w:val="32"/>
        </w:rPr>
        <w:t>进一步加强干部职工的政治教育和廉政教育，坚定用党的二十大精神、习近平新时代中国特色社会主义思想等创新理论武装头脑。坚持把意识形态、反腐倡廉工作求和措施融入到日常工作中，增强思想自觉、政治自觉和学习自觉，</w:t>
      </w:r>
      <w:r>
        <w:rPr>
          <w:rFonts w:ascii="仿宋_GB2312" w:eastAsia="仿宋_GB2312" w:cstheme="minorBidi"/>
          <w:sz w:val="32"/>
          <w:szCs w:val="32"/>
        </w:rPr>
        <w:t>确保区委、政府各项决策部署在</w:t>
      </w:r>
      <w:r>
        <w:rPr>
          <w:rFonts w:hint="eastAsia" w:ascii="仿宋_GB2312" w:eastAsia="仿宋_GB2312" w:cstheme="minorBidi"/>
          <w:sz w:val="32"/>
          <w:szCs w:val="32"/>
        </w:rPr>
        <w:t>发改</w:t>
      </w:r>
      <w:r>
        <w:rPr>
          <w:rFonts w:ascii="仿宋_GB2312" w:eastAsia="仿宋_GB2312" w:cstheme="minorBidi"/>
          <w:sz w:val="32"/>
          <w:szCs w:val="32"/>
        </w:rPr>
        <w:t>局得到有效的贯彻落实</w:t>
      </w:r>
      <w:r>
        <w:rPr>
          <w:rFonts w:hint="eastAsia" w:ascii="仿宋_GB2312" w:eastAsia="仿宋_GB2312" w:cstheme="minorBidi"/>
          <w:sz w:val="32"/>
          <w:szCs w:val="32"/>
        </w:rPr>
        <w:t>。</w:t>
      </w:r>
      <w:r>
        <w:rPr>
          <w:rFonts w:ascii="仿宋_GB2312" w:eastAsia="仿宋_GB2312"/>
          <w:spacing w:val="-12"/>
          <w:sz w:val="32"/>
          <w:szCs w:val="32"/>
        </w:rPr>
        <w:t>紧扣</w:t>
      </w:r>
      <w:r>
        <w:rPr>
          <w:rFonts w:hint="eastAsia" w:ascii="仿宋_GB2312" w:eastAsia="仿宋_GB2312"/>
          <w:spacing w:val="-12"/>
          <w:sz w:val="32"/>
          <w:szCs w:val="32"/>
        </w:rPr>
        <w:t>“举旗帜、聚民心、育新人、兴文化、展形象”总要求，做好新形势下的宣传思想文化工作，为经济社会高质量发展提供强大精神动力、良好舆论环境。</w:t>
      </w:r>
    </w:p>
    <w:p>
      <w:pPr>
        <w:spacing w:line="520" w:lineRule="exact"/>
        <w:ind w:firstLine="880" w:firstLineChars="200"/>
        <w:rPr>
          <w:rFonts w:ascii="Times New Roman" w:hAnsi="Times New Roman" w:eastAsia="方正小标宋简体"/>
          <w:color w:val="000000" w:themeColor="text1"/>
          <w:sz w:val="44"/>
          <w:szCs w:val="44"/>
          <w14:textFill>
            <w14:solidFill>
              <w14:schemeClr w14:val="tx1"/>
            </w14:solidFill>
          </w14:textFill>
        </w:rPr>
      </w:pPr>
    </w:p>
    <w:p>
      <w:pPr>
        <w:widowControl/>
        <w:numPr>
          <w:ilvl w:val="0"/>
          <w:numId w:val="0"/>
        </w:numPr>
        <w:spacing w:line="600" w:lineRule="exact"/>
        <w:ind w:firstLine="600" w:firstLineChars="200"/>
        <w:jc w:val="left"/>
        <w:rPr>
          <w:rFonts w:hint="default" w:ascii="宋体" w:hAnsi="宋体" w:eastAsia="宋体" w:cs="宋体"/>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9CCF1"/>
    <w:multiLevelType w:val="singleLevel"/>
    <w:tmpl w:val="F639CCF1"/>
    <w:lvl w:ilvl="0" w:tentative="0">
      <w:start w:val="2"/>
      <w:numFmt w:val="chineseCounting"/>
      <w:suff w:val="nothing"/>
      <w:lvlText w:val="%1、"/>
      <w:lvlJc w:val="left"/>
      <w:rPr>
        <w:rFonts w:hint="eastAsia"/>
      </w:rPr>
    </w:lvl>
  </w:abstractNum>
  <w:abstractNum w:abstractNumId="1">
    <w:nsid w:val="692A871F"/>
    <w:multiLevelType w:val="singleLevel"/>
    <w:tmpl w:val="692A871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YzkyOWI2NWNkYzcxYjg0MTRlYmI5OTIwNDczMDAifQ=="/>
  </w:docVars>
  <w:rsids>
    <w:rsidRoot w:val="58E06247"/>
    <w:rsid w:val="00881676"/>
    <w:rsid w:val="0F7C0F9B"/>
    <w:rsid w:val="103C1D0B"/>
    <w:rsid w:val="149B2A0B"/>
    <w:rsid w:val="157D6D51"/>
    <w:rsid w:val="15FE056C"/>
    <w:rsid w:val="20E67351"/>
    <w:rsid w:val="23353F05"/>
    <w:rsid w:val="28606852"/>
    <w:rsid w:val="29121970"/>
    <w:rsid w:val="29EF7861"/>
    <w:rsid w:val="2ADA6473"/>
    <w:rsid w:val="30BE2A8F"/>
    <w:rsid w:val="429F3322"/>
    <w:rsid w:val="43102595"/>
    <w:rsid w:val="4A1504A0"/>
    <w:rsid w:val="52C14B04"/>
    <w:rsid w:val="55A02E49"/>
    <w:rsid w:val="55A17891"/>
    <w:rsid w:val="561B18B5"/>
    <w:rsid w:val="58E06247"/>
    <w:rsid w:val="5DA220D3"/>
    <w:rsid w:val="5DA842B2"/>
    <w:rsid w:val="64A2122F"/>
    <w:rsid w:val="6713109A"/>
    <w:rsid w:val="67B42849"/>
    <w:rsid w:val="68DF2A93"/>
    <w:rsid w:val="6E2F34F4"/>
    <w:rsid w:val="6EAA1839"/>
    <w:rsid w:val="71BD756A"/>
    <w:rsid w:val="751B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imes New Roman" w:hAnsi="Times New Roman" w:eastAsia="仿宋"/>
      <w:sz w:val="28"/>
    </w:rPr>
  </w:style>
  <w:style w:type="paragraph" w:styleId="3">
    <w:name w:val="Body Text Indent"/>
    <w:basedOn w:val="1"/>
    <w:next w:val="4"/>
    <w:semiHidden/>
    <w:unhideWhenUsed/>
    <w:qFormat/>
    <w:uiPriority w:val="99"/>
    <w:pPr>
      <w:spacing w:after="120"/>
      <w:ind w:left="420" w:leftChars="200"/>
    </w:pPr>
  </w:style>
  <w:style w:type="paragraph" w:customStyle="1" w:styleId="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before="100" w:beforeAutospacing="1" w:after="0" w:line="360" w:lineRule="auto"/>
      <w:ind w:left="0" w:leftChars="0" w:firstLine="420" w:firstLineChars="200"/>
    </w:pPr>
    <w:rPr>
      <w:rFonts w:ascii="????_GBK" w:hAnsi="Calibri" w:eastAsia="Times New Roman" w:cs="Times New Roman"/>
      <w:sz w:val="30"/>
      <w:szCs w:val="24"/>
    </w:rPr>
  </w:style>
  <w:style w:type="character" w:styleId="12">
    <w:name w:val="page number"/>
    <w:basedOn w:val="11"/>
    <w:qFormat/>
    <w:uiPriority w:val="99"/>
    <w:rPr>
      <w:rFonts w:cs="Times New Roman"/>
    </w:rPr>
  </w:style>
  <w:style w:type="paragraph" w:customStyle="1" w:styleId="13">
    <w:name w:val="样式3"/>
    <w:basedOn w:val="1"/>
    <w:qFormat/>
    <w:uiPriority w:val="0"/>
    <w:rPr>
      <w:rFonts w:ascii="Times New Roman" w:hAnsi="Times New Roman" w:eastAsia="仿宋_GB2312" w:cs="Times New Roman"/>
      <w:spacing w:val="113"/>
      <w:sz w:val="32"/>
    </w:rPr>
  </w:style>
  <w:style w:type="paragraph" w:customStyle="1" w:styleId="14">
    <w:name w:val="样式4"/>
    <w:basedOn w:val="1"/>
    <w:qFormat/>
    <w:uiPriority w:val="0"/>
    <w:rPr>
      <w:rFonts w:ascii="Times New Roman" w:hAnsi="Times New Roman" w:eastAsia="仿宋_GB2312" w:cs="Times New Roman"/>
      <w:snapToGrid w:val="0"/>
      <w:spacing w:val="79"/>
      <w:sz w:val="32"/>
    </w:rPr>
  </w:style>
  <w:style w:type="paragraph" w:customStyle="1" w:styleId="15">
    <w:name w:val="样式6"/>
    <w:basedOn w:val="1"/>
    <w:qFormat/>
    <w:uiPriority w:val="0"/>
    <w:rPr>
      <w:rFonts w:ascii="Times New Roman" w:hAnsi="Times New Roman" w:eastAsia="仿宋_GB2312" w:cs="Times New Roman"/>
      <w:spacing w:val="57"/>
      <w:sz w:val="32"/>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5755</Words>
  <Characters>5994</Characters>
  <Lines>0</Lines>
  <Paragraphs>0</Paragraphs>
  <TotalTime>1</TotalTime>
  <ScaleCrop>false</ScaleCrop>
  <LinksUpToDate>false</LinksUpToDate>
  <CharactersWithSpaces>5997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2020-10-27T13:06:00Z</dcterms:created>
  <dc:creator>Administrator</dc:creator>
  <cp:lastModifiedBy>Administrator</cp:lastModifiedBy>
  <cp:lastPrinted>2022-12-08T01:17:00Z</cp:lastPrinted>
  <dcterms:modified xsi:type="dcterms:W3CDTF">2025-05-28T09:13:36Z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28C68D3A2D6746C6B1CF22EBE806DB50</vt:lpwstr>
  </property>
</Properties>
</file>