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4E" w:rsidRDefault="003003EA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部门整体支出绩效自评报告</w:t>
      </w:r>
    </w:p>
    <w:p w:rsidR="009A384E" w:rsidRDefault="009A384E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</w:p>
    <w:p w:rsidR="009A384E" w:rsidRDefault="003003EA">
      <w:pPr>
        <w:spacing w:line="60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一、部门、单位基本情况</w:t>
      </w:r>
    </w:p>
    <w:p w:rsidR="009A384E" w:rsidRDefault="003003EA">
      <w:pPr>
        <w:spacing w:line="600" w:lineRule="exact"/>
        <w:ind w:firstLineChars="196" w:firstLine="630"/>
        <w:rPr>
          <w:rFonts w:eastAsia="楷体_GB2312"/>
          <w:b/>
          <w:snapToGrid w:val="0"/>
          <w:sz w:val="32"/>
          <w:szCs w:val="32"/>
        </w:rPr>
      </w:pPr>
      <w:r>
        <w:rPr>
          <w:rFonts w:eastAsia="楷体_GB2312" w:hint="eastAsia"/>
          <w:b/>
          <w:snapToGrid w:val="0"/>
          <w:sz w:val="32"/>
          <w:szCs w:val="32"/>
        </w:rPr>
        <w:t>（一）部门职能职责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组织贯彻执行国家财税方针政策，拟订和执行全区财税发展规划、政策、改革方案；分析预测宏观经济形势，参与拟订各项宏观经济政策；提出运用财税政策实施宏观调控和综合平衡社会财力的建议；完善鼓励公益事业发展的财税政策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承担区本级各项财政收支管理的责任。负责编制年度区本级预决算草案并组织执行，代编全区财政收支预算，汇总全区财政总决算。受区人民政府委托，向区人民代表大会报告区本级预算及其执行情况，向区人大常委会报告决算情况。组织拟订区本级经费开支标准、定额，负责审核批复部门（单位）的年度预决算。负责政府投资基金区财政出资的资产管理。负责区本级预决算公开。实施绩效管理，建立全面规范透明、标准科学、约束有力的预算制度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（三）按分工负责政府非税收入管理。建立健全政府非税收入管理制度；负责政府性基金管理，按规定管理行政事业性收费；管理财政票据；推进政府购买服务工作；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承担门票监制与管理工作；拟订彩票管理政策和有关办法，监管彩票市场，按规定管理彩票资金。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四）组织实施国库管理、国库集中支付和政府采购制度，指导和监督区本级国库业务，按规定开展国库现金管理工作；拟订政府财务报告编制办法并组织实施；负责区本级财政银行账户、预算单位银行账户监督管理，负责拟订政府采购制度并监督管理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五）负责政府性债务管理工作。拟订区本级政府性债务管理政策、制度和办法，编制地方政府债余额限额计划；负责全区政府性债务的风险预警评估、风险应急处置；负责地方金融机构和区本级政府投融资公司的财务监管；组织实施存量政府债务置换；负责全区政府性债务监督检查、绩效考评；按规定管理外国政府和国际金融组织贷（赠）款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六）负责国有资产管理工作。根据授权，集中统一履行区本级国有金融资本出资人职责。拟订并组织实施区本级国有金融资本管理规章制度。拟订行政事业单位国有资产管理规章制度并组织实施。承担有关资产评估工作。拟订需要区本级统一规定的开支标准和支出政策。承担区直机关事业单位国有资产产权界定、清查登记、资产处置监管工作。负责区直机关事业单位经营性资产的监管工作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（七）负责国有资本经营工作。审核和汇总编制国有资本经营预决算草案，拟订国有资本经营预算制度和办法，收取区本级国有企业国有资本收益，组织实施企业财务制度，参与拟订企业国有资产管理相关制度。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八）负责财政支出管理。办理和监督区财政的经济发展支出、区级政府性投资项目的财政拨款；参与拟订城市基础设施建设投资的有关政策并组织实施；拟订并组织实施基本建设财务制度；组织开展政府投资项目评审；负责有关政策性补贴和专项储备资金管理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（九）负责社保资金（基金）管理。会同有关部门拟订并组织实施社会保障资金（基金）的财务管理制度；负责审核汇总编报社会保障资金（基金）预决算草案；承担社会保险基金财政监管工作。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（十）负责管理全区的会计工作。组织实施国家统一的会计制度，监督和规范会计行为；指导和监督注册会计师和会计师事务所的业务；指导和管理社会审计。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（十一）负责财政监督检查工作。开展财税法规、政策的执行情况监督检查；反映财政收支管理中的重大问题，提出加强财政管理的政策和建议。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（十二）负责组织、协调和指导全区的财源建设工作。负责拟订财源建设优惠政策并组织实施；组织编制和实施中长期财源建设发展规划。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（十三）负责本行业、领域的应急管理工作，对本行业、领域的安全生产工作实施监督管理。</w:t>
      </w:r>
    </w:p>
    <w:p w:rsidR="009A384E" w:rsidRDefault="003003EA">
      <w:pPr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（十四）完成区委、区政府交办的其他任务。</w:t>
      </w:r>
    </w:p>
    <w:p w:rsidR="009A384E" w:rsidRDefault="003003EA">
      <w:pPr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（二）机构设置情况</w:t>
      </w:r>
    </w:p>
    <w:p w:rsidR="009A384E" w:rsidRDefault="003003EA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4年，我局内设股室</w:t>
      </w:r>
      <w:r>
        <w:rPr>
          <w:rFonts w:ascii="仿宋" w:eastAsia="仿宋" w:hAnsi="仿宋" w:cs="仿宋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，分别是办公室、预算股、综合计划股、国库股、行政政法教科文股、农业企业外经股、经济建设股、社会保障股、会计管理股、金融债务股、监督检查股、政府采购管理股。部门所属机构5个，分别是财政事务中心、乡镇财政管理中心、国库集中支付中心、财政投资评审中心、国有资产事务中心。</w:t>
      </w:r>
    </w:p>
    <w:p w:rsidR="009A384E" w:rsidRDefault="003003EA">
      <w:pPr>
        <w:spacing w:line="600" w:lineRule="exact"/>
        <w:ind w:firstLineChars="196" w:firstLine="630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（三）人员编制情况</w:t>
      </w:r>
    </w:p>
    <w:p w:rsidR="009A384E" w:rsidRPr="003003EA" w:rsidRDefault="003003EA" w:rsidP="003003EA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4年末，我单位共有编制</w:t>
      </w:r>
      <w:r>
        <w:rPr>
          <w:rFonts w:ascii="仿宋" w:eastAsia="仿宋" w:hAnsi="仿宋" w:cs="仿宋"/>
          <w:color w:val="000000"/>
          <w:sz w:val="32"/>
          <w:szCs w:val="32"/>
        </w:rPr>
        <w:t>51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人，其中行政编制</w:t>
      </w: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人，事业编制</w:t>
      </w:r>
      <w:r>
        <w:rPr>
          <w:rFonts w:ascii="仿宋" w:eastAsia="仿宋" w:hAnsi="仿宋" w:cs="仿宋"/>
          <w:color w:val="000000"/>
          <w:sz w:val="32"/>
          <w:szCs w:val="32"/>
        </w:rPr>
        <w:t>47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人。年末实有在职人员43人，离退休人员</w:t>
      </w: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4人。</w:t>
      </w:r>
    </w:p>
    <w:p w:rsidR="009A384E" w:rsidRDefault="003003E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二、一般公共预算支出情况</w:t>
      </w:r>
    </w:p>
    <w:p w:rsidR="009A384E" w:rsidRDefault="003003EA">
      <w:pPr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（一）基本支出情况</w:t>
      </w:r>
    </w:p>
    <w:p w:rsidR="009A384E" w:rsidRDefault="003003EA">
      <w:pPr>
        <w:tabs>
          <w:tab w:val="left" w:pos="2296"/>
        </w:tabs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基本支出系保障我局机构正常运转、完成日常工作任务而发生的各项支出，包括用于在职和离退休人员基本工资、津贴补贴等人员经费以及办公费、印刷费、水电费、办公设备购置等日常公用经费。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4年基本支出1072.45万元，较上年增加72.02万元。基本支出中人员经费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797.78万元，占基本支出的74.39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，较上年下降2.61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；日常公用经费274.67万元，占基本支出的25.61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，较增加2.61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，主要原因是人员调入调出等。</w:t>
      </w:r>
    </w:p>
    <w:p w:rsidR="009A384E" w:rsidRDefault="003003EA">
      <w:pPr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（二）项目支出情况</w:t>
      </w:r>
    </w:p>
    <w:p w:rsidR="009A384E" w:rsidRDefault="003003EA">
      <w:pPr>
        <w:tabs>
          <w:tab w:val="left" w:pos="2296"/>
        </w:tabs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支出系我局为完成财政财务管理工作而发生的支出，包括行业务工作经费和运行维护经费。业务工作经费支出主要用于部门预决算编制、非税收入稽查、财政投资评审、政府采购、全区财政系统信息网络建设和南岳区景区门票税金支出等方面。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4年项目支出</w:t>
      </w:r>
      <w:r w:rsidR="00221BF3">
        <w:rPr>
          <w:rFonts w:ascii="仿宋" w:eastAsia="仿宋" w:hAnsi="仿宋" w:cs="仿宋" w:hint="eastAsia"/>
          <w:color w:val="000000"/>
          <w:sz w:val="32"/>
          <w:szCs w:val="32"/>
        </w:rPr>
        <w:t>280.1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万元，比上年减少1072.35万元，主要是减少景区门票印刷费及南岳区门票税金支出。</w:t>
      </w:r>
    </w:p>
    <w:p w:rsidR="009A384E" w:rsidRDefault="003003EA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政府性基金预算支出情况。</w:t>
      </w:r>
    </w:p>
    <w:p w:rsidR="009A384E" w:rsidRDefault="003003EA">
      <w:pPr>
        <w:tabs>
          <w:tab w:val="left" w:pos="2296"/>
        </w:tabs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本年度无政府性基金预算支出。</w:t>
      </w:r>
    </w:p>
    <w:p w:rsidR="009A384E" w:rsidRDefault="003003EA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国有资本经营预算支出情况</w:t>
      </w:r>
    </w:p>
    <w:p w:rsidR="009A384E" w:rsidRDefault="003003EA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本年度国有资本经营预算支出1.53万元。</w:t>
      </w:r>
    </w:p>
    <w:p w:rsidR="009A384E" w:rsidRDefault="003003EA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社会保险基金预算支出情况</w:t>
      </w:r>
    </w:p>
    <w:p w:rsidR="009A384E" w:rsidRDefault="003003EA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本年度无社会保险基金预算支出。</w:t>
      </w:r>
    </w:p>
    <w:p w:rsidR="009A384E" w:rsidRDefault="003003E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六、部门整体支出绩效情况</w:t>
      </w:r>
    </w:p>
    <w:p w:rsidR="009A384E" w:rsidRDefault="003003E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4年区财政局紧紧围绕区委、区政府重要决策部署，为全区经济运行保持总体平稳向好作出了积极贡献。全年实现地方一般公共预算收入5.98亿元，同比增长1.23亿元，增加25.98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。其中：地方税收2.53亿，同比增长1875万元，增幅8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；非税收入完成3.45亿，同比增加10464万元，增加43.52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。实现政府性基金预算收入1.57亿元，同比减少3.8亿元，增幅-70.83</w:t>
      </w:r>
      <w:r>
        <w:rPr>
          <w:rFonts w:ascii="仿宋" w:eastAsia="仿宋" w:hAnsi="仿宋" w:cs="仿宋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。全年全区共争取上级资金6.76亿元。</w:t>
      </w:r>
    </w:p>
    <w:p w:rsidR="009A384E" w:rsidRDefault="003003E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七、存在的问题及原因分析</w:t>
      </w:r>
    </w:p>
    <w:p w:rsidR="009A384E" w:rsidRDefault="003003EA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收支矛盾更加突出，财源税源单一的根本问题难以解决，收入增长乏力。债务风险因素增加，债务规模大，增长快，还本付息压力大，风险防范任务较重。</w:t>
      </w:r>
    </w:p>
    <w:p w:rsidR="009A384E" w:rsidRDefault="003003EA">
      <w:pPr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下一步改进措施</w:t>
      </w:r>
    </w:p>
    <w:p w:rsidR="009A384E" w:rsidRDefault="003003E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针对上述存在的问题，拟采取以下改进措施：</w:t>
      </w:r>
    </w:p>
    <w:p w:rsidR="009A384E" w:rsidRDefault="003003E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强化预算管理，定期开展预算执行分析。通过定期对项目实施和预算执行情况进行梳理，及时掌握项目进度，督促项目实施单位早启动、早实施、早验收，对符合条件的项目按照项目进度支付相关款项，将预算资金管理贯穿于项目实施全过程中。</w:t>
      </w:r>
    </w:p>
    <w:p w:rsidR="009A384E" w:rsidRDefault="009A384E">
      <w:pPr>
        <w:spacing w:line="600" w:lineRule="exact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9A384E" w:rsidRDefault="003003E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九、其他需要说明的情况</w:t>
      </w:r>
    </w:p>
    <w:p w:rsidR="009A384E" w:rsidRDefault="003003E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无</w:t>
      </w:r>
    </w:p>
    <w:p w:rsidR="009A384E" w:rsidRDefault="003003EA">
      <w:pPr>
        <w:spacing w:line="600" w:lineRule="exact"/>
        <w:ind w:leftChars="1900" w:left="418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南岳区财政局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（盖章）</w:t>
      </w:r>
    </w:p>
    <w:p w:rsidR="009A384E" w:rsidRDefault="003003EA">
      <w:pPr>
        <w:spacing w:line="600" w:lineRule="exact"/>
        <w:ind w:leftChars="1900" w:left="418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2025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28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日</w:t>
      </w:r>
    </w:p>
    <w:p w:rsidR="009A384E" w:rsidRDefault="009A384E">
      <w:pPr>
        <w:spacing w:line="560" w:lineRule="exact"/>
        <w:rPr>
          <w:rFonts w:ascii="Times New Roman" w:eastAsia="仿宋" w:hAnsi="Times New Roman"/>
          <w:kern w:val="2"/>
          <w:sz w:val="32"/>
          <w:szCs w:val="32"/>
        </w:rPr>
      </w:pPr>
    </w:p>
    <w:sectPr w:rsidR="009A384E" w:rsidSect="009A38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4E" w:rsidRDefault="003003EA">
      <w:r>
        <w:separator/>
      </w:r>
    </w:p>
  </w:endnote>
  <w:endnote w:type="continuationSeparator" w:id="0">
    <w:p w:rsidR="009A384E" w:rsidRDefault="00300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4E" w:rsidRDefault="003003EA">
      <w:pPr>
        <w:spacing w:after="0"/>
      </w:pPr>
      <w:r>
        <w:separator/>
      </w:r>
    </w:p>
  </w:footnote>
  <w:footnote w:type="continuationSeparator" w:id="0">
    <w:p w:rsidR="009A384E" w:rsidRDefault="003003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BF59D"/>
    <w:multiLevelType w:val="singleLevel"/>
    <w:tmpl w:val="A57BF59D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91F4C7"/>
    <w:multiLevelType w:val="singleLevel"/>
    <w:tmpl w:val="D591F4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YjA3NDI2MTJlNmE5MWFlNjk3YjdiYmM2ZDc5MzQ0ODIifQ=="/>
  </w:docVars>
  <w:rsids>
    <w:rsidRoot w:val="00D31D50"/>
    <w:rsid w:val="00221BF3"/>
    <w:rsid w:val="003003EA"/>
    <w:rsid w:val="00323B43"/>
    <w:rsid w:val="003D37D8"/>
    <w:rsid w:val="00426133"/>
    <w:rsid w:val="004358AB"/>
    <w:rsid w:val="005075F7"/>
    <w:rsid w:val="007C29E2"/>
    <w:rsid w:val="008B7726"/>
    <w:rsid w:val="009A384E"/>
    <w:rsid w:val="00B5343F"/>
    <w:rsid w:val="00B84761"/>
    <w:rsid w:val="00BA2634"/>
    <w:rsid w:val="00C600A1"/>
    <w:rsid w:val="00D31D50"/>
    <w:rsid w:val="3B186698"/>
    <w:rsid w:val="4F2B7ABC"/>
    <w:rsid w:val="5714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4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9A384E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uiPriority w:val="99"/>
    <w:qFormat/>
    <w:rsid w:val="009A38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2008-09-11T17:20:00Z</dcterms:created>
  <dcterms:modified xsi:type="dcterms:W3CDTF">2025-06-30T03:57:00Z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480DBADFFA1F4AB3B6CCE1D14052D607</vt:lpwstr>
  </property>
</Properties>
</file>