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E6" w:rsidRDefault="006F3600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bookmarkStart w:id="0" w:name="OLE_LINK6"/>
      <w:r>
        <w:rPr>
          <w:rFonts w:ascii="Times New Roman" w:eastAsia="方正小标宋简体" w:hAnsi="Times New Roman" w:hint="eastAsia"/>
          <w:kern w:val="2"/>
          <w:sz w:val="44"/>
          <w:szCs w:val="44"/>
        </w:rPr>
        <w:t>南岳区财政局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2024</w:t>
      </w:r>
      <w:r w:rsidR="00115F5C">
        <w:rPr>
          <w:rFonts w:ascii="Times New Roman" w:eastAsia="方正小标宋简体" w:hAnsi="Times New Roman"/>
          <w:kern w:val="2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财政</w:t>
      </w:r>
      <w:r w:rsidR="00115F5C">
        <w:rPr>
          <w:rFonts w:ascii="Times New Roman" w:eastAsia="方正小标宋简体" w:hAnsi="Times New Roman"/>
          <w:kern w:val="2"/>
          <w:sz w:val="44"/>
          <w:szCs w:val="44"/>
        </w:rPr>
        <w:t>专项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业务经费</w:t>
      </w:r>
      <w:r w:rsidR="00115F5C">
        <w:rPr>
          <w:rFonts w:ascii="Times New Roman" w:eastAsia="方正小标宋简体" w:hAnsi="Times New Roman"/>
          <w:kern w:val="2"/>
          <w:sz w:val="44"/>
          <w:szCs w:val="44"/>
        </w:rPr>
        <w:t>资金绩效自评报告</w:t>
      </w:r>
    </w:p>
    <w:bookmarkEnd w:id="0"/>
    <w:p w:rsidR="001A27E6" w:rsidRDefault="001A27E6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15F5C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一、绩效目标解下达情况</w:t>
      </w:r>
    </w:p>
    <w:p w:rsidR="001A27E6" w:rsidRDefault="00115F5C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</w:t>
      </w:r>
      <w:r w:rsidR="006F3600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财政专项业务经费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下达预算及项目情况。</w:t>
      </w:r>
    </w:p>
    <w:p w:rsidR="001A27E6" w:rsidRDefault="006F3600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 w:rsidR="00115F5C"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财政专项业务经费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25</w:t>
      </w:r>
      <w:r w:rsidR="00115F5C">
        <w:rPr>
          <w:rFonts w:ascii="Times New Roman" w:eastAsia="仿宋" w:hAnsi="Times New Roman" w:hint="eastAsia"/>
          <w:kern w:val="2"/>
          <w:sz w:val="32"/>
          <w:szCs w:val="32"/>
        </w:rPr>
        <w:t>万元，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财政专项业务经费</w:t>
      </w:r>
      <w:r w:rsidR="00115F5C">
        <w:rPr>
          <w:rFonts w:ascii="Times New Roman" w:eastAsia="仿宋" w:hAnsi="Times New Roman" w:hint="eastAsia"/>
          <w:kern w:val="2"/>
          <w:sz w:val="32"/>
          <w:szCs w:val="32"/>
        </w:rPr>
        <w:t>下拨时间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为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年年初</w:t>
      </w:r>
      <w:r w:rsidR="00115F5C">
        <w:rPr>
          <w:rFonts w:ascii="Times New Roman" w:eastAsia="仿宋" w:hAnsi="Times New Roman" w:hint="eastAsia"/>
          <w:kern w:val="2"/>
          <w:sz w:val="32"/>
          <w:szCs w:val="32"/>
        </w:rPr>
        <w:t>，年度总体目标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为</w:t>
      </w:r>
      <w:r w:rsidRPr="006F3600">
        <w:rPr>
          <w:rFonts w:ascii="Times New Roman" w:eastAsia="仿宋" w:hAnsi="Times New Roman" w:hint="eastAsia"/>
          <w:kern w:val="2"/>
          <w:sz w:val="32"/>
          <w:szCs w:val="32"/>
        </w:rPr>
        <w:t>按时按质完成政府债务管理工作，乡镇财政管理工作，全区财会人员培训，财政监督及调研工作，全区工资统发业务，国有资产监管工作，全区国库集中支付各项业务办理，政府采购相关工作，绩效评价，涉农补贴发放及乡镇财政信息化建设，乡财区管村帐乡代理工作，非税收入征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缴及非税票据管理，评审专家库维护，财政部数据报送信息等各项工作</w:t>
      </w:r>
      <w:r w:rsidR="00115F5C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1A27E6" w:rsidRDefault="00115F5C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（二）</w:t>
      </w:r>
      <w:r w:rsidR="006F3600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财政专项业务经费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年初或年中绩效目标设定情况。</w:t>
      </w:r>
    </w:p>
    <w:p w:rsidR="001A27E6" w:rsidRDefault="00115F5C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bookmarkStart w:id="1" w:name="OLE_LINK4"/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1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、产出指标：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数量指标</w:t>
      </w:r>
      <w:r w:rsidR="006F3600">
        <w:rPr>
          <w:rFonts w:ascii="Times New Roman" w:eastAsia="仿宋" w:hAnsi="Times New Roman" w:hint="eastAsia"/>
          <w:kern w:val="2"/>
          <w:sz w:val="32"/>
          <w:szCs w:val="32"/>
        </w:rPr>
        <w:t>支出股室数量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个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bookmarkStart w:id="2" w:name="OLE_LINK1"/>
      <w:r>
        <w:rPr>
          <w:rFonts w:ascii="Times New Roman" w:eastAsia="仿宋" w:hAnsi="Times New Roman" w:hint="eastAsia"/>
          <w:kern w:val="2"/>
          <w:sz w:val="32"/>
          <w:szCs w:val="32"/>
        </w:rPr>
        <w:t>质量指标</w:t>
      </w:r>
      <w:r w:rsidR="006F3600">
        <w:rPr>
          <w:rFonts w:ascii="Times New Roman" w:eastAsia="仿宋" w:hAnsi="Times New Roman" w:hint="eastAsia"/>
          <w:kern w:val="2"/>
          <w:sz w:val="32"/>
          <w:szCs w:val="32"/>
        </w:rPr>
        <w:t>完成工作质量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，时效指标</w:t>
      </w:r>
      <w:r w:rsidR="006F3600">
        <w:rPr>
          <w:rFonts w:ascii="Times New Roman" w:eastAsia="仿宋" w:hAnsi="Times New Roman" w:hint="eastAsia"/>
          <w:kern w:val="2"/>
          <w:sz w:val="32"/>
          <w:szCs w:val="32"/>
        </w:rPr>
        <w:t>完成工作时间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月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31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日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，成本指标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经济成本指标完成值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24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万元。</w:t>
      </w:r>
    </w:p>
    <w:bookmarkEnd w:id="2"/>
    <w:p w:rsidR="001A27E6" w:rsidRDefault="00115F5C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、效益指标：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社会效益指标</w:t>
      </w:r>
      <w:r w:rsidR="002918BE">
        <w:rPr>
          <w:rFonts w:ascii="Times New Roman" w:eastAsia="仿宋" w:hAnsi="Times New Roman" w:hint="eastAsia"/>
          <w:kern w:val="2"/>
          <w:sz w:val="32"/>
          <w:szCs w:val="32"/>
        </w:rPr>
        <w:t>节约资源，减少浪费，资金发挥最大效益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，有效完成</w:t>
      </w:r>
      <w:r w:rsidR="002918BE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1A27E6" w:rsidRDefault="00115F5C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、满意度指标</w:t>
      </w:r>
      <w:r w:rsidR="002918BE">
        <w:rPr>
          <w:rFonts w:ascii="Times New Roman" w:eastAsia="仿宋" w:hAnsi="Times New Roman" w:hint="eastAsia"/>
          <w:kern w:val="2"/>
          <w:sz w:val="32"/>
          <w:szCs w:val="32"/>
        </w:rPr>
        <w:t>服务对象满意度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完成值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95%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以上。</w:t>
      </w:r>
    </w:p>
    <w:bookmarkEnd w:id="1"/>
    <w:p w:rsidR="001A27E6" w:rsidRDefault="00115F5C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二、绩效自评工作开展情况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</w:t>
      </w:r>
      <w:r>
        <w:rPr>
          <w:rFonts w:ascii="Times New Roman" w:eastAsia="仿宋" w:hAnsi="Times New Roman"/>
          <w:kern w:val="2"/>
          <w:sz w:val="32"/>
          <w:szCs w:val="32"/>
        </w:rPr>
        <w:lastRenderedPageBreak/>
        <w:t>的绩效评价工作小组。办公室负责评价工作的组织协调、业务指导和监管督办，有序推进</w:t>
      </w:r>
      <w:r>
        <w:rPr>
          <w:rFonts w:ascii="Times New Roman" w:eastAsia="仿宋" w:hAnsi="Times New Roman"/>
          <w:kern w:val="2"/>
          <w:sz w:val="32"/>
          <w:szCs w:val="32"/>
        </w:rPr>
        <w:t>2024</w:t>
      </w:r>
      <w:r>
        <w:rPr>
          <w:rFonts w:ascii="Times New Roman" w:eastAsia="仿宋" w:hAnsi="Times New Roman"/>
          <w:kern w:val="2"/>
          <w:sz w:val="32"/>
          <w:szCs w:val="32"/>
        </w:rPr>
        <w:t>年度绩效评价工作。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三、绩效目标自评完成情况分析</w:t>
      </w:r>
    </w:p>
    <w:p w:rsidR="001A27E6" w:rsidRDefault="00115F5C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（一）资金投入情况分析</w:t>
      </w:r>
    </w:p>
    <w:p w:rsidR="001A27E6" w:rsidRDefault="00115F5C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项目资金到位情况分析。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本项目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年财政实际下拨了</w:t>
      </w:r>
      <w:r w:rsidR="002918BE">
        <w:rPr>
          <w:rFonts w:ascii="Times New Roman" w:eastAsia="仿宋" w:hAnsi="Times New Roman" w:hint="eastAsia"/>
          <w:kern w:val="2"/>
          <w:sz w:val="32"/>
          <w:szCs w:val="32"/>
        </w:rPr>
        <w:t>25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万元。</w:t>
      </w:r>
    </w:p>
    <w:p w:rsidR="001A27E6" w:rsidRDefault="00115F5C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2.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项目资金执行情况分析。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本项目实际支付给</w:t>
      </w:r>
      <w:r w:rsidR="002918BE">
        <w:rPr>
          <w:rFonts w:ascii="Times New Roman" w:eastAsia="仿宋" w:hAnsi="Times New Roman" w:hint="eastAsia"/>
          <w:kern w:val="2"/>
          <w:sz w:val="32"/>
          <w:szCs w:val="32"/>
        </w:rPr>
        <w:t>24.55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万元，用于</w:t>
      </w:r>
      <w:r w:rsidR="002918BE" w:rsidRPr="002918BE">
        <w:rPr>
          <w:rFonts w:ascii="Times New Roman" w:eastAsia="仿宋" w:hAnsi="Times New Roman" w:hint="eastAsia"/>
          <w:kern w:val="2"/>
          <w:sz w:val="32"/>
          <w:szCs w:val="32"/>
        </w:rPr>
        <w:t>按时按质完成政府债务管理工作，乡镇财政管理工作，全区财会人员培训，财政监督及调研工作，全区工资统发业务，国有资产监管工作，全区国库集中支付各项业务办理，政府采购相关工作，绩效评价，涉农补贴发放及乡镇财政信息化建设，乡财区管村帐乡代理工作，非税收入征缴及非税票据管理，评审专家库维护，财政部数据报送信息等各项工作。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1A27E6" w:rsidRDefault="00115F5C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3.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项目资金管理情况分析。</w:t>
      </w:r>
    </w:p>
    <w:p w:rsidR="001A27E6" w:rsidRDefault="00115F5C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3" w:name="OLE_LINK3"/>
      <w:r>
        <w:rPr>
          <w:rFonts w:ascii="Times New Roman" w:eastAsia="仿宋" w:hAnsi="Times New Roman" w:hint="eastAsia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 w:rsidR="001A27E6" w:rsidRDefault="00115F5C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（二）绩效目标</w:t>
      </w:r>
      <w:r>
        <w:rPr>
          <w:rFonts w:ascii="Times New Roman" w:eastAsia="楷体" w:hAnsi="Times New Roman" w:hint="eastAsia"/>
          <w:b/>
          <w:bCs/>
          <w:kern w:val="2"/>
          <w:sz w:val="32"/>
          <w:szCs w:val="32"/>
        </w:rPr>
        <w:t>实际</w:t>
      </w: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完成情况分析</w:t>
      </w:r>
    </w:p>
    <w:p w:rsidR="001A27E6" w:rsidRDefault="00115F5C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1.产出指标完成情况分析。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包括产出数量、质量、时效、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经济</w:t>
      </w:r>
      <w:r>
        <w:rPr>
          <w:rFonts w:ascii="Times New Roman" w:eastAsia="仿宋" w:hAnsi="Times New Roman"/>
          <w:kern w:val="2"/>
          <w:sz w:val="32"/>
          <w:szCs w:val="32"/>
        </w:rPr>
        <w:t>成本指标的全年实际完成情况。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lastRenderedPageBreak/>
        <w:t>产出指标：数量指标</w:t>
      </w:r>
      <w:bookmarkStart w:id="4" w:name="OLE_LINK7"/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支出股室数量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bookmarkEnd w:id="4"/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个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，完成了年初的计划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质量指标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完成工作质量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完成了年初的计划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时效指标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完成工作时间实际完成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了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，完成了年初的计划。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成本指标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财政业务经费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24.55</w:t>
      </w:r>
      <w:r w:rsidR="00336F15">
        <w:rPr>
          <w:rFonts w:ascii="Times New Roman" w:eastAsia="仿宋" w:hAnsi="Times New Roman" w:hint="eastAsia"/>
          <w:kern w:val="2"/>
          <w:sz w:val="32"/>
          <w:szCs w:val="32"/>
        </w:rPr>
        <w:t>万元，完成了年初的计划。</w:t>
      </w:r>
    </w:p>
    <w:p w:rsidR="001A27E6" w:rsidRDefault="00115F5C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2.效益指标完成情况分析。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包括专项资金所产生的经济效益、社会效益、</w:t>
      </w:r>
      <w:bookmarkStart w:id="5" w:name="OLE_LINK2"/>
      <w:r>
        <w:rPr>
          <w:rFonts w:ascii="Times New Roman" w:eastAsia="仿宋" w:hAnsi="Times New Roman"/>
          <w:kern w:val="2"/>
          <w:sz w:val="32"/>
          <w:szCs w:val="32"/>
        </w:rPr>
        <w:t>可持续影响</w:t>
      </w:r>
      <w:bookmarkEnd w:id="5"/>
      <w:r>
        <w:rPr>
          <w:rFonts w:ascii="Times New Roman" w:eastAsia="仿宋" w:hAnsi="Times New Roman"/>
          <w:kern w:val="2"/>
          <w:sz w:val="32"/>
          <w:szCs w:val="32"/>
        </w:rPr>
        <w:t>等。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效益指标：社会效益指标</w:t>
      </w:r>
      <w:r w:rsidR="00955E1E" w:rsidRPr="00955E1E">
        <w:rPr>
          <w:rFonts w:ascii="Times New Roman" w:eastAsia="仿宋" w:hAnsi="Times New Roman" w:hint="eastAsia"/>
          <w:kern w:val="2"/>
          <w:sz w:val="32"/>
          <w:szCs w:val="32"/>
        </w:rPr>
        <w:t>节约资源，减少浪费，资金发挥最大效益。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实际完成了有效节约，完成了年初的计划。</w:t>
      </w:r>
    </w:p>
    <w:p w:rsidR="001A27E6" w:rsidRDefault="00115F5C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3.满意度指标完成情况分析。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满意度指标</w:t>
      </w:r>
      <w:r w:rsidR="00955E1E">
        <w:rPr>
          <w:rFonts w:ascii="Times New Roman" w:eastAsia="仿宋" w:hAnsi="Times New Roman" w:hint="eastAsia"/>
          <w:kern w:val="2"/>
          <w:sz w:val="32"/>
          <w:szCs w:val="32"/>
        </w:rPr>
        <w:t>群众满意度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96%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，完成了年初的计划。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四、偏离绩效目标的原因和下一步改进措施</w:t>
      </w:r>
    </w:p>
    <w:p w:rsidR="001A27E6" w:rsidRDefault="00115F5C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（一）年底实际完成情况较年初计划偏差的原因：厉行</w:t>
      </w:r>
      <w:r>
        <w:rPr>
          <w:rFonts w:eastAsia="仿宋" w:cs="仿宋" w:hint="eastAsia"/>
          <w:kern w:val="2"/>
          <w:sz w:val="32"/>
          <w:szCs w:val="32"/>
        </w:rPr>
        <w:t>节约，减少开支。</w:t>
      </w:r>
    </w:p>
    <w:p w:rsidR="001A27E6" w:rsidRDefault="00115F5C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（二）下一步整改措施：无</w:t>
      </w:r>
    </w:p>
    <w:p w:rsidR="001A27E6" w:rsidRDefault="00115F5C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五、绩效自评结果拟应用和公开情况</w:t>
      </w:r>
    </w:p>
    <w:p w:rsidR="001A27E6" w:rsidRDefault="00115F5C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eastAsia="仿宋" w:hAnsi="Times New Roman"/>
          <w:kern w:val="2"/>
          <w:sz w:val="32"/>
          <w:szCs w:val="32"/>
        </w:rPr>
        <w:t>预算绩效管理信息系统完成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，并上传整</w:t>
      </w:r>
      <w:r>
        <w:rPr>
          <w:rFonts w:ascii="Times New Roman" w:eastAsia="仿宋" w:hAnsi="Times New Roman" w:hint="eastAsia"/>
          <w:kern w:val="2"/>
          <w:sz w:val="32"/>
          <w:szCs w:val="32"/>
        </w:rPr>
        <w:lastRenderedPageBreak/>
        <w:t>体绩效自评报告和专项绩效自评报告，并通过预决算公开平台同步上传至单位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年部门决算公开作为附件予以公开。</w:t>
      </w:r>
    </w:p>
    <w:p w:rsidR="001A27E6" w:rsidRDefault="001A27E6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15F5C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南岳区财政局</w:t>
      </w:r>
      <w:r>
        <w:rPr>
          <w:rFonts w:ascii="Times New Roman" w:eastAsia="仿宋" w:hAnsi="Times New Roman"/>
          <w:kern w:val="2"/>
          <w:sz w:val="32"/>
          <w:szCs w:val="32"/>
        </w:rPr>
        <w:t>（盖章）</w:t>
      </w:r>
    </w:p>
    <w:p w:rsidR="001A27E6" w:rsidRDefault="00115F5C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2025</w:t>
      </w:r>
      <w:r>
        <w:rPr>
          <w:rFonts w:ascii="Times New Roman" w:eastAsia="仿宋" w:hAnsi="Times New Roman"/>
          <w:kern w:val="2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15</w:t>
      </w:r>
      <w:r>
        <w:rPr>
          <w:rFonts w:ascii="Times New Roman" w:eastAsia="仿宋" w:hAnsi="Times New Roman"/>
          <w:kern w:val="2"/>
          <w:sz w:val="32"/>
          <w:szCs w:val="32"/>
        </w:rPr>
        <w:t>日</w:t>
      </w:r>
    </w:p>
    <w:p w:rsidR="001A27E6" w:rsidRDefault="001A27E6">
      <w:pPr>
        <w:spacing w:line="520" w:lineRule="exact"/>
        <w:ind w:firstLineChars="200" w:firstLine="600"/>
        <w:rPr>
          <w:rFonts w:eastAsia="仿宋" w:cs="仿宋"/>
          <w:kern w:val="2"/>
          <w:sz w:val="30"/>
          <w:szCs w:val="30"/>
        </w:rPr>
      </w:pPr>
    </w:p>
    <w:p w:rsidR="001A27E6" w:rsidRDefault="001A27E6">
      <w:pPr>
        <w:spacing w:line="520" w:lineRule="exact"/>
        <w:ind w:firstLineChars="200" w:firstLine="600"/>
        <w:rPr>
          <w:rFonts w:eastAsia="仿宋" w:cs="仿宋"/>
          <w:kern w:val="2"/>
          <w:sz w:val="30"/>
          <w:szCs w:val="30"/>
        </w:rPr>
      </w:pPr>
    </w:p>
    <w:p w:rsidR="001A27E6" w:rsidRDefault="001A27E6">
      <w:pPr>
        <w:spacing w:line="600" w:lineRule="exact"/>
        <w:jc w:val="left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 w:rsidP="001A27E6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A27E6" w:rsidRDefault="001A27E6"/>
    <w:sectPr w:rsidR="001A27E6" w:rsidSect="001A27E6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115F5C"/>
    <w:rsid w:val="001A27E6"/>
    <w:rsid w:val="002918BE"/>
    <w:rsid w:val="00336F15"/>
    <w:rsid w:val="006F3600"/>
    <w:rsid w:val="00955E1E"/>
    <w:rsid w:val="00EF58DF"/>
    <w:rsid w:val="2FD607DF"/>
    <w:rsid w:val="515F3303"/>
    <w:rsid w:val="5277131C"/>
    <w:rsid w:val="76ED5908"/>
    <w:rsid w:val="7A24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7E6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paragraph" w:styleId="3">
    <w:name w:val="heading 3"/>
    <w:basedOn w:val="a"/>
    <w:next w:val="a"/>
    <w:semiHidden/>
    <w:unhideWhenUsed/>
    <w:qFormat/>
    <w:rsid w:val="001A27E6"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1A27E6"/>
    <w:pPr>
      <w:ind w:left="1680"/>
    </w:pPr>
    <w:rPr>
      <w:rFonts w:ascii="Calibri" w:hAnsi="Calibri"/>
      <w:szCs w:val="22"/>
    </w:rPr>
  </w:style>
  <w:style w:type="paragraph" w:styleId="a3">
    <w:name w:val="footer"/>
    <w:basedOn w:val="a"/>
    <w:next w:val="5"/>
    <w:qFormat/>
    <w:rsid w:val="001A2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qFormat/>
    <w:rsid w:val="001A2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A27E6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</dc:creator>
  <cp:lastModifiedBy>xbany</cp:lastModifiedBy>
  <cp:revision>3</cp:revision>
  <cp:lastPrinted>2025-05-23T08:02:00Z</cp:lastPrinted>
  <dcterms:created xsi:type="dcterms:W3CDTF">2025-05-23T07:35:00Z</dcterms:created>
  <dcterms:modified xsi:type="dcterms:W3CDTF">2025-06-30T03:55:00Z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6E24C7210A49401EB3942FA4A2E77C09_13</vt:lpwstr>
  </property>
</Properties>
</file>