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/>
          <w:b/>
          <w:bCs/>
          <w:sz w:val="36"/>
          <w:szCs w:val="36"/>
        </w:rPr>
      </w:pPr>
      <w:r>
        <w:rPr>
          <w:rFonts w:ascii="方正小标宋简体" w:hAnsi="方正小标宋简体"/>
          <w:b/>
          <w:bCs/>
          <w:sz w:val="36"/>
          <w:szCs w:val="36"/>
        </w:rPr>
        <w:t>南岳区市场监督管理局</w:t>
      </w:r>
      <w:r>
        <w:rPr>
          <w:rFonts w:hint="eastAsia" w:ascii="方正小标宋简体" w:hAnsi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/>
          <w:bCs/>
          <w:sz w:val="36"/>
          <w:szCs w:val="36"/>
          <w:lang w:val="en-US" w:eastAsia="zh-CN"/>
        </w:rPr>
        <w:t>4</w:t>
      </w:r>
      <w:r>
        <w:rPr>
          <w:rFonts w:ascii="方正小标宋简体" w:hAnsi="方正小标宋简体"/>
          <w:b/>
          <w:bCs/>
          <w:sz w:val="36"/>
          <w:szCs w:val="36"/>
        </w:rPr>
        <w:t>年度部门整体支出</w:t>
      </w:r>
    </w:p>
    <w:p>
      <w:pPr>
        <w:widowControl/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ascii="方正小标宋简体" w:hAnsi="方正小标宋简体"/>
          <w:b/>
          <w:bCs/>
          <w:sz w:val="36"/>
          <w:szCs w:val="36"/>
        </w:rPr>
        <w:t>绩效评价报告</w:t>
      </w:r>
    </w:p>
    <w:p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根据《中共中央</w:t>
      </w:r>
      <w:r>
        <w:rPr>
          <w:rFonts w:eastAsia="仿宋_GB2312"/>
          <w:sz w:val="32"/>
          <w:szCs w:val="32"/>
        </w:rPr>
        <w:t>国务院关于全面实施预算绩效管理的意见》的文件精神，我</w:t>
      </w:r>
      <w:r>
        <w:rPr>
          <w:rFonts w:hint="eastAsia" w:eastAsia="仿宋_GB2312"/>
          <w:sz w:val="32"/>
          <w:szCs w:val="32"/>
        </w:rPr>
        <w:t>局</w:t>
      </w:r>
      <w:r>
        <w:rPr>
          <w:rFonts w:eastAsia="仿宋_GB2312"/>
          <w:sz w:val="32"/>
          <w:szCs w:val="32"/>
        </w:rPr>
        <w:t>对部门整体支出进行了绩效评价，现报告如下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ind w:firstLine="640" w:firstLineChars="200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一、部门（单位）基本情况</w:t>
      </w:r>
    </w:p>
    <w:p>
      <w:pPr>
        <w:widowControl/>
        <w:spacing w:line="600" w:lineRule="exact"/>
        <w:ind w:firstLine="630" w:firstLineChars="196"/>
        <w:jc w:val="left"/>
        <w:rPr>
          <w:rFonts w:hint="eastAsia" w:eastAsia="楷体_GB2312"/>
          <w:b/>
          <w:kern w:val="0"/>
          <w:sz w:val="32"/>
          <w:szCs w:val="32"/>
        </w:rPr>
      </w:pPr>
      <w:r>
        <w:rPr>
          <w:rFonts w:ascii="楷体_GB2312" w:hAnsi="楷体_GB2312" w:eastAsia="楷体_GB2312"/>
          <w:b/>
          <w:kern w:val="0"/>
          <w:sz w:val="32"/>
          <w:szCs w:val="32"/>
        </w:rPr>
        <w:t>（一）部门职能职</w:t>
      </w:r>
      <w:r>
        <w:rPr>
          <w:rFonts w:hint="eastAsia" w:ascii="宋体" w:hAnsi="宋体" w:cs="宋体"/>
          <w:b/>
          <w:kern w:val="0"/>
          <w:sz w:val="32"/>
          <w:szCs w:val="32"/>
        </w:rPr>
        <w:t>责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（一）负责市场综合监督管理。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（二）负责市场主体统一登记注册。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（三）指导市场监管综合执法工作。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（四）依授权负责反垄断的相关工作。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（五）负责监督管理市场秩序。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（六）负责宏观质量管理。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（七）负责产品质量安全监督管理。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（八）负责特种设备安全监督管理。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（九）负责食品安全监督管理综合协调。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（十）负责食品安全监督管理。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（十一）负责统一管理计量工作。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（十二）负责统一管理标准化工作。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（十三）负责对全区认证认可工作及有关活动实施监督管理。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（十四）负责市场监督管理科技和信息化建设、新闻宣传、交流与合作。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（十五）负责药品安全监督管理。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（十六）负责医疗器械安全监督管理。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（十七）负责化妆品安全监督管理。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（十八）负责知识产权创造运用，实施知识产权战略。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（十九）负责保护知识产权。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（二十）负责消费维权工作。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（二十一）依法规范和维护旅游市场经营秩序。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（二十二）负责本行业、领域的应急管理工作，对本行业、领域的安全生产工作实施监督管理。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（二十三）完成区委、区政府交办的其他任务。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（二）机构设置情</w:t>
      </w:r>
      <w:r>
        <w:rPr>
          <w:rFonts w:hint="eastAsia" w:ascii="宋体" w:hAnsi="宋体" w:cs="宋体"/>
          <w:b/>
          <w:sz w:val="32"/>
          <w:szCs w:val="32"/>
        </w:rPr>
        <w:t>况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_GB2312"/>
          <w:kern w:val="0"/>
          <w:sz w:val="32"/>
          <w:szCs w:val="32"/>
        </w:rPr>
        <w:t>年末</w:t>
      </w:r>
      <w:r>
        <w:rPr>
          <w:rFonts w:ascii="仿宋_GB2312" w:hAnsi="仿宋_GB2312" w:eastAsia="仿宋_GB2312"/>
          <w:kern w:val="0"/>
          <w:sz w:val="32"/>
          <w:szCs w:val="32"/>
        </w:rPr>
        <w:t>，我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局</w:t>
      </w:r>
      <w:r>
        <w:rPr>
          <w:rFonts w:ascii="仿宋_GB2312" w:hAnsi="仿宋_GB2312" w:eastAsia="仿宋_GB2312"/>
          <w:kern w:val="0"/>
          <w:sz w:val="32"/>
          <w:szCs w:val="32"/>
        </w:rPr>
        <w:t>内设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股</w:t>
      </w:r>
      <w:r>
        <w:rPr>
          <w:rFonts w:ascii="仿宋_GB2312" w:hAnsi="仿宋_GB2312" w:eastAsia="仿宋_GB2312"/>
          <w:kern w:val="0"/>
          <w:sz w:val="32"/>
          <w:szCs w:val="32"/>
        </w:rPr>
        <w:t>室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 xml:space="preserve"> 12 </w:t>
      </w:r>
      <w:r>
        <w:rPr>
          <w:rFonts w:ascii="仿宋_GB2312" w:hAnsi="仿宋_GB2312" w:eastAsia="仿宋_GB2312"/>
          <w:kern w:val="0"/>
          <w:sz w:val="32"/>
          <w:szCs w:val="32"/>
        </w:rPr>
        <w:t>个，所属事业单位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 xml:space="preserve">3 </w:t>
      </w:r>
      <w:r>
        <w:rPr>
          <w:rFonts w:ascii="仿宋_GB2312" w:hAnsi="仿宋_GB2312" w:eastAsia="仿宋_GB2312"/>
          <w:kern w:val="0"/>
          <w:sz w:val="32"/>
          <w:szCs w:val="32"/>
        </w:rPr>
        <w:t>个</w:t>
      </w:r>
      <w:r>
        <w:rPr>
          <w:rFonts w:hint="eastAsia" w:ascii="宋体" w:hAnsi="宋体" w:cs="宋体"/>
          <w:kern w:val="0"/>
          <w:sz w:val="32"/>
          <w:szCs w:val="32"/>
        </w:rPr>
        <w:t>。</w:t>
      </w:r>
    </w:p>
    <w:p>
      <w:pPr>
        <w:autoSpaceDE w:val="0"/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kern w:val="0"/>
          <w:sz w:val="32"/>
          <w:szCs w:val="32"/>
        </w:rPr>
        <w:t>内</w:t>
      </w:r>
      <w:r>
        <w:rPr>
          <w:rFonts w:ascii="仿宋_GB2312" w:hAnsi="仿宋_GB2312" w:eastAsia="仿宋_GB2312"/>
          <w:sz w:val="32"/>
          <w:szCs w:val="32"/>
        </w:rPr>
        <w:t>设</w:t>
      </w:r>
      <w:r>
        <w:rPr>
          <w:rFonts w:hint="eastAsia" w:ascii="仿宋_GB2312" w:hAnsi="仿宋_GB2312" w:eastAsia="仿宋_GB2312"/>
          <w:sz w:val="32"/>
          <w:szCs w:val="32"/>
        </w:rPr>
        <w:t>股</w:t>
      </w:r>
      <w:r>
        <w:rPr>
          <w:rFonts w:ascii="仿宋_GB2312" w:hAnsi="仿宋_GB2312" w:eastAsia="仿宋_GB2312"/>
          <w:sz w:val="32"/>
          <w:szCs w:val="32"/>
        </w:rPr>
        <w:t>室分别是办公室</w:t>
      </w:r>
      <w:r>
        <w:rPr>
          <w:rFonts w:hint="eastAsia" w:ascii="仿宋_GB2312" w:hAnsi="仿宋_GB2312" w:eastAsia="仿宋_GB2312"/>
          <w:sz w:val="32"/>
          <w:szCs w:val="32"/>
        </w:rPr>
        <w:t>、行政审批服务股、信用和网络监督管理股、12315中心和价格监督检查股、知识产权和广告监督管理股、食品生产和流通安全监督管理股、药品监督管理股、特种设备安全监察股、标准质量计量股、科技和财务股、组织人事股</w:t>
      </w:r>
    </w:p>
    <w:p>
      <w:pPr>
        <w:ind w:firstLine="640" w:firstLineChars="2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kern w:val="0"/>
          <w:sz w:val="32"/>
          <w:szCs w:val="32"/>
        </w:rPr>
        <w:t>所属事业单位分别是</w:t>
      </w:r>
      <w:r>
        <w:rPr>
          <w:rFonts w:hint="eastAsia" w:ascii="仿宋" w:hAnsi="仿宋" w:eastAsia="仿宋"/>
          <w:sz w:val="32"/>
          <w:szCs w:val="32"/>
        </w:rPr>
        <w:t>南岳区市场监管综合行政执法大队、事务管理中心和区市场服务中心。其中区市场服务中心为独立核算单位。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（三）人员编制情</w:t>
      </w:r>
      <w:r>
        <w:rPr>
          <w:rFonts w:hint="eastAsia" w:ascii="宋体" w:hAnsi="宋体" w:cs="宋体"/>
          <w:b/>
          <w:sz w:val="32"/>
          <w:szCs w:val="32"/>
        </w:rPr>
        <w:t>况</w:t>
      </w:r>
    </w:p>
    <w:p>
      <w:pPr>
        <w:ind w:firstLine="640" w:firstLineChars="200"/>
        <w:rPr>
          <w:rFonts w:ascii="黑体" w:hAnsi="Times New Roman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/>
          <w:sz w:val="32"/>
          <w:szCs w:val="32"/>
        </w:rPr>
        <w:t>年末，我单位共有编制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51</w:t>
      </w:r>
      <w:r>
        <w:rPr>
          <w:sz w:val="32"/>
          <w:szCs w:val="32"/>
        </w:rPr>
        <w:t xml:space="preserve"> </w:t>
      </w:r>
      <w:r>
        <w:rPr>
          <w:rFonts w:ascii="仿宋_GB2312" w:hAnsi="仿宋_GB2312" w:eastAsia="仿宋_GB2312"/>
          <w:sz w:val="32"/>
          <w:szCs w:val="32"/>
        </w:rPr>
        <w:t>人，其中行政编制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/>
          <w:sz w:val="32"/>
          <w:szCs w:val="32"/>
        </w:rPr>
        <w:t>人，事业编制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24</w:t>
      </w:r>
      <w:r>
        <w:rPr>
          <w:sz w:val="32"/>
          <w:szCs w:val="32"/>
        </w:rPr>
        <w:t xml:space="preserve"> </w:t>
      </w:r>
      <w:r>
        <w:rPr>
          <w:rFonts w:ascii="仿宋_GB2312" w:hAnsi="仿宋_GB2312" w:eastAsia="仿宋_GB2312"/>
          <w:sz w:val="32"/>
          <w:szCs w:val="32"/>
        </w:rPr>
        <w:t>人。年末实有在职人员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39</w:t>
      </w:r>
      <w:r>
        <w:rPr>
          <w:sz w:val="32"/>
          <w:szCs w:val="32"/>
        </w:rPr>
        <w:t xml:space="preserve"> </w:t>
      </w:r>
      <w:r>
        <w:rPr>
          <w:rFonts w:ascii="仿宋_GB2312" w:hAnsi="仿宋_GB2312" w:eastAsia="仿宋_GB2312"/>
          <w:sz w:val="32"/>
          <w:szCs w:val="32"/>
        </w:rPr>
        <w:t>人，离休人员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/>
          <w:sz w:val="32"/>
          <w:szCs w:val="32"/>
        </w:rPr>
        <w:t>人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一般公共预算支出情况</w:t>
      </w:r>
    </w:p>
    <w:p>
      <w:pPr>
        <w:widowControl/>
        <w:spacing w:line="600" w:lineRule="exact"/>
        <w:ind w:firstLine="643" w:firstLineChars="200"/>
        <w:rPr>
          <w:rFonts w:ascii="楷体_GB2312" w:hAnsi="Times New Roman"/>
          <w:b/>
          <w:sz w:val="32"/>
          <w:szCs w:val="32"/>
        </w:rPr>
      </w:pPr>
      <w:r>
        <w:rPr>
          <w:rFonts w:ascii="楷体_GB2312" w:hAnsi="楷体_GB2312"/>
          <w:b/>
          <w:sz w:val="32"/>
          <w:szCs w:val="32"/>
        </w:rPr>
        <w:t>（一）基本支出情况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基本支出系保障我</w:t>
      </w:r>
      <w:r>
        <w:rPr>
          <w:rFonts w:hint="eastAsia" w:ascii="仿宋_GB2312" w:hAnsi="仿宋_GB2312" w:eastAsia="仿宋_GB2312"/>
          <w:sz w:val="32"/>
          <w:szCs w:val="32"/>
        </w:rPr>
        <w:t>局</w:t>
      </w:r>
      <w:r>
        <w:rPr>
          <w:rFonts w:ascii="仿宋_GB2312" w:hAnsi="仿宋_GB2312" w:eastAsia="仿宋_GB2312"/>
          <w:sz w:val="32"/>
          <w:szCs w:val="32"/>
        </w:rPr>
        <w:t>机构正常运转、完成日常工作任务而发生的各项支出，包括用于在职和离退休人员基本工资、津贴补贴等人员经费以及办公费、印刷费、水电费、办公设备购置等日常公用经费。</w:t>
      </w:r>
      <w:r>
        <w:rPr>
          <w:rFonts w:hint="eastAsia" w:eastAsia="仿宋_GB2312" w:cs="Calibri"/>
          <w:sz w:val="32"/>
          <w:szCs w:val="32"/>
        </w:rPr>
        <w:t>202</w:t>
      </w:r>
      <w:r>
        <w:rPr>
          <w:rFonts w:hint="eastAsia" w:eastAsia="仿宋_GB2312" w:cs="Calibri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/>
          <w:sz w:val="32"/>
          <w:szCs w:val="32"/>
        </w:rPr>
        <w:t>年基本支出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823.21</w:t>
      </w:r>
      <w:r>
        <w:rPr>
          <w:rFonts w:hint="eastAsia" w:ascii="仿宋_GB2312" w:hAnsi="仿宋_GB2312" w:eastAsia="仿宋_GB2312"/>
          <w:sz w:val="32"/>
          <w:szCs w:val="32"/>
        </w:rPr>
        <w:t>万</w:t>
      </w:r>
      <w:r>
        <w:rPr>
          <w:rFonts w:ascii="仿宋_GB2312" w:hAnsi="仿宋_GB2312" w:eastAsia="仿宋_GB2312"/>
          <w:sz w:val="32"/>
          <w:szCs w:val="32"/>
        </w:rPr>
        <w:t>元，较上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增加52.67</w:t>
      </w:r>
      <w:r>
        <w:rPr>
          <w:rFonts w:ascii="仿宋_GB2312" w:hAnsi="仿宋_GB2312" w:eastAsia="仿宋_GB2312"/>
          <w:sz w:val="32"/>
          <w:szCs w:val="32"/>
        </w:rPr>
        <w:t>万元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增加了6.4</w:t>
      </w:r>
      <w:r>
        <w:rPr>
          <w:rFonts w:hint="eastAsia" w:ascii="仿宋_GB2312" w:hAnsi="仿宋_GB2312" w:eastAsia="仿宋_GB2312"/>
          <w:sz w:val="32"/>
          <w:szCs w:val="32"/>
        </w:rPr>
        <w:t>%，主要是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由于上年部分经费支出由非财政拨款支出</w:t>
      </w:r>
      <w:r>
        <w:rPr>
          <w:rFonts w:hint="eastAsia" w:ascii="仿宋_GB2312" w:hAnsi="仿宋_GB2312" w:eastAsia="仿宋_GB2312"/>
          <w:sz w:val="32"/>
          <w:szCs w:val="32"/>
        </w:rPr>
        <w:t>，我单位厉行节约、严格把关，大力压减公用经费支出。</w:t>
      </w:r>
      <w:r>
        <w:rPr>
          <w:rFonts w:ascii="仿宋_GB2312" w:hAnsi="仿宋_GB2312" w:eastAsia="仿宋_GB2312"/>
          <w:color w:val="000000"/>
          <w:sz w:val="32"/>
          <w:szCs w:val="32"/>
        </w:rPr>
        <w:t>基本支出中人员经费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675.33</w:t>
      </w:r>
      <w:r>
        <w:rPr>
          <w:rFonts w:ascii="仿宋_GB2312" w:hAnsi="仿宋_GB2312" w:eastAsia="仿宋_GB2312"/>
          <w:color w:val="000000"/>
          <w:sz w:val="32"/>
          <w:szCs w:val="32"/>
        </w:rPr>
        <w:t>元，占基本支出的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82.04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ascii="仿宋_GB2312" w:hAns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较上年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增加5.15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增加0.62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%。</w:t>
      </w:r>
      <w:r>
        <w:rPr>
          <w:rFonts w:ascii="仿宋_GB2312" w:hAnsi="仿宋_GB2312" w:eastAsia="仿宋_GB2312"/>
          <w:color w:val="000000"/>
          <w:sz w:val="32"/>
          <w:szCs w:val="32"/>
        </w:rPr>
        <w:t>日常公用经费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147.88</w:t>
      </w:r>
      <w:r>
        <w:rPr>
          <w:rFonts w:ascii="仿宋_GB2312" w:hAnsi="仿宋_GB2312" w:eastAsia="仿宋_GB2312"/>
          <w:color w:val="000000"/>
          <w:sz w:val="32"/>
          <w:szCs w:val="32"/>
        </w:rPr>
        <w:t>元，占基本支出的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17.96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%</w:t>
      </w:r>
      <w:r>
        <w:rPr>
          <w:rFonts w:ascii="仿宋_GB2312" w:hAnsi="仿宋_GB2312" w:eastAsia="仿宋_GB2312"/>
          <w:color w:val="000000"/>
          <w:sz w:val="32"/>
          <w:szCs w:val="32"/>
        </w:rPr>
        <w:t>，较上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增加47.52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元，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增加5.7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%</w:t>
      </w:r>
      <w:r>
        <w:rPr>
          <w:rFonts w:ascii="仿宋_GB2312" w:hAnsi="仿宋_GB2312"/>
          <w:color w:val="000000"/>
          <w:sz w:val="32"/>
          <w:szCs w:val="32"/>
        </w:rPr>
        <w:t>，</w:t>
      </w:r>
      <w:r>
        <w:rPr>
          <w:rFonts w:ascii="仿宋_GB2312" w:hAnsi="仿宋_GB2312" w:eastAsia="仿宋_GB2312"/>
          <w:color w:val="000000"/>
          <w:sz w:val="32"/>
          <w:szCs w:val="32"/>
        </w:rPr>
        <w:t>主要原因是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由于上年部分经费支出由非财政拨款支出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Times New Roman"/>
          <w:b/>
          <w:sz w:val="32"/>
          <w:szCs w:val="32"/>
        </w:rPr>
      </w:pPr>
      <w:r>
        <w:rPr>
          <w:rFonts w:ascii="楷体_GB2312" w:hAnsi="楷体_GB2312"/>
          <w:b/>
          <w:sz w:val="32"/>
          <w:szCs w:val="32"/>
        </w:rPr>
        <w:t>（二）项目支出情况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项目支出系我</w:t>
      </w:r>
      <w:r>
        <w:rPr>
          <w:rFonts w:hint="eastAsia" w:ascii="仿宋_GB2312" w:hAnsi="仿宋_GB2312" w:eastAsia="仿宋_GB2312"/>
          <w:sz w:val="32"/>
          <w:szCs w:val="32"/>
        </w:rPr>
        <w:t>局</w:t>
      </w:r>
      <w:r>
        <w:rPr>
          <w:rFonts w:ascii="仿宋_GB2312" w:hAnsi="仿宋_GB2312" w:eastAsia="仿宋_GB2312"/>
          <w:sz w:val="32"/>
          <w:szCs w:val="32"/>
        </w:rPr>
        <w:t>为完成</w:t>
      </w:r>
      <w:r>
        <w:rPr>
          <w:rFonts w:hint="eastAsia" w:ascii="仿宋_GB2312" w:hAnsi="仿宋_GB2312" w:eastAsia="仿宋_GB2312"/>
          <w:sz w:val="32"/>
          <w:szCs w:val="32"/>
        </w:rPr>
        <w:t>市场监督</w:t>
      </w:r>
      <w:r>
        <w:rPr>
          <w:rFonts w:ascii="仿宋_GB2312" w:hAnsi="仿宋_GB2312" w:eastAsia="仿宋_GB2312"/>
          <w:sz w:val="32"/>
          <w:szCs w:val="32"/>
        </w:rPr>
        <w:t>管理工作而发生的支出，业务工作经费支出主要用于</w:t>
      </w:r>
      <w:r>
        <w:rPr>
          <w:rFonts w:hint="eastAsia" w:ascii="仿宋_GB2312" w:hAnsi="仿宋_GB2312" w:eastAsia="仿宋_GB2312"/>
          <w:sz w:val="32"/>
          <w:szCs w:val="32"/>
        </w:rPr>
        <w:t>食品药品管理执法、食品、药品抽样检测及样品购置、市场快速检测、农产品农药残留检测、食品药品从业人员培训、12315指挥中心运行、消费维权调解、质量强区、知识产权保护、特种设备监管等</w:t>
      </w:r>
      <w:r>
        <w:rPr>
          <w:rFonts w:ascii="仿宋_GB2312" w:hAnsi="仿宋_GB2312" w:eastAsia="仿宋_GB2312"/>
          <w:sz w:val="32"/>
          <w:szCs w:val="32"/>
        </w:rPr>
        <w:t>等方面。</w:t>
      </w:r>
      <w:r>
        <w:rPr>
          <w:rFonts w:hint="eastAsia" w:eastAsia="仿宋_GB2312" w:cs="Calibri"/>
          <w:sz w:val="32"/>
          <w:szCs w:val="32"/>
        </w:rPr>
        <w:t>202</w:t>
      </w:r>
      <w:r>
        <w:rPr>
          <w:rFonts w:hint="eastAsia" w:eastAsia="仿宋_GB2312" w:cs="Calibri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/>
          <w:sz w:val="32"/>
          <w:szCs w:val="32"/>
        </w:rPr>
        <w:t>年项目支出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302.57</w:t>
      </w:r>
      <w:r>
        <w:rPr>
          <w:rFonts w:ascii="仿宋_GB2312" w:hAnsi="仿宋_GB2312" w:eastAsia="仿宋_GB2312"/>
          <w:sz w:val="32"/>
          <w:szCs w:val="32"/>
        </w:rPr>
        <w:t>万元，比上年</w:t>
      </w:r>
      <w:r>
        <w:rPr>
          <w:rFonts w:hint="eastAsia" w:ascii="仿宋_GB2312" w:hAnsi="仿宋_GB2312" w:eastAsia="仿宋_GB2312"/>
          <w:sz w:val="32"/>
          <w:szCs w:val="32"/>
        </w:rPr>
        <w:t>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10.77</w:t>
      </w:r>
      <w:r>
        <w:rPr>
          <w:rFonts w:hint="eastAsia" w:ascii="仿宋_GB2312" w:hAnsi="仿宋_GB2312"/>
          <w:sz w:val="32"/>
          <w:szCs w:val="32"/>
        </w:rPr>
        <w:t>万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ascii="仿宋_GB2312" w:hAnsi="仿宋_GB2312"/>
          <w:sz w:val="32"/>
          <w:szCs w:val="32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主要是增加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经营性自建房经营安全工作经费</w:t>
      </w:r>
      <w:r>
        <w:rPr>
          <w:rFonts w:hint="eastAsia" w:ascii="仿宋_GB2312" w:hAnsi="仿宋_GB2312" w:eastAsia="仿宋_GB2312"/>
          <w:sz w:val="32"/>
          <w:szCs w:val="32"/>
        </w:rPr>
        <w:t>等项目。</w:t>
      </w:r>
    </w:p>
    <w:p>
      <w:pPr>
        <w:widowControl/>
        <w:spacing w:line="600" w:lineRule="exact"/>
        <w:ind w:firstLine="321" w:firstLineChars="100"/>
        <w:rPr>
          <w:rFonts w:hint="eastAsia" w:ascii="楷体_GB2312" w:hAnsi="楷体_GB2312"/>
          <w:b/>
          <w:sz w:val="32"/>
          <w:szCs w:val="32"/>
        </w:rPr>
      </w:pPr>
      <w:r>
        <w:rPr>
          <w:rFonts w:hint="eastAsia" w:ascii="楷体_GB2312" w:hAnsi="楷体_GB2312"/>
          <w:b/>
          <w:sz w:val="32"/>
          <w:szCs w:val="32"/>
        </w:rPr>
        <w:t>（三）本年“三公经费”。</w:t>
      </w:r>
    </w:p>
    <w:p>
      <w:pPr>
        <w:snapToGrid w:val="0"/>
        <w:spacing w:line="520" w:lineRule="exact"/>
        <w:ind w:firstLine="320" w:firstLineChars="1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“三公”经费支出情况：“三公”经费</w:t>
      </w:r>
      <w:r>
        <w:rPr>
          <w:rFonts w:hint="eastAsia" w:ascii="仿宋_GB2312" w:hAnsi="仿宋_GB2312" w:eastAsia="仿宋_GB2312"/>
          <w:sz w:val="32"/>
          <w:szCs w:val="32"/>
        </w:rPr>
        <w:t>年初预算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万元。</w:t>
      </w:r>
    </w:p>
    <w:p>
      <w:pPr>
        <w:snapToGrid w:val="0"/>
        <w:spacing w:line="520" w:lineRule="exact"/>
        <w:ind w:firstLine="320" w:firstLineChars="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“三公”经费决</w:t>
      </w:r>
      <w:r>
        <w:rPr>
          <w:rFonts w:hint="eastAsia" w:ascii="仿宋_GB2312" w:hAnsi="仿宋_GB2312" w:eastAsia="仿宋_GB2312"/>
          <w:sz w:val="32"/>
          <w:szCs w:val="32"/>
        </w:rPr>
        <w:t>算数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29.69</w:t>
      </w:r>
      <w:r>
        <w:rPr>
          <w:rFonts w:hint="eastAsia" w:ascii="仿宋_GB2312" w:hAnsi="仿宋_GB2312" w:eastAsia="仿宋_GB2312"/>
          <w:sz w:val="32"/>
          <w:szCs w:val="32"/>
        </w:rPr>
        <w:t>万元，其中公务接待费决算金额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4.67</w:t>
      </w:r>
      <w:r>
        <w:rPr>
          <w:rFonts w:hint="eastAsia" w:ascii="仿宋_GB2312" w:hAnsi="仿宋_GB2312" w:eastAsia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77.83</w:t>
      </w:r>
      <w:r>
        <w:rPr>
          <w:rFonts w:hint="eastAsia" w:ascii="仿宋_GB2312" w:hAnsi="仿宋_GB2312" w:eastAsia="仿宋_GB2312"/>
          <w:sz w:val="32"/>
          <w:szCs w:val="32"/>
        </w:rPr>
        <w:t>%，压缩支出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1.33</w:t>
      </w:r>
      <w:r>
        <w:rPr>
          <w:rFonts w:hint="eastAsia" w:ascii="仿宋_GB2312" w:hAnsi="仿宋_GB2312" w:eastAsia="仿宋_GB2312"/>
          <w:sz w:val="32"/>
          <w:szCs w:val="32"/>
        </w:rPr>
        <w:t>万元。较上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年减少1.39</w:t>
      </w:r>
      <w:r>
        <w:rPr>
          <w:rFonts w:hint="eastAsia" w:ascii="仿宋_GB2312" w:hAnsi="仿宋_GB2312" w:eastAsia="仿宋_GB2312"/>
          <w:sz w:val="32"/>
          <w:szCs w:val="32"/>
        </w:rPr>
        <w:t>万元，主要是遵守规定，压减支出。</w:t>
      </w:r>
      <w:r>
        <w:rPr>
          <w:rFonts w:hint="eastAsia" w:ascii="仿宋_GB2312" w:hAnsi="仿宋" w:eastAsia="仿宋_GB2312"/>
          <w:sz w:val="32"/>
          <w:szCs w:val="32"/>
        </w:rPr>
        <w:t>年末公务用车保有量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台，无因公出国（境）团组数及人数，公务接待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" w:eastAsia="仿宋_GB2312"/>
          <w:sz w:val="32"/>
          <w:szCs w:val="32"/>
        </w:rPr>
        <w:t>批次，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345</w:t>
      </w:r>
      <w:r>
        <w:rPr>
          <w:rFonts w:hint="eastAsia" w:ascii="仿宋_GB2312" w:hAnsi="仿宋" w:eastAsia="仿宋_GB2312"/>
          <w:sz w:val="32"/>
          <w:szCs w:val="32"/>
        </w:rPr>
        <w:t>人。是根据工作需要，政府划拨3辆执法执勤车辆，公务用车购置及运行经费支出25.02万元</w:t>
      </w:r>
    </w:p>
    <w:p>
      <w:pPr>
        <w:rPr>
          <w:rFonts w:hint="eastAsia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（二）当年取得的主要事业成效。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1、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守牢四大安全底线。</w:t>
      </w:r>
      <w:r>
        <w:rPr>
          <w:rFonts w:hint="eastAsia" w:ascii="仿宋_GB2312" w:hAnsi="仿宋" w:eastAsia="仿宋_GB2312" w:cs="Times New Roman"/>
          <w:sz w:val="32"/>
          <w:szCs w:val="32"/>
        </w:rPr>
        <w:t>紧盯食品、药品、特种设备和产品质量安全等重点领域，深入贯彻落实省、市、区有关安全生产工作部署要求，依法监管、突出重点，深化安全隐患排查整治，从严从实抓好各项安全生产工作。全区“三品一特”安全形势持续稳定，连续五年未发生区域性、系统性安全责任事故。2024年湖南省食品安全公众满意度调查中，南岳区总分在全省排名第一。强化“校园餐”品质管控，完成校园食堂提质改造3家，投入资金22万元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 xml:space="preserve"> 2、持续优化营商环境。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着力提升企业开办便利度，探索推行“容缺+承诺制”审批方式。2024年经营主体净增长1647户，完成年度目标任务126.69%，净增企业340户，完成年度目标任务113.33%；为景区、自然保护区、水源保护地经营户提供证照办理上门咨询和绿色直通服务，多部门联审核查399户，现已为山上范围经营户办理《营业执照》116户；推动南岳里、南岳“祝融”探火太空体验馆等旅游项目落地落实，特为湖南南岳文化旅游集团有限公司降低企业注册门槛，推行“容缺+承诺制”审批方式，切实做到在项目上优先对接，在审批上优先安排，支持企业做大做强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3、深化旅游环境整治。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高效处理涉旅投诉，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受理消费者投诉2038件，下达责令整改通知书68份，累计为消费者挽回经济损失55.9万元，罚没金额共计9.57万元。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景区消费维权工作被中国消费网在全国范围内重点推介。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发布红黑榜3期，其中红榜18家，黑榜72家。圆满承接衡阳市“激发消费活力服务旅发大会”消费体验活动；持续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巩固环保香改革成果，大力开展香铺整治，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停业整顿高价香店29家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统一制作和发放环保香价格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牌，安排专人上门悬挂1200余块，扣缴不合规香烛120余车，开展门店招牌整治联合执法行动，拆除店内店外各类宣传标语、喷绘2000余块，违规门头招牌100余块。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4、加强知识产权保护。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2024年，南岳区申请取得通过专利16件，新申请商标96件，新注册商标120件。引导推荐南岳区西岭有机茶业有限公司、南岳区成怪食品有限公司2家企业申报衡阳市知识产权专项项目。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5、推进市场监管领域依法行政。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2024年，针对食品药品特种设备安全、产品质量、知识产权、反不正当竞争等重点领域开展30余项专项整治行动，立案查处125起，罚没入库金额共计69.46万。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存在的问题及原因分析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通过前述对我</w:t>
      </w:r>
      <w:r>
        <w:rPr>
          <w:rFonts w:hint="eastAsia" w:ascii="仿宋_GB2312" w:hAnsi="仿宋_GB2312" w:eastAsia="仿宋_GB2312"/>
          <w:sz w:val="32"/>
          <w:szCs w:val="32"/>
        </w:rPr>
        <w:t>局</w:t>
      </w:r>
      <w:r>
        <w:rPr>
          <w:rFonts w:ascii="仿宋_GB2312" w:hAnsi="仿宋_GB2312" w:eastAsia="仿宋_GB2312"/>
          <w:sz w:val="32"/>
          <w:szCs w:val="32"/>
        </w:rPr>
        <w:t>整体支出情况的分析，反映出目前整体支出主要在预算执行方面还存在一些问题和不足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spacing w:line="600" w:lineRule="exact"/>
        <w:ind w:firstLine="643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监管任务繁重，经费严重不足</w:t>
      </w:r>
      <w:r>
        <w:rPr>
          <w:rFonts w:ascii="楷体_GB2312" w:hAnsi="楷体_GB2312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预算编制的合理性有待提高,支出总额大于预算总额。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合并后，市场监管行政行为种类多，内容庞杂，监管对象点多面广线长、结构复杂，对于人员力量极其有限的市场监管部门而言，监管难度大大增加，执法过程中网络化、智能化取证设备缺乏，执法车辆严重不足且车辆老化现象突出；办公楼年久失修，漏水、断电现象频发；市场监管执法设备、办公楼维修改造、日常监管、临聘人员工资等经费缺口较大，严重制约了监管效能的提升，影响监管执法效果。</w:t>
      </w:r>
    </w:p>
    <w:p>
      <w:pPr>
        <w:widowControl/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</w:t>
      </w: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ascii="黑体" w:hAnsi="黑体" w:eastAsia="黑体"/>
          <w:sz w:val="32"/>
          <w:szCs w:val="32"/>
        </w:rPr>
        <w:t>下一步改进措施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针对上述存在的问题及单位整体支出管理工作的需要，拟实施的改进措施如下：</w:t>
      </w:r>
    </w:p>
    <w:p>
      <w:pPr>
        <w:widowControl/>
        <w:spacing w:line="600" w:lineRule="exact"/>
        <w:ind w:firstLine="643" w:firstLineChars="200"/>
        <w:jc w:val="lef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1、 </w:t>
      </w:r>
      <w:r>
        <w:rPr>
          <w:rFonts w:hint="eastAsia" w:ascii="Times New Roman" w:hAnsi="Times New Roman" w:eastAsia="楷体_GB2312"/>
          <w:b/>
          <w:sz w:val="32"/>
          <w:szCs w:val="32"/>
        </w:rPr>
        <w:t>细化预算编制工作，认真做好预算的编制。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进一步加强单位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，提高预算的合理性和准确。</w:t>
      </w:r>
    </w:p>
    <w:p>
      <w:pPr>
        <w:widowControl/>
        <w:spacing w:line="600" w:lineRule="exact"/>
        <w:ind w:firstLine="643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2、 </w:t>
      </w:r>
      <w:r>
        <w:rPr>
          <w:rFonts w:hint="eastAsia" w:ascii="Times New Roman" w:hAnsi="Times New Roman" w:eastAsia="楷体_GB2312"/>
          <w:b/>
          <w:sz w:val="32"/>
          <w:szCs w:val="32"/>
        </w:rPr>
        <w:t>加强财务管理，严格财务审核。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在费用报账支付时，按照预算规定的费用项目和用途进行资金使用审核、列报支付、财务核算，杜绝超支现象的发生。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强化预算管理，定期开展预算执行分析。</w:t>
      </w:r>
      <w:r>
        <w:rPr>
          <w:rFonts w:hint="eastAsia" w:eastAsia="仿宋_GB2312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施全过程中。对未启动项目及时分析原因，根据资金使用情况调整下年预算安排。</w:t>
      </w:r>
    </w:p>
    <w:p>
      <w:pPr>
        <w:pStyle w:val="2"/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南岳区市场监督管理局</w:t>
      </w:r>
    </w:p>
    <w:p>
      <w:pPr>
        <w:pStyle w:val="2"/>
        <w:ind w:firstLine="5120" w:firstLineChars="1600"/>
        <w:rPr>
          <w:rFonts w:hint="default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2025年5月27日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7882"/>
    <w:multiLevelType w:val="multilevel"/>
    <w:tmpl w:val="145D7882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9215E"/>
    <w:rsid w:val="2A59215E"/>
    <w:rsid w:val="4C435D1F"/>
    <w:rsid w:val="4EE2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2025-05-27T01:34:00Z</dcterms:created>
  <dc:creator>Administrator</dc:creator>
  <cp:lastModifiedBy>Administrator</cp:lastModifiedBy>
  <dcterms:modified xsi:type="dcterms:W3CDTF">2025-05-27T02:41:02Z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