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OLE_LINK6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南岳区市场监督管理局2024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部经费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专项资金绩效自评报告</w:t>
      </w:r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开展2024年度区预算单位绩效自评和部门评价的通知》（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岳财字〔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2025〕14号）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的文件精神，我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2024年绩效管理专项资金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支出进行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了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绩效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自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评，现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（一）部门经费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财政专项资金下达预算及项目情况。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市场监督管理局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2024年绩效管理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项目资金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预算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70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万元，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列入全区性项目中的部门经费专项，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用于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市场监督管理、食药品从业人员培训、12315运行知识产权保护等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项目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年初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目标设定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eastAsia="zh-CN"/>
        </w:rPr>
        <w:t>情况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1" w:name="OLE_LINK4"/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1、数量指标：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打击传销、查无大于等于100批次；价格收费检查大于等于60次；检查市场、食品、药品大于等于180家；旅游红黑榜发布等于2次；查办食品药品违法案件大于等于10批。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2、质量指标：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各项工作完成率等于100%。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3、时效指标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：工作完成及时率等于100%。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4、社会效益指标：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持续优化营商环境提高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5、可持续影响指标：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全区旅游环境提升。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6、满意度指标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：社会公众评价满意度大于等于95%。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7、经济成本指标：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部门工作经费等于70万元。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的绩效评价工作小组。办公室负责评价工作的组织协调、业务指导和监管督办，有序推进2024年度绩效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本项目2024年财政实际下拨了70万元。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本项目实际支付51.9万元，用于市场监督管理、食药品从业人员培训、12315运行知识产权保护等。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2" w:name="OLE_LINK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包括产出数量、质量、时效、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成本指标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的全年实际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数量指标：打击传销、查无大于等于100批次；价格收费检查大于等于60次；检查市场、食品、药品大于等于180家；旅游红黑榜发布等于2次；查办食品药品违法案件大于等于10批，完成了年初目标，无偏差。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2、质量指标：各项工作完成率等于100%，完成了年初目标，无偏差。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3、时效指标：工作完成及时率等于100%，完成了年初目标，无偏差。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4、经济成本指标：部门工作经费等于51.9万元，完成度74.14%，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偏离原因：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过紧日子，压缩一般性支出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所产生的经济效益、社会效益、</w:t>
      </w:r>
      <w:bookmarkStart w:id="3" w:name="OLE_LINK2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可持续影响</w:t>
      </w:r>
      <w:bookmarkEnd w:id="3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社会效益指标：持续优化营商环境提高，完成了年初目标，无偏差。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可持续影响指标：全区旅游环境得到提升，完成了年初目标，无偏差。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满意度指标：社会公众评价满意度等于95%，完成了年初目标，无偏差。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（一）年底实际完成情况较年初计划偏差的原因：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资金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实际支付率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74.14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%，与年初目标相差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25.86%。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kern w:val="2"/>
          <w:sz w:val="32"/>
          <w:szCs w:val="30"/>
          <w:lang w:val="en-US" w:eastAsia="zh-CN"/>
        </w:rPr>
        <w:t>偏离原因：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过紧日子，压缩一般性支出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下一步整改措施：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 xml:space="preserve">  1、提高资金分配效率；2、优化管理与调拨；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单位根据财政要求已开展整体绩效自评和专项绩效自评，两项自评表通过财政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，并上传整体绩效自评报告和专项绩效自评报告，并通过预决算公开平台同步上传至单位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2024年部门决算公开作为附件予以公开。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南岳区市场监督管事局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2025年5月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 日</w:t>
      </w:r>
    </w:p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9B27"/>
    <w:multiLevelType w:val="singleLevel"/>
    <w:tmpl w:val="41EB9B2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0E8061"/>
    <w:multiLevelType w:val="singleLevel"/>
    <w:tmpl w:val="560E80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102E7D29"/>
    <w:rsid w:val="15342585"/>
    <w:rsid w:val="1C99058F"/>
    <w:rsid w:val="2FD607DF"/>
    <w:rsid w:val="309B72AE"/>
    <w:rsid w:val="515F3303"/>
    <w:rsid w:val="5277131C"/>
    <w:rsid w:val="5FAA614F"/>
    <w:rsid w:val="69955DFB"/>
    <w:rsid w:val="6B290AD6"/>
    <w:rsid w:val="76ED5908"/>
    <w:rsid w:val="7A2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3822</Words>
  <Characters>4069</Characters>
  <Lines>0</Lines>
  <Paragraphs>0</Paragraphs>
  <TotalTime>0</TotalTime>
  <ScaleCrop>false</ScaleCrop>
  <LinksUpToDate>false</LinksUpToDate>
  <CharactersWithSpaces>4071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Administrator</cp:lastModifiedBy>
  <cp:lastPrinted>2025-05-23T08:02:00Z</cp:lastPrinted>
  <dcterms:modified xsi:type="dcterms:W3CDTF">2025-06-06T07:51:48Z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6E24C7210A49401EB3942FA4A2E77C09_13</vt:lpwstr>
  </property>
</Properties>
</file>