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小标宋简体" w:cs="Times New Roman"/>
          <w:kern w:val="2"/>
          <w:sz w:val="44"/>
          <w:szCs w:val="44"/>
          <w:lang w:val="en-US" w:eastAsia="zh-CN"/>
        </w:rPr>
      </w:pPr>
      <w:r>
        <w:rPr>
          <w:rFonts w:hint="default" w:ascii="Times New Roman" w:hAnsi="Times New Roman" w:eastAsia="黑体" w:cs="Times New Roman"/>
          <w:kern w:val="2"/>
          <w:sz w:val="32"/>
          <w:szCs w:val="32"/>
          <w:lang w:eastAsia="zh-CN"/>
        </w:rPr>
        <w:t>附件</w:t>
      </w:r>
      <w:r>
        <w:rPr>
          <w:rFonts w:hint="default" w:ascii="Times New Roman" w:hAnsi="Times New Roman" w:eastAsia="黑体" w:cs="Times New Roman"/>
          <w:kern w:val="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rPr>
      </w:pPr>
      <w:bookmarkStart w:id="0" w:name="OLE_LINK6"/>
      <w:r>
        <w:rPr>
          <w:rFonts w:hint="eastAsia" w:ascii="Times New Roman" w:hAnsi="Times New Roman" w:eastAsia="方正小标宋简体" w:cs="Times New Roman"/>
          <w:kern w:val="2"/>
          <w:sz w:val="44"/>
          <w:szCs w:val="44"/>
          <w:lang w:val="en-US" w:eastAsia="zh-CN"/>
        </w:rPr>
        <w:t>市场服务中心2024年三大市场保洁经费</w:t>
      </w:r>
      <w:r>
        <w:rPr>
          <w:rFonts w:hint="default" w:ascii="Times New Roman" w:hAnsi="Times New Roman" w:eastAsia="方正小标宋简体" w:cs="Times New Roman"/>
          <w:kern w:val="2"/>
          <w:sz w:val="44"/>
          <w:szCs w:val="44"/>
          <w:lang w:val="en-US" w:eastAsia="zh-CN"/>
        </w:rPr>
        <w:t>专项资金绩效自评报告</w:t>
      </w:r>
    </w:p>
    <w:bookmarkEnd w:id="0"/>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（参考提纲）</w:t>
      </w:r>
    </w:p>
    <w:p>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 w:cs="Times New Roman"/>
          <w:kern w:val="2"/>
          <w:sz w:val="32"/>
          <w:szCs w:val="32"/>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eastAsia="仿宋" w:cs="仿宋"/>
          <w:color w:val="auto"/>
          <w:sz w:val="32"/>
          <w:szCs w:val="30"/>
          <w:shd w:val="clear" w:color="auto" w:fill="FFFFFF"/>
          <w:lang w:val="en-US" w:eastAsia="zh-CN"/>
        </w:rPr>
        <w:t>单位</w:t>
      </w:r>
      <w:r>
        <w:rPr>
          <w:rFonts w:hint="eastAsia" w:ascii="仿宋" w:hAnsi="仿宋" w:eastAsia="仿宋" w:cs="仿宋"/>
          <w:color w:val="auto"/>
          <w:sz w:val="32"/>
          <w:szCs w:val="30"/>
          <w:shd w:val="clear" w:color="auto" w:fill="FFFFFF"/>
        </w:rPr>
        <w:t>对</w:t>
      </w:r>
      <w:r>
        <w:rPr>
          <w:rFonts w:hint="eastAsia" w:ascii="仿宋" w:hAnsi="仿宋" w:eastAsia="仿宋" w:cs="仿宋"/>
          <w:color w:val="auto"/>
          <w:sz w:val="32"/>
          <w:szCs w:val="30"/>
          <w:shd w:val="clear" w:color="auto" w:fill="FFFFFF"/>
          <w:lang w:val="en-US" w:eastAsia="zh-CN"/>
        </w:rPr>
        <w:t>2024年绩效管理专项资金</w:t>
      </w:r>
      <w:r>
        <w:rPr>
          <w:rFonts w:hint="eastAsia" w:eastAsia="仿宋" w:cs="仿宋"/>
          <w:color w:val="auto"/>
          <w:sz w:val="32"/>
          <w:szCs w:val="30"/>
          <w:shd w:val="clear" w:color="auto" w:fill="FFFFFF"/>
          <w:lang w:val="en-US" w:eastAsia="zh-CN"/>
        </w:rPr>
        <w:t>项目</w:t>
      </w:r>
      <w:r>
        <w:rPr>
          <w:rFonts w:hint="eastAsia" w:ascii="仿宋" w:hAnsi="仿宋" w:eastAsia="仿宋" w:cs="仿宋"/>
          <w:color w:val="auto"/>
          <w:sz w:val="32"/>
          <w:szCs w:val="30"/>
          <w:shd w:val="clear" w:color="auto" w:fill="FFFFFF"/>
        </w:rPr>
        <w:t>支出进行了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一、绩效目标解下达情况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rPr>
        <w:t>（一）</w:t>
      </w:r>
      <w:r>
        <w:rPr>
          <w:rFonts w:hint="eastAsia" w:ascii="楷体" w:hAnsi="楷体" w:eastAsia="楷体" w:cs="楷体"/>
          <w:b/>
          <w:bCs/>
          <w:kern w:val="2"/>
          <w:sz w:val="32"/>
          <w:szCs w:val="32"/>
        </w:rPr>
        <w:t>财政专项资金下达预算及项目情况。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eastAsia="仿宋" w:cs="仿宋"/>
          <w:color w:val="auto"/>
          <w:kern w:val="0"/>
          <w:sz w:val="32"/>
          <w:szCs w:val="30"/>
          <w:shd w:val="clear" w:color="auto" w:fill="FFFFFF"/>
          <w:lang w:val="en-US" w:eastAsia="zh-CN" w:bidi="ar"/>
        </w:rPr>
        <w:t>市场服务中心</w:t>
      </w:r>
      <w:r>
        <w:rPr>
          <w:rFonts w:hint="eastAsia" w:ascii="仿宋" w:hAnsi="仿宋" w:eastAsia="仿宋" w:cs="仿宋"/>
          <w:color w:val="auto"/>
          <w:kern w:val="0"/>
          <w:sz w:val="32"/>
          <w:szCs w:val="30"/>
          <w:shd w:val="clear" w:color="auto" w:fill="FFFFFF"/>
          <w:lang w:val="en-US" w:eastAsia="zh-CN" w:bidi="ar"/>
        </w:rPr>
        <w:t>2024年绩效管理</w:t>
      </w:r>
      <w:r>
        <w:rPr>
          <w:rFonts w:hint="eastAsia" w:eastAsia="仿宋" w:cs="仿宋"/>
          <w:color w:val="auto"/>
          <w:kern w:val="0"/>
          <w:sz w:val="32"/>
          <w:szCs w:val="30"/>
          <w:shd w:val="clear" w:color="auto" w:fill="FFFFFF"/>
          <w:lang w:val="en-US" w:eastAsia="zh-CN" w:bidi="ar"/>
        </w:rPr>
        <w:t>项目资金</w:t>
      </w:r>
      <w:r>
        <w:rPr>
          <w:rFonts w:hint="eastAsia" w:ascii="仿宋" w:hAnsi="仿宋" w:eastAsia="仿宋" w:cs="仿宋"/>
          <w:color w:val="auto"/>
          <w:kern w:val="0"/>
          <w:sz w:val="32"/>
          <w:szCs w:val="30"/>
          <w:shd w:val="clear" w:color="auto" w:fill="FFFFFF"/>
          <w:lang w:val="en-US" w:eastAsia="zh-CN" w:bidi="ar"/>
        </w:rPr>
        <w:t>预算2</w:t>
      </w:r>
      <w:r>
        <w:rPr>
          <w:rFonts w:hint="eastAsia" w:eastAsia="仿宋" w:cs="仿宋"/>
          <w:color w:val="auto"/>
          <w:kern w:val="0"/>
          <w:sz w:val="32"/>
          <w:szCs w:val="30"/>
          <w:shd w:val="clear" w:color="auto" w:fill="FFFFFF"/>
          <w:lang w:val="en-US" w:eastAsia="zh-CN" w:bidi="ar"/>
        </w:rPr>
        <w:t>3</w:t>
      </w:r>
      <w:r>
        <w:rPr>
          <w:rFonts w:hint="eastAsia" w:ascii="仿宋" w:hAnsi="仿宋" w:eastAsia="仿宋" w:cs="仿宋"/>
          <w:color w:val="auto"/>
          <w:kern w:val="0"/>
          <w:sz w:val="32"/>
          <w:szCs w:val="30"/>
          <w:shd w:val="clear" w:color="auto" w:fill="FFFFFF"/>
          <w:lang w:val="en-US" w:eastAsia="zh-CN" w:bidi="ar"/>
        </w:rPr>
        <w:t>万元，</w:t>
      </w:r>
      <w:r>
        <w:rPr>
          <w:rFonts w:hint="eastAsia" w:eastAsia="仿宋" w:cs="仿宋"/>
          <w:color w:val="auto"/>
          <w:kern w:val="0"/>
          <w:sz w:val="32"/>
          <w:szCs w:val="30"/>
          <w:shd w:val="clear" w:color="auto" w:fill="FFFFFF"/>
          <w:lang w:val="en-US" w:eastAsia="zh-CN" w:bidi="ar"/>
        </w:rPr>
        <w:t>列入全区性项目中的市场保洁经费专项，</w:t>
      </w:r>
      <w:r>
        <w:rPr>
          <w:rFonts w:hint="eastAsia" w:ascii="仿宋" w:hAnsi="仿宋" w:eastAsia="仿宋" w:cs="仿宋"/>
          <w:color w:val="auto"/>
          <w:kern w:val="0"/>
          <w:sz w:val="32"/>
          <w:szCs w:val="30"/>
          <w:shd w:val="clear" w:color="auto" w:fill="FFFFFF"/>
          <w:lang w:val="en-US" w:eastAsia="zh-CN" w:bidi="ar"/>
        </w:rPr>
        <w:t>用于</w:t>
      </w:r>
      <w:r>
        <w:rPr>
          <w:rFonts w:hint="eastAsia" w:eastAsia="仿宋" w:cs="仿宋"/>
          <w:color w:val="auto"/>
          <w:kern w:val="0"/>
          <w:sz w:val="32"/>
          <w:szCs w:val="30"/>
          <w:shd w:val="clear" w:color="auto" w:fill="FFFFFF"/>
          <w:lang w:val="en-US" w:eastAsia="zh-CN" w:bidi="ar"/>
        </w:rPr>
        <w:t>三个市场的卫生保洁、营造清洁的购物环境，加强对赶集的规范</w:t>
      </w:r>
      <w:r>
        <w:rPr>
          <w:rFonts w:hint="eastAsia" w:ascii="仿宋" w:hAnsi="仿宋" w:eastAsia="仿宋" w:cs="仿宋"/>
          <w:color w:val="auto"/>
          <w:kern w:val="0"/>
          <w:sz w:val="32"/>
          <w:szCs w:val="30"/>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rPr>
      </w:pPr>
      <w:r>
        <w:rPr>
          <w:rFonts w:hint="eastAsia" w:ascii="楷体" w:hAnsi="楷体" w:eastAsia="楷体" w:cs="楷体"/>
          <w:b/>
          <w:bCs/>
          <w:kern w:val="2"/>
          <w:sz w:val="32"/>
          <w:szCs w:val="32"/>
          <w:lang w:val="en-US" w:eastAsia="zh-CN"/>
        </w:rPr>
        <w:t>（二）</w:t>
      </w:r>
      <w:r>
        <w:rPr>
          <w:rFonts w:hint="eastAsia" w:ascii="楷体" w:hAnsi="楷体" w:eastAsia="楷体" w:cs="楷体"/>
          <w:b/>
          <w:bCs/>
          <w:kern w:val="2"/>
          <w:sz w:val="32"/>
          <w:szCs w:val="32"/>
        </w:rPr>
        <w:t>项目</w:t>
      </w:r>
      <w:r>
        <w:rPr>
          <w:rFonts w:hint="eastAsia" w:ascii="楷体" w:hAnsi="楷体" w:eastAsia="楷体" w:cs="楷体"/>
          <w:b/>
          <w:bCs/>
          <w:kern w:val="2"/>
          <w:sz w:val="32"/>
          <w:szCs w:val="32"/>
          <w:lang w:val="en-US" w:eastAsia="zh-CN"/>
        </w:rPr>
        <w:t>年初</w:t>
      </w:r>
      <w:r>
        <w:rPr>
          <w:rFonts w:hint="eastAsia" w:ascii="楷体" w:hAnsi="楷体" w:eastAsia="楷体" w:cs="楷体"/>
          <w:b/>
          <w:bCs/>
          <w:kern w:val="2"/>
          <w:sz w:val="32"/>
          <w:szCs w:val="32"/>
        </w:rPr>
        <w:t>设定</w:t>
      </w:r>
      <w:r>
        <w:rPr>
          <w:rFonts w:hint="eastAsia" w:ascii="楷体" w:hAnsi="楷体" w:eastAsia="楷体" w:cs="楷体"/>
          <w:b/>
          <w:bCs/>
          <w:kern w:val="2"/>
          <w:sz w:val="32"/>
          <w:szCs w:val="32"/>
          <w:lang w:eastAsia="zh-CN"/>
        </w:rPr>
        <w:t>情况</w:t>
      </w:r>
      <w:r>
        <w:rPr>
          <w:rFonts w:hint="eastAsia" w:ascii="楷体" w:hAnsi="楷体" w:eastAsia="楷体" w:cs="楷体"/>
          <w:b/>
          <w:bCs/>
          <w:kern w:val="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lang w:val="en-US" w:eastAsia="zh-CN"/>
        </w:rPr>
      </w:pPr>
      <w:bookmarkStart w:id="1" w:name="OLE_LINK4"/>
      <w:r>
        <w:rPr>
          <w:rFonts w:hint="eastAsia" w:ascii="Times New Roman" w:hAnsi="Times New Roman" w:eastAsia="仿宋" w:cs="Times New Roman"/>
          <w:b/>
          <w:bCs/>
          <w:kern w:val="2"/>
          <w:sz w:val="32"/>
          <w:szCs w:val="32"/>
          <w:lang w:val="en-US" w:eastAsia="zh-CN"/>
        </w:rPr>
        <w:t>1、数量指标：</w:t>
      </w:r>
      <w:r>
        <w:rPr>
          <w:rFonts w:hint="eastAsia" w:eastAsia="仿宋" w:cs="仿宋"/>
          <w:color w:val="auto"/>
          <w:kern w:val="0"/>
          <w:sz w:val="32"/>
          <w:szCs w:val="30"/>
          <w:shd w:val="clear" w:color="auto" w:fill="FFFFFF"/>
          <w:lang w:val="en-US" w:eastAsia="zh-CN" w:bidi="ar"/>
        </w:rPr>
        <w:t>三个市场及周边保洁面积等于26000平方米；清理违规物品及垃圾数量大于等于130吨80车。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2、质量指标：</w:t>
      </w:r>
      <w:r>
        <w:rPr>
          <w:rFonts w:hint="eastAsia" w:ascii="Times New Roman" w:hAnsi="Times New Roman" w:eastAsia="仿宋" w:cs="Times New Roman"/>
          <w:kern w:val="2"/>
          <w:sz w:val="32"/>
          <w:szCs w:val="32"/>
          <w:lang w:val="en-US" w:eastAsia="zh-CN"/>
        </w:rPr>
        <w:t>卫生清理率达到日产日清。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3、时效指标</w:t>
      </w:r>
      <w:r>
        <w:rPr>
          <w:rFonts w:hint="eastAsia" w:ascii="Times New Roman" w:hAnsi="Times New Roman" w:eastAsia="仿宋" w:cs="Times New Roman"/>
          <w:kern w:val="2"/>
          <w:sz w:val="32"/>
          <w:szCs w:val="32"/>
          <w:lang w:val="en-US" w:eastAsia="zh-CN"/>
        </w:rPr>
        <w:t>：垃圾处理及时、市场纠纷处理及时大于等于95%。</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4、经济效益指标：</w:t>
      </w:r>
      <w:r>
        <w:rPr>
          <w:rFonts w:hint="eastAsia" w:ascii="Times New Roman" w:hAnsi="Times New Roman" w:eastAsia="仿宋" w:cs="Times New Roman"/>
          <w:kern w:val="2"/>
          <w:sz w:val="32"/>
          <w:szCs w:val="32"/>
          <w:lang w:val="en-US" w:eastAsia="zh-CN"/>
        </w:rPr>
        <w:t>市场持续发展。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5、社会效益指标：</w:t>
      </w:r>
      <w:r>
        <w:rPr>
          <w:rFonts w:hint="eastAsia" w:ascii="Times New Roman" w:hAnsi="Times New Roman" w:eastAsia="仿宋" w:cs="Times New Roman"/>
          <w:kern w:val="2"/>
          <w:sz w:val="32"/>
          <w:szCs w:val="32"/>
          <w:lang w:val="en-US" w:eastAsia="zh-CN"/>
        </w:rPr>
        <w:t>市场规范管理，公众投诉下降，保持市场稳定。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6、生态效益指标：</w:t>
      </w:r>
      <w:r>
        <w:rPr>
          <w:rFonts w:hint="eastAsia" w:ascii="Times New Roman" w:hAnsi="Times New Roman" w:eastAsia="仿宋" w:cs="Times New Roman"/>
          <w:kern w:val="2"/>
          <w:sz w:val="32"/>
          <w:szCs w:val="32"/>
          <w:lang w:val="en-US" w:eastAsia="zh-CN"/>
        </w:rPr>
        <w:t>明显改善市场经营环境和购物环境。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7、满意度指标</w:t>
      </w:r>
      <w:r>
        <w:rPr>
          <w:rFonts w:hint="eastAsia" w:ascii="Times New Roman" w:hAnsi="Times New Roman" w:eastAsia="仿宋" w:cs="Times New Roman"/>
          <w:kern w:val="2"/>
          <w:sz w:val="32"/>
          <w:szCs w:val="32"/>
          <w:lang w:val="en-US" w:eastAsia="zh-CN"/>
        </w:rPr>
        <w:t>：市场经营户、消费者满意度大于等于95%。</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8、经济成本指标：</w:t>
      </w:r>
      <w:r>
        <w:rPr>
          <w:rFonts w:hint="eastAsia" w:ascii="Times New Roman" w:hAnsi="Times New Roman" w:eastAsia="仿宋" w:cs="Times New Roman"/>
          <w:kern w:val="2"/>
          <w:sz w:val="32"/>
          <w:szCs w:val="32"/>
          <w:lang w:val="en-US" w:eastAsia="zh-CN"/>
        </w:rPr>
        <w:t>项目经费不超过23万元。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9、生态环境成本指标：</w:t>
      </w:r>
      <w:r>
        <w:rPr>
          <w:rFonts w:hint="eastAsia" w:ascii="Times New Roman" w:hAnsi="Times New Roman" w:eastAsia="仿宋" w:cs="Times New Roman"/>
          <w:kern w:val="2"/>
          <w:sz w:val="32"/>
          <w:szCs w:val="32"/>
          <w:lang w:val="en-US" w:eastAsia="zh-CN"/>
        </w:rPr>
        <w:t>明显改善市场经营、购物环境。</w:t>
      </w:r>
    </w:p>
    <w:bookmarkEnd w:id="1"/>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根据财政绩效评价工作要求，单位加强组织领导，明确工作要求，成立了由</w:t>
      </w:r>
      <w:r>
        <w:rPr>
          <w:rFonts w:hint="eastAsia" w:ascii="Times New Roman" w:hAnsi="Times New Roman" w:eastAsia="仿宋" w:cs="Times New Roman"/>
          <w:kern w:val="2"/>
          <w:sz w:val="32"/>
          <w:szCs w:val="32"/>
          <w:lang w:val="en-US" w:eastAsia="zh-CN"/>
        </w:rPr>
        <w:t>单位财务室</w:t>
      </w:r>
      <w:r>
        <w:rPr>
          <w:rFonts w:hint="default" w:ascii="Times New Roman" w:hAnsi="Times New Roman" w:eastAsia="仿宋" w:cs="Times New Roman"/>
          <w:kern w:val="2"/>
          <w:sz w:val="32"/>
          <w:szCs w:val="32"/>
        </w:rPr>
        <w:t>牵头，相关部门人员协助配合的绩效评价工作小组，有序推进2024年度绩效评价工作。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三、绩效目标自评完成情况分析</w:t>
      </w:r>
      <w:bookmarkStart w:id="4" w:name="_GoBack"/>
      <w:bookmarkEnd w:id="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1.</w:t>
      </w:r>
      <w:r>
        <w:rPr>
          <w:rFonts w:hint="default" w:ascii="Times New Roman" w:hAnsi="Times New Roman" w:eastAsia="仿宋" w:cs="Times New Roman"/>
          <w:b/>
          <w:bCs/>
          <w:kern w:val="2"/>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本项目2024年财政实际下拨了23万元。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2.</w:t>
      </w:r>
      <w:r>
        <w:rPr>
          <w:rFonts w:hint="default" w:ascii="Times New Roman" w:hAnsi="Times New Roman" w:eastAsia="仿宋" w:cs="Times New Roman"/>
          <w:b/>
          <w:bCs/>
          <w:kern w:val="2"/>
          <w:sz w:val="32"/>
          <w:szCs w:val="32"/>
        </w:rPr>
        <w:t>项目资金执行情况分析。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本项目实际支付16.2万元，用于市场保洁人员工资、水费、电费等。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3.</w:t>
      </w:r>
      <w:r>
        <w:rPr>
          <w:rFonts w:hint="default" w:ascii="Times New Roman" w:hAnsi="Times New Roman" w:eastAsia="仿宋" w:cs="Times New Roman"/>
          <w:b/>
          <w:bCs/>
          <w:kern w:val="2"/>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kern w:val="2"/>
          <w:sz w:val="32"/>
          <w:szCs w:val="32"/>
          <w:lang w:val="en-US" w:eastAsia="zh-CN"/>
        </w:rPr>
      </w:pPr>
      <w:bookmarkStart w:id="2" w:name="OLE_LINK3"/>
      <w:r>
        <w:rPr>
          <w:rFonts w:hint="eastAsia" w:ascii="Times New Roman" w:hAnsi="Times New Roman" w:eastAsia="仿宋" w:cs="Times New Roman"/>
          <w:kern w:val="2"/>
          <w:sz w:val="32"/>
          <w:szCs w:val="32"/>
          <w:lang w:val="en-US" w:eastAsia="zh-CN"/>
        </w:rPr>
        <w:t>本项目支出均按照有关规章制度和项目实施完成情进行支付。并建立相关的管理制度，有专人负责，项目进行前进行集体研究讨论，项目进行时有负责人及时跟踪项目实施情况。</w:t>
      </w:r>
    </w:p>
    <w:bookmarkEnd w:id="2"/>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（二）绩效目标</w:t>
      </w:r>
      <w:r>
        <w:rPr>
          <w:rFonts w:hint="eastAsia" w:ascii="Times New Roman" w:hAnsi="Times New Roman" w:eastAsia="楷体" w:cs="Times New Roman"/>
          <w:b/>
          <w:bCs/>
          <w:kern w:val="2"/>
          <w:sz w:val="32"/>
          <w:szCs w:val="32"/>
          <w:lang w:val="en-US" w:eastAsia="zh-CN"/>
        </w:rPr>
        <w:t>实际</w:t>
      </w:r>
      <w:r>
        <w:rPr>
          <w:rFonts w:hint="default" w:ascii="Times New Roman" w:hAnsi="Times New Roman" w:eastAsia="楷体" w:cs="Times New Roman"/>
          <w:b/>
          <w:bCs/>
          <w:kern w:val="2"/>
          <w:sz w:val="32"/>
          <w:szCs w:val="32"/>
        </w:rPr>
        <w:t>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rPr>
        <w:t>1.</w:t>
      </w:r>
      <w:r>
        <w:rPr>
          <w:rFonts w:hint="eastAsia" w:ascii="仿宋" w:hAnsi="仿宋" w:eastAsia="仿宋" w:cs="仿宋"/>
          <w:b/>
          <w:bCs/>
          <w:kern w:val="2"/>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包括产出数量、质量、时效、</w:t>
      </w:r>
      <w:r>
        <w:rPr>
          <w:rFonts w:hint="eastAsia" w:ascii="Times New Roman" w:hAnsi="Times New Roman" w:eastAsia="仿宋" w:cs="Times New Roman"/>
          <w:kern w:val="2"/>
          <w:sz w:val="32"/>
          <w:szCs w:val="32"/>
          <w:lang w:val="en-US" w:eastAsia="zh-CN"/>
        </w:rPr>
        <w:t>经济</w:t>
      </w:r>
      <w:r>
        <w:rPr>
          <w:rFonts w:hint="default" w:ascii="Times New Roman" w:hAnsi="Times New Roman" w:eastAsia="仿宋" w:cs="Times New Roman"/>
          <w:kern w:val="2"/>
          <w:sz w:val="32"/>
          <w:szCs w:val="32"/>
        </w:rPr>
        <w:t>成本指标</w:t>
      </w:r>
      <w:r>
        <w:rPr>
          <w:rFonts w:hint="default" w:ascii="Times New Roman" w:hAnsi="Times New Roman" w:eastAsia="仿宋" w:cs="Times New Roman"/>
          <w:kern w:val="2"/>
          <w:sz w:val="32"/>
          <w:szCs w:val="32"/>
          <w:lang w:eastAsia="zh-CN"/>
        </w:rPr>
        <w:t>的全年实际</w:t>
      </w:r>
      <w:r>
        <w:rPr>
          <w:rFonts w:hint="default" w:ascii="Times New Roman" w:hAnsi="Times New Roman" w:eastAsia="仿宋" w:cs="Times New Roman"/>
          <w:kern w:val="2"/>
          <w:sz w:val="32"/>
          <w:szCs w:val="32"/>
        </w:rPr>
        <w:t>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1、数量指标：三个市场及周边保洁面完成了16000平方米，完成了年初目标的61.53%，因2024年6月后因政府所需将老农贸市场管理权交于南岳区城投公司；清理违规物品及垃圾数量大于130吨80车，完成了年初目标，无偏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2、质量指标：卫生清理率达到了日产日清，完成了年初目标，无偏差。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3、时效指标：垃圾处理及时、市场纠纷处理及时等于95%，完成了年初目标，无偏差。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4、经济效益指标：市场稳定持续发展，完成了年初目标，无偏差。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5、经济成本指标：项目经费不超过23万元，实际用了16.2万元，完成了年初目标，无偏差。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rPr>
        <w:t>2.</w:t>
      </w:r>
      <w:r>
        <w:rPr>
          <w:rFonts w:hint="eastAsia" w:ascii="仿宋" w:hAnsi="仿宋" w:eastAsia="仿宋" w:cs="仿宋"/>
          <w:b/>
          <w:bCs/>
          <w:kern w:val="2"/>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1、社会效益指标：市场规范管理、公众投诉下降、保持市场稳定，完成了年初目标，无偏差。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2、生态效益指标：明显改善市场经营环境和购物环境，完成了年初目标，无偏差。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3、生态环境成本指标：市场经营、购物环境得到了改善，完成了年初目标，无偏差。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cs="仿宋"/>
          <w:b/>
          <w:bCs/>
          <w:kern w:val="2"/>
          <w:sz w:val="32"/>
          <w:szCs w:val="32"/>
          <w:lang w:val="en-US" w:eastAsia="zh-CN"/>
        </w:rPr>
      </w:pPr>
      <w:r>
        <w:rPr>
          <w:rFonts w:hint="eastAsia" w:eastAsia="仿宋" w:cs="仿宋"/>
          <w:b/>
          <w:bCs/>
          <w:kern w:val="2"/>
          <w:sz w:val="32"/>
          <w:szCs w:val="32"/>
          <w:lang w:val="en-US" w:eastAsia="zh-CN"/>
        </w:rPr>
        <w:t xml:space="preserve">    </w:t>
      </w:r>
      <w:r>
        <w:rPr>
          <w:rFonts w:hint="eastAsia" w:ascii="Times New Roman" w:hAnsi="Times New Roman" w:eastAsia="仿宋" w:cs="Times New Roman"/>
          <w:kern w:val="2"/>
          <w:sz w:val="32"/>
          <w:szCs w:val="32"/>
          <w:lang w:val="en-US" w:eastAsia="zh-CN"/>
        </w:rPr>
        <w:t>满意度指标：市场经营户、消费者满意度等于95%，完成了年初目标，无偏差。</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sz w:val="32"/>
          <w:szCs w:val="30"/>
          <w:lang w:eastAsia="zh-CN"/>
        </w:rPr>
        <w:t>（一）</w:t>
      </w: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eastAsia="仿宋" w:cs="仿宋"/>
          <w:b w:val="0"/>
          <w:bCs w:val="0"/>
          <w:kern w:val="2"/>
          <w:sz w:val="32"/>
          <w:szCs w:val="30"/>
          <w:lang w:val="en-US" w:eastAsia="zh-CN"/>
        </w:rPr>
        <w:t>资金</w:t>
      </w:r>
      <w:r>
        <w:rPr>
          <w:rFonts w:hint="eastAsia" w:ascii="仿宋" w:hAnsi="仿宋" w:eastAsia="仿宋" w:cs="仿宋"/>
          <w:kern w:val="2"/>
          <w:sz w:val="32"/>
          <w:szCs w:val="30"/>
          <w:lang w:val="en-US" w:eastAsia="zh-CN"/>
        </w:rPr>
        <w:t>实际支付率</w:t>
      </w:r>
      <w:r>
        <w:rPr>
          <w:rFonts w:hint="eastAsia" w:eastAsia="仿宋" w:cs="仿宋"/>
          <w:kern w:val="2"/>
          <w:sz w:val="32"/>
          <w:szCs w:val="30"/>
          <w:lang w:val="en-US" w:eastAsia="zh-CN"/>
        </w:rPr>
        <w:t>70.43</w:t>
      </w:r>
      <w:r>
        <w:rPr>
          <w:rFonts w:hint="eastAsia" w:ascii="仿宋" w:hAnsi="仿宋" w:eastAsia="仿宋" w:cs="仿宋"/>
          <w:kern w:val="2"/>
          <w:sz w:val="32"/>
          <w:szCs w:val="30"/>
          <w:lang w:val="en-US" w:eastAsia="zh-CN"/>
        </w:rPr>
        <w:t>%，与年初目标相差</w:t>
      </w:r>
      <w:r>
        <w:rPr>
          <w:rFonts w:hint="eastAsia" w:eastAsia="仿宋" w:cs="仿宋"/>
          <w:kern w:val="2"/>
          <w:sz w:val="32"/>
          <w:szCs w:val="30"/>
          <w:lang w:val="en-US" w:eastAsia="zh-CN"/>
        </w:rPr>
        <w:t>29.57%。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eastAsia="仿宋" w:cs="仿宋"/>
          <w:b/>
          <w:bCs/>
          <w:kern w:val="2"/>
          <w:sz w:val="32"/>
          <w:szCs w:val="30"/>
          <w:lang w:val="en-US" w:eastAsia="zh-CN"/>
        </w:rPr>
      </w:pPr>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：2024年6月根据政府所需，将农贸市场管理权交于衡阳市南岳农村和城市建设投资开发有限公司，因此市场所需资金减少。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sz w:val="32"/>
          <w:szCs w:val="30"/>
          <w:lang w:eastAsia="zh-CN"/>
        </w:rPr>
        <w:t>数量指标：</w:t>
      </w:r>
      <w:r>
        <w:rPr>
          <w:rFonts w:hint="eastAsia" w:eastAsia="仿宋" w:cs="仿宋"/>
          <w:b w:val="0"/>
          <w:bCs w:val="0"/>
          <w:kern w:val="2"/>
          <w:sz w:val="32"/>
          <w:szCs w:val="30"/>
          <w:lang w:val="en-US" w:eastAsia="zh-CN"/>
        </w:rPr>
        <w:t>三个市场及周边保洁面积未达到26000平方米，实际完成16000平方米。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kern w:val="2"/>
          <w:sz w:val="32"/>
          <w:szCs w:val="30"/>
          <w:lang w:val="en-US" w:eastAsia="zh-CN"/>
        </w:rPr>
      </w:pPr>
      <w:bookmarkStart w:id="3" w:name="OLE_LINK10"/>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w:t>
      </w:r>
      <w:bookmarkEnd w:id="3"/>
      <w:r>
        <w:rPr>
          <w:rFonts w:hint="eastAsia" w:eastAsia="仿宋" w:cs="仿宋"/>
          <w:kern w:val="2"/>
          <w:sz w:val="32"/>
          <w:szCs w:val="30"/>
          <w:lang w:val="en-US" w:eastAsia="zh-CN"/>
        </w:rPr>
        <w:t>2024年6月根据政府所需，将农贸市场管理权交于衡阳市南岳农村和城市建设投资开发有限公司，因此市场清洁面积减少</w:t>
      </w:r>
      <w:r>
        <w:rPr>
          <w:rFonts w:hint="eastAsia" w:ascii="仿宋" w:hAnsi="仿宋" w:eastAsia="仿宋" w:cs="仿宋"/>
          <w:kern w:val="2"/>
          <w:sz w:val="32"/>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kern w:val="2"/>
          <w:sz w:val="32"/>
          <w:szCs w:val="30"/>
          <w:lang w:val="en-US" w:eastAsia="zh-CN"/>
        </w:rPr>
        <w:t>（三）</w:t>
      </w:r>
      <w:r>
        <w:rPr>
          <w:rFonts w:hint="eastAsia" w:ascii="楷体" w:hAnsi="楷体" w:eastAsia="楷体" w:cs="楷体"/>
          <w:b/>
          <w:bCs/>
          <w:spacing w:val="-6"/>
          <w:kern w:val="2"/>
          <w:sz w:val="32"/>
          <w:szCs w:val="30"/>
          <w:lang w:val="en-US" w:eastAsia="zh-CN"/>
        </w:rPr>
        <w:t>质量指标：</w:t>
      </w:r>
      <w:r>
        <w:rPr>
          <w:rFonts w:hint="eastAsia" w:eastAsia="仿宋" w:cs="仿宋"/>
          <w:spacing w:val="-6"/>
          <w:kern w:val="2"/>
          <w:sz w:val="32"/>
          <w:szCs w:val="30"/>
          <w:lang w:val="en-US" w:eastAsia="zh-CN"/>
        </w:rPr>
        <w:t>年底</w:t>
      </w:r>
      <w:r>
        <w:rPr>
          <w:rFonts w:hint="eastAsia" w:ascii="仿宋" w:hAnsi="仿宋" w:eastAsia="仿宋" w:cs="仿宋"/>
          <w:spacing w:val="-6"/>
          <w:kern w:val="2"/>
          <w:sz w:val="32"/>
          <w:szCs w:val="30"/>
          <w:lang w:val="en-US" w:eastAsia="zh-CN"/>
        </w:rPr>
        <w:t>完成率为</w:t>
      </w:r>
      <w:r>
        <w:rPr>
          <w:rFonts w:hint="eastAsia" w:eastAsia="仿宋" w:cs="仿宋"/>
          <w:spacing w:val="-6"/>
          <w:kern w:val="2"/>
          <w:sz w:val="32"/>
          <w:szCs w:val="30"/>
          <w:lang w:val="en-US" w:eastAsia="zh-CN"/>
        </w:rPr>
        <w:t>100%，与年初目标一致。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仿宋" w:hAnsi="仿宋" w:eastAsia="仿宋" w:cs="仿宋"/>
          <w:sz w:val="32"/>
          <w:szCs w:val="30"/>
          <w:lang w:val="en-US" w:eastAsia="zh-CN"/>
        </w:rPr>
      </w:pPr>
      <w:r>
        <w:rPr>
          <w:rFonts w:hint="eastAsia" w:ascii="楷体" w:hAnsi="楷体" w:eastAsia="楷体" w:cs="楷体"/>
          <w:b/>
          <w:bCs/>
          <w:kern w:val="2"/>
          <w:sz w:val="32"/>
          <w:szCs w:val="30"/>
          <w:lang w:val="en-US" w:eastAsia="zh-CN"/>
        </w:rPr>
        <w:t>（四）下一步改进措施：</w:t>
      </w:r>
      <w:r>
        <w:rPr>
          <w:rFonts w:hint="eastAsia" w:eastAsia="仿宋" w:cs="仿宋"/>
          <w:kern w:val="2"/>
          <w:sz w:val="32"/>
          <w:szCs w:val="30"/>
          <w:lang w:val="en-US" w:eastAsia="zh-CN"/>
        </w:rPr>
        <w:t>无，因单位机构改革，2025年并入南岳区市场监督管理局。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本单位</w:t>
      </w:r>
      <w:r>
        <w:rPr>
          <w:rFonts w:hint="eastAsia" w:ascii="仿宋" w:hAnsi="仿宋" w:eastAsia="仿宋" w:cs="仿宋"/>
          <w:kern w:val="2"/>
          <w:sz w:val="32"/>
          <w:szCs w:val="30"/>
          <w:lang w:eastAsia="zh-CN"/>
        </w:rPr>
        <w:t>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eastAsia="仿宋" w:cs="仿宋"/>
          <w:kern w:val="2"/>
          <w:sz w:val="32"/>
          <w:szCs w:val="30"/>
          <w:lang w:val="en-US" w:eastAsia="zh-CN"/>
        </w:rPr>
      </w:pPr>
      <w:r>
        <w:rPr>
          <w:rFonts w:hint="eastAsia" w:eastAsia="仿宋" w:cs="仿宋"/>
          <w:kern w:val="2"/>
          <w:sz w:val="32"/>
          <w:szCs w:val="30"/>
          <w:lang w:val="en-US" w:eastAsia="zh-CN"/>
        </w:rPr>
        <w:t>南岳区市场服务中心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2025年5月</w:t>
      </w:r>
      <w:r>
        <w:rPr>
          <w:rFonts w:hint="eastAsia" w:eastAsia="仿宋" w:cs="仿宋"/>
          <w:kern w:val="2"/>
          <w:sz w:val="32"/>
          <w:szCs w:val="30"/>
          <w:lang w:val="en-US" w:eastAsia="zh-CN"/>
        </w:rPr>
        <w:t>26</w:t>
      </w:r>
      <w:r>
        <w:rPr>
          <w:rFonts w:hint="eastAsia" w:ascii="仿宋" w:hAnsi="仿宋" w:eastAsia="仿宋" w:cs="仿宋"/>
          <w:kern w:val="2"/>
          <w:sz w:val="32"/>
          <w:szCs w:val="30"/>
          <w:lang w:val="en-US" w:eastAsia="zh-CN"/>
        </w:rPr>
        <w:t>日</w:t>
      </w: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6F8A7"/>
    <w:multiLevelType w:val="singleLevel"/>
    <w:tmpl w:val="4346F8A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jNjNDRlMjZlZDYzZmE5MWExZjA0ZTk4ODJmNjAifQ=="/>
    <w:docVar w:name="KSO_WPS_MARK_KEY" w:val="f6b21657-1afa-4df0-b1ae-16428f56192d"/>
  </w:docVars>
  <w:rsids>
    <w:rsidRoot w:val="5277131C"/>
    <w:rsid w:val="2FD607DF"/>
    <w:rsid w:val="515F3303"/>
    <w:rsid w:val="5277131C"/>
    <w:rsid w:val="6C0734CF"/>
    <w:rsid w:val="76ED5908"/>
    <w:rsid w:val="7A24483B"/>
    <w:rsid w:val="7E6E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1680"/>
    </w:pPr>
    <w:rPr>
      <w:rFonts w:ascii="Calibri" w:hAnsi="Calibri" w:eastAsia="宋体" w:cs="Times New Roman"/>
      <w:szCs w:val="22"/>
    </w:r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3822</Words>
  <Characters>4069</Characters>
  <Lines>0</Lines>
  <Paragraphs>0</Paragraphs>
  <TotalTime>2</TotalTime>
  <ScaleCrop>false</ScaleCrop>
  <LinksUpToDate>false</LinksUpToDate>
  <CharactersWithSpaces>4071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Administrator</cp:lastModifiedBy>
  <cp:lastPrinted>2025-05-23T08:02:00Z</cp:lastPrinted>
  <dcterms:modified xsi:type="dcterms:W3CDTF">2025-05-26T08:44:27Z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6E24C7210A49401EB3942FA4A2E77C09_13</vt:lpwstr>
  </property>
</Properties>
</file>