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中共南岳区委社会工作部2024年信访工作专项资金绩效自评报告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关于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开展2024年度区预算单位绩效自评和部门评价的通知》（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岳财字〔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2025〕14号）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的文件精神，我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部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2024年</w:t>
      </w:r>
      <w:r>
        <w:rPr>
          <w:rFonts w:hint="eastAsia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信访工作专项资金20万元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支出进行了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绩效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自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评，现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微软雅黑" w:hAnsi="微软雅黑" w:eastAsia="微软雅黑" w:cs="微软雅黑"/>
          <w:kern w:val="2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2"/>
          <w:sz w:val="30"/>
          <w:szCs w:val="30"/>
        </w:rPr>
        <w:t>一、绩效目标解下达情况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财政专项资金下达预算及项目情况。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2024年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信访工作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专项资金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万元，项目下拨时间为2024年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月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日，项目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主要用于我部</w:t>
      </w:r>
      <w:r>
        <w:rPr>
          <w:rFonts w:hint="eastAsia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日常开展各项信访工作的开支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年度总体目标计划完成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99.94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财政专项资金项目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年中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绩效目标设定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eastAsia="zh-CN"/>
        </w:rPr>
        <w:t>情况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。</w:t>
      </w:r>
    </w:p>
    <w:tbl>
      <w:tblPr>
        <w:tblStyle w:val="3"/>
        <w:tblW w:w="9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435"/>
        <w:gridCol w:w="1463"/>
        <w:gridCol w:w="4896"/>
        <w:gridCol w:w="1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bookmarkStart w:id="0" w:name="OLE_LINK4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专项年度绩效指标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二级指标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三级指标内容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指标值及单位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产出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指标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数量指标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召开信访工作联席会议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≥1次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《信访工作条例》暨信访法治化宣传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≥1次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 xml:space="preserve"> </w:t>
            </w: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质量指标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  <w:t>求决类初访事项一次性化解率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  <w:t>治理重复信访信访积案化解率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推进信访工作法治化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≥90%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信访事项调解协议率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≥60%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时效指标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  <w:t>信访事项及时受理率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  <w:t>信访事项按期答复率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00" w:firstLineChars="20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成本指标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仿宋"/>
                <w:bCs/>
                <w:color w:val="2B2B2B"/>
                <w:kern w:val="36"/>
                <w:sz w:val="30"/>
                <w:szCs w:val="30"/>
                <w:lang w:val="en-US" w:eastAsia="zh-CN"/>
              </w:rPr>
              <w:t>信访工作经费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30"/>
                <w:szCs w:val="30"/>
                <w:lang w:val="en-US" w:eastAsia="zh-CN"/>
              </w:rPr>
              <w:t>效益指标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社会效益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维护社会和谐稳定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有效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30"/>
                <w:szCs w:val="30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30"/>
                <w:szCs w:val="30"/>
                <w:lang w:val="en-US" w:eastAsia="zh-CN"/>
              </w:rPr>
              <w:t>指标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指标</w:t>
            </w:r>
          </w:p>
        </w:tc>
        <w:tc>
          <w:tcPr>
            <w:tcW w:w="4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信访人满意度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eastAsia="仿宋" w:cs="仿宋"/>
                <w:kern w:val="0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微软雅黑" w:hAnsi="微软雅黑" w:eastAsia="微软雅黑" w:cs="微软雅黑"/>
          <w:kern w:val="2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2"/>
          <w:sz w:val="30"/>
          <w:szCs w:val="30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根据财政绩效评价工作要求，单位加强组织领导，明确工作要求，成立了由办公室牵头，相关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组室</w:t>
      </w:r>
      <w:r>
        <w:rPr>
          <w:rFonts w:hint="eastAsia" w:ascii="仿宋" w:hAnsi="仿宋" w:eastAsia="仿宋" w:cs="仿宋"/>
          <w:kern w:val="2"/>
          <w:sz w:val="30"/>
          <w:szCs w:val="30"/>
        </w:rPr>
        <w:t>人员协助配合的绩效评价工作小组</w:t>
      </w:r>
      <w:r>
        <w:rPr>
          <w:rFonts w:hint="eastAsia" w:eastAsia="仿宋" w:cs="仿宋"/>
          <w:ker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32"/>
          <w:szCs w:val="30"/>
          <w:lang w:eastAsia="zh-CN"/>
        </w:rPr>
        <w:t>对本项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目</w:t>
      </w:r>
      <w:r>
        <w:rPr>
          <w:rFonts w:hint="eastAsia" w:ascii="仿宋" w:hAnsi="仿宋" w:eastAsia="仿宋" w:cs="仿宋"/>
          <w:kern w:val="2"/>
          <w:sz w:val="32"/>
          <w:szCs w:val="30"/>
          <w:lang w:eastAsia="zh-CN"/>
        </w:rPr>
        <w:t>年初各项指标进行绩效自</w:t>
      </w:r>
      <w:r>
        <w:rPr>
          <w:rFonts w:hint="eastAsia" w:ascii="仿宋" w:hAnsi="仿宋" w:eastAsia="仿宋" w:cs="仿宋"/>
          <w:kern w:val="2"/>
          <w:sz w:val="32"/>
          <w:szCs w:val="30"/>
        </w:rPr>
        <w:t>评</w:t>
      </w:r>
      <w:r>
        <w:rPr>
          <w:rFonts w:hint="eastAsia" w:ascii="仿宋" w:hAnsi="仿宋" w:eastAsia="仿宋" w:cs="仿宋"/>
          <w:kern w:val="2"/>
          <w:sz w:val="32"/>
          <w:szCs w:val="30"/>
          <w:lang w:eastAsia="zh-CN"/>
        </w:rPr>
        <w:t>，考核</w:t>
      </w:r>
      <w:r>
        <w:rPr>
          <w:rFonts w:hint="eastAsia" w:eastAsia="仿宋" w:cs="仿宋"/>
          <w:kern w:val="2"/>
          <w:sz w:val="32"/>
          <w:szCs w:val="30"/>
          <w:lang w:eastAsia="zh-CN"/>
        </w:rPr>
        <w:t>全年</w:t>
      </w:r>
      <w:r>
        <w:rPr>
          <w:rFonts w:hint="eastAsia" w:ascii="仿宋" w:hAnsi="仿宋" w:eastAsia="仿宋" w:cs="仿宋"/>
          <w:kern w:val="2"/>
          <w:sz w:val="32"/>
          <w:szCs w:val="30"/>
          <w:lang w:eastAsia="zh-CN"/>
        </w:rPr>
        <w:t>实际完成情况，分析产生偏差原因，提出下一步改进措施，并对各项指标完成情况进行打分。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90分以上为优秀，80-89分之间为优良，70-80分之间为中，69分以下为差。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微软雅黑" w:hAnsi="微软雅黑" w:eastAsia="微软雅黑" w:cs="微软雅黑"/>
          <w:kern w:val="2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2"/>
          <w:sz w:val="30"/>
          <w:szCs w:val="30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本项目2024年财政实际下拨了10万元。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本项目实际支付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19.88万元，其中二十届三中全会信访维稳值班经费1.27万元，信访救助金3万元，宣传及印刷资料费用3.18万元，建部所需办公桌椅、电器等4.48万元，电信网络服务费2.9万元，加班工作餐及差旅费1.16万元，办公用品及电脑耗材2万元，档案整理0.96万元，其他0.93万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bookmarkStart w:id="1" w:name="OLE_LINK3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本项目支出均按照有关规章制度和项目实施完成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情况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进行支付。并建立相关的管理制度，有专人负责，项目进行前进行集体研究讨论，项目进行时有负责人及时跟踪项目实施情况。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（二）绩效目标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实际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包括产出数量、质量、时效、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经济</w:t>
      </w:r>
      <w:r>
        <w:rPr>
          <w:rFonts w:hint="eastAsia" w:ascii="仿宋" w:hAnsi="仿宋" w:eastAsia="仿宋" w:cs="仿宋"/>
          <w:kern w:val="2"/>
          <w:sz w:val="30"/>
          <w:szCs w:val="30"/>
        </w:rPr>
        <w:t>成本指标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的全年实际</w:t>
      </w:r>
      <w:r>
        <w:rPr>
          <w:rFonts w:hint="eastAsia" w:ascii="仿宋" w:hAnsi="仿宋" w:eastAsia="仿宋" w:cs="仿宋"/>
          <w:kern w:val="2"/>
          <w:sz w:val="30"/>
          <w:szCs w:val="30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数量指标</w:t>
      </w:r>
      <w:bookmarkStart w:id="2" w:name="OLE_LINK7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：</w:t>
      </w:r>
      <w:bookmarkEnd w:id="2"/>
      <w:r>
        <w:rPr>
          <w:rFonts w:hint="eastAsia" w:eastAsia="仿宋" w:cs="仿宋"/>
          <w:b w:val="0"/>
          <w:bCs w:val="0"/>
          <w:kern w:val="2"/>
          <w:sz w:val="30"/>
          <w:szCs w:val="30"/>
          <w:lang w:val="en-US" w:eastAsia="zh-CN"/>
        </w:rPr>
        <w:t>2024年召开信访联席会议1次，开展《信访工作条例》和信访法治化宣传2次</w:t>
      </w:r>
      <w:r>
        <w:rPr>
          <w:rFonts w:hint="eastAsia" w:ascii="仿宋" w:hAnsi="仿宋" w:eastAsia="仿宋" w:cs="仿宋"/>
          <w:b w:val="0"/>
          <w:bCs w:val="0"/>
          <w:color w:val="2B2B2B"/>
          <w:kern w:val="36"/>
          <w:sz w:val="30"/>
          <w:szCs w:val="30"/>
          <w:lang w:val="en-US" w:eastAsia="zh-CN"/>
        </w:rPr>
        <w:t>，</w:t>
      </w:r>
      <w:r>
        <w:rPr>
          <w:rFonts w:hint="eastAsia" w:eastAsia="仿宋" w:cs="仿宋"/>
          <w:b w:val="0"/>
          <w:bCs w:val="0"/>
          <w:color w:val="2B2B2B"/>
          <w:kern w:val="36"/>
          <w:sz w:val="30"/>
          <w:szCs w:val="30"/>
          <w:lang w:val="en-US" w:eastAsia="zh-CN"/>
        </w:rPr>
        <w:t>完成年初目标，</w:t>
      </w:r>
      <w:r>
        <w:rPr>
          <w:rFonts w:hint="eastAsia" w:ascii="仿宋" w:hAnsi="仿宋" w:eastAsia="仿宋" w:cs="仿宋"/>
          <w:b w:val="0"/>
          <w:bCs w:val="0"/>
          <w:color w:val="2B2B2B"/>
          <w:kern w:val="36"/>
          <w:sz w:val="30"/>
          <w:szCs w:val="30"/>
          <w:lang w:val="en-US" w:eastAsia="zh-CN"/>
        </w:rPr>
        <w:t>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Cs/>
          <w:color w:val="2B2B2B"/>
          <w:kern w:val="3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质量指标：</w:t>
      </w:r>
      <w:r>
        <w:rPr>
          <w:rFonts w:hint="eastAsia" w:ascii="仿宋" w:hAnsi="仿宋" w:eastAsia="仿宋" w:cs="仿宋"/>
          <w:bCs/>
          <w:color w:val="2B2B2B"/>
          <w:kern w:val="36"/>
          <w:sz w:val="30"/>
          <w:szCs w:val="30"/>
          <w:lang w:val="en-US" w:eastAsia="zh-CN"/>
        </w:rPr>
        <w:t>求决类初访事项一次性化解率实际为96.2%，治理重复信访积案化解率实际为95.1%，</w:t>
      </w:r>
      <w:r>
        <w:rPr>
          <w:rFonts w:hint="eastAsia" w:eastAsia="仿宋" w:cs="仿宋"/>
          <w:bCs/>
          <w:color w:val="2B2B2B"/>
          <w:kern w:val="36"/>
          <w:sz w:val="30"/>
          <w:szCs w:val="30"/>
          <w:lang w:val="en-US" w:eastAsia="zh-CN"/>
        </w:rPr>
        <w:t>信访法治化推进率95%，信访事项调解协议率74.64%，</w:t>
      </w:r>
      <w:r>
        <w:rPr>
          <w:rFonts w:hint="eastAsia" w:ascii="仿宋" w:hAnsi="仿宋" w:eastAsia="仿宋" w:cs="仿宋"/>
          <w:bCs/>
          <w:color w:val="2B2B2B"/>
          <w:kern w:val="36"/>
          <w:sz w:val="30"/>
          <w:szCs w:val="30"/>
          <w:lang w:val="en-US" w:eastAsia="zh-CN"/>
        </w:rPr>
        <w:t>完成年初</w:t>
      </w:r>
      <w:r>
        <w:rPr>
          <w:rFonts w:hint="eastAsia" w:eastAsia="仿宋" w:cs="仿宋"/>
          <w:bCs/>
          <w:color w:val="2B2B2B"/>
          <w:kern w:val="36"/>
          <w:sz w:val="30"/>
          <w:szCs w:val="30"/>
          <w:lang w:val="en-US" w:eastAsia="zh-CN"/>
        </w:rPr>
        <w:t>目标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时效指标：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信访事项及时受理率实际为100%，信访事项按期答复率实际为100%，完成年初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目标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，无偏差。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成本指标：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2024年</w:t>
      </w:r>
      <w:r>
        <w:rPr>
          <w:rFonts w:hint="eastAsia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信访工作专项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开支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19.88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万元，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实际总成本控制在预算范围内。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社会效益指标：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全区社会和谐稳定向好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完成了年初的计划，无偏差。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/>
        </w:rPr>
        <w:t>满意度指标：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经回访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信访人，满意度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实际为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90.6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%，</w:t>
      </w:r>
      <w:r>
        <w:rPr>
          <w:rFonts w:hint="eastAsia" w:eastAsia="仿宋" w:cs="仿宋"/>
          <w:kern w:val="2"/>
          <w:sz w:val="30"/>
          <w:szCs w:val="30"/>
          <w:lang w:val="en-US" w:eastAsia="zh-CN"/>
        </w:rPr>
        <w:t>完成年初目标，无偏差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eastAsia="仿宋" w:cs="仿宋"/>
          <w:kern w:val="2"/>
          <w:sz w:val="32"/>
          <w:szCs w:val="30"/>
          <w:lang w:val="en-US" w:eastAsia="zh-CN"/>
        </w:rPr>
        <w:t>本项目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总体评分为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99.88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分，为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优秀。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微软雅黑" w:hAnsi="微软雅黑" w:eastAsia="微软雅黑" w:cs="微软雅黑"/>
          <w:kern w:val="2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2"/>
          <w:sz w:val="30"/>
          <w:szCs w:val="30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该项目实际完成情况与初期目标相比无偏差。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微软雅黑" w:hAnsi="微软雅黑" w:eastAsia="微软雅黑" w:cs="微软雅黑"/>
          <w:kern w:val="2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2"/>
          <w:sz w:val="30"/>
          <w:szCs w:val="30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我部根据财政要求已开展整体绩效自评和专项绩效自评，两项自评表通过财政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预算绩效管理信息系统完成，并上传整体绩效自评报告和专项绩效自评报告，并通过预决算公开平台同步上传至单位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2024年部门决算公开作为附件予以公开。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0" w:firstLineChars="21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中共南岳区委社会工作部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00" w:firstLineChars="23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2025年6月11日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69608"/>
    <w:multiLevelType w:val="singleLevel"/>
    <w:tmpl w:val="6A36960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mEwZGUxNzViZDBmY2IyY2ZhNWU2M2RhOGMxZmUifQ=="/>
    <w:docVar w:name="KSO_WPS_MARK_KEY" w:val="f6b21657-1afa-4df0-b1ae-16428f56192d"/>
  </w:docVars>
  <w:rsids>
    <w:rsidRoot w:val="5277131C"/>
    <w:rsid w:val="01F114A6"/>
    <w:rsid w:val="028C11CF"/>
    <w:rsid w:val="03A8028B"/>
    <w:rsid w:val="043C2BE0"/>
    <w:rsid w:val="059C7221"/>
    <w:rsid w:val="08CC0577"/>
    <w:rsid w:val="095C18FB"/>
    <w:rsid w:val="0AF40F7C"/>
    <w:rsid w:val="0B550CF8"/>
    <w:rsid w:val="0B78170D"/>
    <w:rsid w:val="0C4A2D6E"/>
    <w:rsid w:val="0E8C0CC4"/>
    <w:rsid w:val="199B1FCC"/>
    <w:rsid w:val="1B316C47"/>
    <w:rsid w:val="1C850D11"/>
    <w:rsid w:val="1CCC4B92"/>
    <w:rsid w:val="1F232B99"/>
    <w:rsid w:val="1F3D24B3"/>
    <w:rsid w:val="20E95D13"/>
    <w:rsid w:val="21824F16"/>
    <w:rsid w:val="22C56BB4"/>
    <w:rsid w:val="230C2D7D"/>
    <w:rsid w:val="231921B3"/>
    <w:rsid w:val="23BB239F"/>
    <w:rsid w:val="2987431B"/>
    <w:rsid w:val="29EA6657"/>
    <w:rsid w:val="2AA84549"/>
    <w:rsid w:val="2AC84BEB"/>
    <w:rsid w:val="2FD607DF"/>
    <w:rsid w:val="315E3BB3"/>
    <w:rsid w:val="32052280"/>
    <w:rsid w:val="33B703E5"/>
    <w:rsid w:val="33D20888"/>
    <w:rsid w:val="36B10C29"/>
    <w:rsid w:val="37826121"/>
    <w:rsid w:val="38CE4BD0"/>
    <w:rsid w:val="3AB26D1E"/>
    <w:rsid w:val="3B156C51"/>
    <w:rsid w:val="3C326368"/>
    <w:rsid w:val="3E495BEB"/>
    <w:rsid w:val="3FD339BE"/>
    <w:rsid w:val="400973E0"/>
    <w:rsid w:val="40D479EE"/>
    <w:rsid w:val="424F49A9"/>
    <w:rsid w:val="433429C6"/>
    <w:rsid w:val="438374A9"/>
    <w:rsid w:val="43D012C0"/>
    <w:rsid w:val="45FB5A1D"/>
    <w:rsid w:val="4601409D"/>
    <w:rsid w:val="46380A1F"/>
    <w:rsid w:val="46BD3DB9"/>
    <w:rsid w:val="4B1E4B0A"/>
    <w:rsid w:val="4D4759EB"/>
    <w:rsid w:val="4DCB03CA"/>
    <w:rsid w:val="51316796"/>
    <w:rsid w:val="514F4E6E"/>
    <w:rsid w:val="51C932EF"/>
    <w:rsid w:val="5277131C"/>
    <w:rsid w:val="54273E81"/>
    <w:rsid w:val="54817A35"/>
    <w:rsid w:val="54901A26"/>
    <w:rsid w:val="560C77D2"/>
    <w:rsid w:val="5A5F03D2"/>
    <w:rsid w:val="5CC46711"/>
    <w:rsid w:val="5D5201C0"/>
    <w:rsid w:val="5D6B1282"/>
    <w:rsid w:val="5DE846B1"/>
    <w:rsid w:val="5E0019CA"/>
    <w:rsid w:val="5E4C6F75"/>
    <w:rsid w:val="5E4F64AE"/>
    <w:rsid w:val="5E8A5738"/>
    <w:rsid w:val="5F440D45"/>
    <w:rsid w:val="5F5D4BFA"/>
    <w:rsid w:val="615A7643"/>
    <w:rsid w:val="66091638"/>
    <w:rsid w:val="68BF2482"/>
    <w:rsid w:val="69F06D97"/>
    <w:rsid w:val="6BB32772"/>
    <w:rsid w:val="6D147240"/>
    <w:rsid w:val="6EFA2466"/>
    <w:rsid w:val="6F1352D6"/>
    <w:rsid w:val="6FB62831"/>
    <w:rsid w:val="70141305"/>
    <w:rsid w:val="708852E3"/>
    <w:rsid w:val="711710AD"/>
    <w:rsid w:val="72A050D2"/>
    <w:rsid w:val="76EA1012"/>
    <w:rsid w:val="7793489A"/>
    <w:rsid w:val="794F33AE"/>
    <w:rsid w:val="797F1EE5"/>
    <w:rsid w:val="7A4A184E"/>
    <w:rsid w:val="7B226FCC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2111</Words>
  <Characters>2240</Characters>
  <Lines>0</Lines>
  <Paragraphs>0</Paragraphs>
  <TotalTime>4</TotalTime>
  <ScaleCrop>false</ScaleCrop>
  <LinksUpToDate>false</LinksUpToDate>
  <CharactersWithSpaces>2241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Administrator</cp:lastModifiedBy>
  <cp:lastPrinted>2025-05-23T08:02:00Z</cp:lastPrinted>
  <dcterms:modified xsi:type="dcterms:W3CDTF">2025-10-29T07:16:14Z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EDB314EC9C914FDEA0F25A16CC4A583E</vt:lpwstr>
  </property>
  <property fmtid="{D5CDD505-2E9C-101B-9397-08002B2CF9AE}" pid="4" name="KSOTemplateDocerSaveRecord">
    <vt:lpwstr>eyJoZGlkIjoiZjhjYWRjZDM1NDU4ZjM0NTFmODQxYjllMGRkZjNlNWQiLCJ1c2VySWQiOiI5NDg5MTgyOTkifQ==</vt:lpwstr>
  </property>
</Properties>
</file>