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45F1B">
      <w:pPr>
        <w:pStyle w:val="13"/>
        <w:keepNext w:val="0"/>
        <w:keepLines w:val="0"/>
        <w:pageBreakBefore w:val="0"/>
        <w:wordWrap/>
        <w:topLinePunct w:val="0"/>
        <w:bidi w:val="0"/>
        <w:spacing w:line="600" w:lineRule="exact"/>
        <w:ind w:right="0" w:firstLine="640" w:firstLineChars="200"/>
        <w:jc w:val="both"/>
        <w:rPr>
          <w:rFonts w:hint="default" w:ascii="Times New Roman" w:hAnsi="Times New Roman" w:eastAsia="仿宋" w:cs="Times New Roman"/>
          <w:sz w:val="32"/>
          <w:szCs w:val="32"/>
        </w:rPr>
      </w:pPr>
    </w:p>
    <w:p w14:paraId="19CD3A5A">
      <w:pPr>
        <w:pStyle w:val="13"/>
        <w:keepNext w:val="0"/>
        <w:keepLines w:val="0"/>
        <w:pageBreakBefore w:val="0"/>
        <w:wordWrap/>
        <w:topLinePunct w:val="0"/>
        <w:bidi w:val="0"/>
        <w:spacing w:line="600" w:lineRule="exact"/>
        <w:ind w:right="0" w:firstLine="640" w:firstLineChars="200"/>
        <w:jc w:val="center"/>
        <w:rPr>
          <w:rFonts w:hint="default" w:ascii="Times New Roman" w:hAnsi="Times New Roman" w:eastAsia="仿宋" w:cs="Times New Roman"/>
          <w:sz w:val="32"/>
          <w:szCs w:val="32"/>
        </w:rPr>
      </w:pPr>
    </w:p>
    <w:p w14:paraId="4CCCF229">
      <w:pPr>
        <w:pStyle w:val="13"/>
        <w:keepNext w:val="0"/>
        <w:keepLines w:val="0"/>
        <w:pageBreakBefore w:val="0"/>
        <w:wordWrap/>
        <w:topLinePunct w:val="0"/>
        <w:bidi w:val="0"/>
        <w:spacing w:line="600" w:lineRule="exact"/>
        <w:ind w:right="0" w:firstLine="640" w:firstLineChars="200"/>
        <w:jc w:val="center"/>
        <w:rPr>
          <w:rFonts w:hint="default" w:ascii="Times New Roman" w:hAnsi="Times New Roman" w:eastAsia="方正公文小标宋" w:cs="Times New Roman"/>
          <w:b w:val="0"/>
          <w:bCs w:val="0"/>
          <w:sz w:val="32"/>
          <w:szCs w:val="32"/>
        </w:rPr>
      </w:pPr>
    </w:p>
    <w:p w14:paraId="6CDE3BF7">
      <w:pPr>
        <w:pStyle w:val="13"/>
        <w:keepNext w:val="0"/>
        <w:keepLines w:val="0"/>
        <w:pageBreakBefore w:val="0"/>
        <w:wordWrap/>
        <w:topLinePunct w:val="0"/>
        <w:bidi w:val="0"/>
        <w:spacing w:line="600" w:lineRule="exact"/>
        <w:ind w:right="0" w:firstLine="640" w:firstLineChars="200"/>
        <w:jc w:val="center"/>
        <w:rPr>
          <w:rFonts w:hint="default" w:ascii="Times New Roman" w:hAnsi="Times New Roman" w:eastAsia="方正公文小标宋" w:cs="Times New Roman"/>
          <w:b w:val="0"/>
          <w:bCs w:val="0"/>
          <w:sz w:val="32"/>
          <w:szCs w:val="32"/>
        </w:rPr>
      </w:pPr>
    </w:p>
    <w:p w14:paraId="63ED2E08">
      <w:pPr>
        <w:pStyle w:val="13"/>
        <w:keepNext w:val="0"/>
        <w:keepLines w:val="0"/>
        <w:pageBreakBefore w:val="0"/>
        <w:wordWrap/>
        <w:topLinePunct w:val="0"/>
        <w:bidi w:val="0"/>
        <w:spacing w:line="600" w:lineRule="exact"/>
        <w:ind w:right="0"/>
        <w:jc w:val="center"/>
        <w:rPr>
          <w:rFonts w:hint="default" w:ascii="Times New Roman" w:hAnsi="Times New Roman" w:eastAsia="方正公文小标宋" w:cs="Times New Roman"/>
          <w:b w:val="0"/>
          <w:bCs w:val="0"/>
          <w:sz w:val="44"/>
          <w:szCs w:val="44"/>
        </w:rPr>
      </w:pPr>
      <w:r>
        <w:rPr>
          <w:rFonts w:hint="default" w:ascii="Times New Roman" w:hAnsi="Times New Roman" w:eastAsia="方正公文小标宋" w:cs="Times New Roman"/>
          <w:b w:val="0"/>
          <w:bCs w:val="0"/>
          <w:sz w:val="44"/>
          <w:szCs w:val="44"/>
        </w:rPr>
        <w:t>2024年度</w:t>
      </w:r>
    </w:p>
    <w:p w14:paraId="6BE22E5C">
      <w:pPr>
        <w:pStyle w:val="13"/>
        <w:keepNext w:val="0"/>
        <w:keepLines w:val="0"/>
        <w:pageBreakBefore w:val="0"/>
        <w:wordWrap/>
        <w:topLinePunct w:val="0"/>
        <w:bidi w:val="0"/>
        <w:spacing w:line="600" w:lineRule="exact"/>
        <w:ind w:right="0" w:firstLine="880" w:firstLineChars="200"/>
        <w:jc w:val="center"/>
        <w:rPr>
          <w:rFonts w:hint="default" w:ascii="Times New Roman" w:hAnsi="Times New Roman" w:eastAsia="方正公文小标宋" w:cs="Times New Roman"/>
          <w:b w:val="0"/>
          <w:bCs w:val="0"/>
          <w:sz w:val="44"/>
          <w:szCs w:val="44"/>
        </w:rPr>
      </w:pPr>
    </w:p>
    <w:p w14:paraId="3CD75066">
      <w:pPr>
        <w:pStyle w:val="13"/>
        <w:keepNext w:val="0"/>
        <w:keepLines w:val="0"/>
        <w:pageBreakBefore w:val="0"/>
        <w:wordWrap/>
        <w:topLinePunct w:val="0"/>
        <w:bidi w:val="0"/>
        <w:spacing w:line="600" w:lineRule="exact"/>
        <w:ind w:right="0"/>
        <w:jc w:val="center"/>
        <w:rPr>
          <w:rFonts w:hint="default" w:ascii="Times New Roman" w:hAnsi="Times New Roman" w:eastAsia="方正公文小标宋" w:cs="Times New Roman"/>
          <w:b w:val="0"/>
          <w:bCs w:val="0"/>
          <w:sz w:val="44"/>
          <w:szCs w:val="44"/>
        </w:rPr>
      </w:pPr>
      <w:r>
        <w:rPr>
          <w:rFonts w:hint="default" w:ascii="Times New Roman" w:hAnsi="Times New Roman" w:eastAsia="方正公文小标宋" w:cs="Times New Roman"/>
          <w:b w:val="0"/>
          <w:bCs w:val="0"/>
          <w:sz w:val="44"/>
          <w:szCs w:val="44"/>
        </w:rPr>
        <w:t>南岳区卫生健康局部门决算公开</w:t>
      </w:r>
    </w:p>
    <w:p w14:paraId="08D1BDE1">
      <w:pPr>
        <w:pStyle w:val="13"/>
        <w:keepNext w:val="0"/>
        <w:keepLines w:val="0"/>
        <w:pageBreakBefore w:val="0"/>
        <w:wordWrap/>
        <w:topLinePunct w:val="0"/>
        <w:bidi w:val="0"/>
        <w:spacing w:line="600" w:lineRule="exact"/>
        <w:ind w:right="0" w:firstLine="640" w:firstLineChars="200"/>
        <w:jc w:val="center"/>
        <w:rPr>
          <w:rFonts w:hint="default" w:ascii="Times New Roman" w:hAnsi="Times New Roman" w:eastAsia="仿宋" w:cs="Times New Roman"/>
          <w:sz w:val="32"/>
          <w:szCs w:val="32"/>
        </w:rPr>
      </w:pPr>
    </w:p>
    <w:p w14:paraId="364F9C82">
      <w:pPr>
        <w:pStyle w:val="13"/>
        <w:keepNext w:val="0"/>
        <w:keepLines w:val="0"/>
        <w:pageBreakBefore w:val="0"/>
        <w:wordWrap/>
        <w:topLinePunct w:val="0"/>
        <w:bidi w:val="0"/>
        <w:spacing w:line="600" w:lineRule="exact"/>
        <w:ind w:right="0" w:firstLine="640" w:firstLineChars="200"/>
        <w:jc w:val="center"/>
        <w:rPr>
          <w:rFonts w:hint="default" w:ascii="Times New Roman" w:hAnsi="Times New Roman" w:eastAsia="仿宋" w:cs="Times New Roman"/>
          <w:sz w:val="32"/>
          <w:szCs w:val="32"/>
        </w:rPr>
      </w:pPr>
    </w:p>
    <w:p w14:paraId="1DBE8958">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sz w:val="32"/>
          <w:szCs w:val="32"/>
        </w:rPr>
      </w:pPr>
    </w:p>
    <w:p w14:paraId="67B6F134">
      <w:pPr>
        <w:pStyle w:val="13"/>
        <w:keepNext w:val="0"/>
        <w:keepLines w:val="0"/>
        <w:pageBreakBefore w:val="0"/>
        <w:wordWrap/>
        <w:topLinePunct w:val="0"/>
        <w:bidi w:val="0"/>
        <w:spacing w:line="600" w:lineRule="exact"/>
        <w:ind w:right="0" w:firstLine="640" w:firstLineChars="200"/>
        <w:jc w:val="center"/>
        <w:rPr>
          <w:rFonts w:hint="default" w:ascii="Times New Roman" w:hAnsi="Times New Roman" w:eastAsia="仿宋" w:cs="Times New Roman"/>
          <w:sz w:val="32"/>
          <w:szCs w:val="32"/>
        </w:rPr>
      </w:pPr>
    </w:p>
    <w:p w14:paraId="788E303C">
      <w:pPr>
        <w:pStyle w:val="13"/>
        <w:keepNext w:val="0"/>
        <w:keepLines w:val="0"/>
        <w:pageBreakBefore w:val="0"/>
        <w:wordWrap/>
        <w:topLinePunct w:val="0"/>
        <w:bidi w:val="0"/>
        <w:spacing w:line="600" w:lineRule="exact"/>
        <w:ind w:right="0" w:firstLine="640" w:firstLineChars="200"/>
        <w:jc w:val="center"/>
        <w:rPr>
          <w:rFonts w:hint="default" w:ascii="Times New Roman" w:hAnsi="Times New Roman" w:eastAsia="仿宋" w:cs="Times New Roman"/>
          <w:sz w:val="32"/>
          <w:szCs w:val="32"/>
        </w:rPr>
      </w:pPr>
    </w:p>
    <w:p w14:paraId="5A7D2252">
      <w:pPr>
        <w:pStyle w:val="13"/>
        <w:keepNext w:val="0"/>
        <w:keepLines w:val="0"/>
        <w:pageBreakBefore w:val="0"/>
        <w:wordWrap/>
        <w:topLinePunct w:val="0"/>
        <w:bidi w:val="0"/>
        <w:spacing w:line="600" w:lineRule="exact"/>
        <w:ind w:right="0" w:firstLine="640" w:firstLineChars="200"/>
        <w:jc w:val="center"/>
        <w:rPr>
          <w:rFonts w:hint="default" w:ascii="Times New Roman" w:hAnsi="Times New Roman" w:eastAsia="仿宋" w:cs="Times New Roman"/>
          <w:sz w:val="32"/>
          <w:szCs w:val="32"/>
        </w:rPr>
      </w:pPr>
    </w:p>
    <w:p w14:paraId="51234A59">
      <w:pPr>
        <w:pStyle w:val="13"/>
        <w:keepNext w:val="0"/>
        <w:keepLines w:val="0"/>
        <w:pageBreakBefore w:val="0"/>
        <w:wordWrap/>
        <w:topLinePunct w:val="0"/>
        <w:bidi w:val="0"/>
        <w:spacing w:line="600" w:lineRule="exact"/>
        <w:ind w:right="0" w:firstLine="640" w:firstLineChars="200"/>
        <w:jc w:val="center"/>
        <w:rPr>
          <w:rFonts w:hint="default" w:ascii="Times New Roman" w:hAnsi="Times New Roman" w:eastAsia="仿宋" w:cs="Times New Roman"/>
          <w:sz w:val="32"/>
          <w:szCs w:val="32"/>
        </w:rPr>
      </w:pPr>
    </w:p>
    <w:p w14:paraId="7EA18643">
      <w:pPr>
        <w:pStyle w:val="13"/>
        <w:keepNext w:val="0"/>
        <w:keepLines w:val="0"/>
        <w:pageBreakBefore w:val="0"/>
        <w:wordWrap/>
        <w:topLinePunct w:val="0"/>
        <w:bidi w:val="0"/>
        <w:spacing w:line="600" w:lineRule="exact"/>
        <w:ind w:right="0" w:firstLine="640" w:firstLineChars="200"/>
        <w:jc w:val="center"/>
        <w:rPr>
          <w:rFonts w:hint="default" w:ascii="Times New Roman" w:hAnsi="Times New Roman" w:eastAsia="仿宋" w:cs="Times New Roman"/>
          <w:sz w:val="32"/>
          <w:szCs w:val="32"/>
        </w:rPr>
      </w:pPr>
    </w:p>
    <w:p w14:paraId="5515071D">
      <w:pPr>
        <w:pStyle w:val="13"/>
        <w:keepNext w:val="0"/>
        <w:keepLines w:val="0"/>
        <w:pageBreakBefore w:val="0"/>
        <w:wordWrap/>
        <w:topLinePunct w:val="0"/>
        <w:bidi w:val="0"/>
        <w:spacing w:line="600" w:lineRule="exact"/>
        <w:ind w:right="0" w:firstLine="640" w:firstLineChars="200"/>
        <w:jc w:val="center"/>
        <w:rPr>
          <w:rFonts w:hint="default" w:ascii="Times New Roman" w:hAnsi="Times New Roman" w:eastAsia="仿宋" w:cs="Times New Roman"/>
          <w:sz w:val="32"/>
          <w:szCs w:val="32"/>
        </w:rPr>
      </w:pPr>
    </w:p>
    <w:p w14:paraId="6EEC4B45">
      <w:pPr>
        <w:pStyle w:val="13"/>
        <w:keepNext w:val="0"/>
        <w:keepLines w:val="0"/>
        <w:pageBreakBefore w:val="0"/>
        <w:wordWrap/>
        <w:topLinePunct w:val="0"/>
        <w:bidi w:val="0"/>
        <w:spacing w:line="600" w:lineRule="exact"/>
        <w:ind w:right="0" w:firstLine="640" w:firstLineChars="200"/>
        <w:jc w:val="center"/>
        <w:rPr>
          <w:rFonts w:hint="default" w:ascii="Times New Roman" w:hAnsi="Times New Roman" w:eastAsia="仿宋" w:cs="Times New Roman"/>
          <w:sz w:val="32"/>
          <w:szCs w:val="32"/>
        </w:rPr>
      </w:pPr>
    </w:p>
    <w:p w14:paraId="2247F8BC">
      <w:pPr>
        <w:keepNext w:val="0"/>
        <w:keepLines w:val="0"/>
        <w:pageBreakBefore w:val="0"/>
        <w:wordWrap/>
        <w:topLinePunct w:val="0"/>
        <w:bidi w:val="0"/>
        <w:spacing w:line="600" w:lineRule="exact"/>
        <w:ind w:right="0" w:firstLine="643" w:firstLineChars="200"/>
        <w:rPr>
          <w:rFonts w:hint="default" w:ascii="Times New Roman" w:hAnsi="Times New Roman" w:eastAsia="仿宋" w:cs="Times New Roman"/>
          <w:b/>
          <w:sz w:val="32"/>
          <w:szCs w:val="32"/>
        </w:rPr>
        <w:sectPr>
          <w:pgSz w:w="11906" w:h="16838"/>
          <w:pgMar w:top="1701" w:right="1588" w:bottom="1531" w:left="1588" w:header="851" w:footer="992" w:gutter="0"/>
          <w:cols w:space="425" w:num="1"/>
          <w:docGrid w:type="lines" w:linePitch="312" w:charSpace="0"/>
        </w:sectPr>
      </w:pPr>
    </w:p>
    <w:p w14:paraId="25D3A277">
      <w:pPr>
        <w:pStyle w:val="13"/>
        <w:keepNext w:val="0"/>
        <w:keepLines w:val="0"/>
        <w:pageBreakBefore w:val="0"/>
        <w:wordWrap/>
        <w:topLinePunct w:val="0"/>
        <w:bidi w:val="0"/>
        <w:spacing w:line="600" w:lineRule="exact"/>
        <w:ind w:right="0"/>
        <w:jc w:val="center"/>
        <w:rPr>
          <w:rFonts w:hint="default" w:ascii="Times New Roman" w:hAnsi="Times New Roman" w:eastAsia="方正公文小标宋" w:cs="Times New Roman"/>
          <w:b w:val="0"/>
          <w:bCs w:val="0"/>
          <w:sz w:val="44"/>
          <w:szCs w:val="44"/>
        </w:rPr>
      </w:pPr>
      <w:r>
        <w:rPr>
          <w:rFonts w:hint="default" w:ascii="Times New Roman" w:hAnsi="Times New Roman" w:eastAsia="方正公文小标宋" w:cs="Times New Roman"/>
          <w:b w:val="0"/>
          <w:bCs w:val="0"/>
          <w:sz w:val="44"/>
          <w:szCs w:val="44"/>
        </w:rPr>
        <w:t>目  录</w:t>
      </w:r>
    </w:p>
    <w:p w14:paraId="1C0FFDAB">
      <w:pPr>
        <w:pStyle w:val="13"/>
        <w:keepNext w:val="0"/>
        <w:keepLines w:val="0"/>
        <w:pageBreakBefore w:val="0"/>
        <w:wordWrap/>
        <w:topLinePunct w:val="0"/>
        <w:bidi w:val="0"/>
        <w:spacing w:line="600" w:lineRule="exact"/>
        <w:ind w:right="0" w:firstLine="640" w:firstLineChars="200"/>
        <w:rPr>
          <w:rFonts w:hint="default" w:ascii="Times New Roman" w:hAnsi="Times New Roman" w:eastAsia="黑体" w:cs="Times New Roman"/>
          <w:bCs/>
          <w:sz w:val="32"/>
          <w:szCs w:val="32"/>
        </w:rPr>
      </w:pPr>
    </w:p>
    <w:p w14:paraId="33E59305">
      <w:pPr>
        <w:pStyle w:val="13"/>
        <w:keepNext w:val="0"/>
        <w:keepLines w:val="0"/>
        <w:pageBreakBefore w:val="0"/>
        <w:wordWrap/>
        <w:topLinePunct w:val="0"/>
        <w:bidi w:val="0"/>
        <w:spacing w:line="600" w:lineRule="exact"/>
        <w:ind w:right="0"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第一部分 单位概况</w:t>
      </w:r>
    </w:p>
    <w:p w14:paraId="38D62C28">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一、部门职责</w:t>
      </w:r>
    </w:p>
    <w:p w14:paraId="22059467">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二、机构设置及决算单位构成</w:t>
      </w:r>
    </w:p>
    <w:p w14:paraId="6E2A752C">
      <w:pPr>
        <w:pStyle w:val="13"/>
        <w:keepNext w:val="0"/>
        <w:keepLines w:val="0"/>
        <w:pageBreakBefore w:val="0"/>
        <w:wordWrap/>
        <w:topLinePunct w:val="0"/>
        <w:bidi w:val="0"/>
        <w:spacing w:line="600" w:lineRule="exact"/>
        <w:ind w:right="0"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第二部分 部门决算表</w:t>
      </w:r>
    </w:p>
    <w:p w14:paraId="3CA0B3D2">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一、收入支出决算总表</w:t>
      </w:r>
    </w:p>
    <w:p w14:paraId="6075E459">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二、收入决算表</w:t>
      </w:r>
    </w:p>
    <w:p w14:paraId="0E5C9492">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三、支出决算表</w:t>
      </w:r>
    </w:p>
    <w:p w14:paraId="425567D2">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四、财政拨款收入支出决算总表</w:t>
      </w:r>
    </w:p>
    <w:p w14:paraId="69E1CAD7">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五、一般公共预算财政拨款支出决算表</w:t>
      </w:r>
    </w:p>
    <w:p w14:paraId="30A1D613">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六、一般公共预算财政拨款基本支出决算明细表</w:t>
      </w:r>
    </w:p>
    <w:p w14:paraId="62A5BDBF">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七、政府性基金预算财政拨款收入支出决算表</w:t>
      </w:r>
    </w:p>
    <w:p w14:paraId="3F416FE8">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八、国有资本经营预算财政拨款支出决算表</w:t>
      </w:r>
    </w:p>
    <w:p w14:paraId="78602E4E">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九、财政拨款“三公”经费支出决算表</w:t>
      </w:r>
    </w:p>
    <w:p w14:paraId="6DA12F43">
      <w:pPr>
        <w:pStyle w:val="13"/>
        <w:keepNext w:val="0"/>
        <w:keepLines w:val="0"/>
        <w:pageBreakBefore w:val="0"/>
        <w:wordWrap/>
        <w:topLinePunct w:val="0"/>
        <w:bidi w:val="0"/>
        <w:spacing w:line="600" w:lineRule="exact"/>
        <w:ind w:right="0"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第三部分 部门决算情况说明</w:t>
      </w:r>
    </w:p>
    <w:p w14:paraId="3EA0449B">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一、收入支出决算总体情况说明</w:t>
      </w:r>
    </w:p>
    <w:p w14:paraId="1F9473EB">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二、收入决算情况说明</w:t>
      </w:r>
    </w:p>
    <w:p w14:paraId="3191D3B7">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三、支出决算情况说明</w:t>
      </w:r>
    </w:p>
    <w:p w14:paraId="486D4944">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四、财政拨款收入支出决算总体情况说明</w:t>
      </w:r>
    </w:p>
    <w:p w14:paraId="665ABE3B">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五、一般公共预算财政拨款支出决算情况说明</w:t>
      </w:r>
    </w:p>
    <w:p w14:paraId="1C4CAFFA">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六、一般公共预算财政拨款基本支出决算情况说明</w:t>
      </w:r>
    </w:p>
    <w:p w14:paraId="6C9D5948">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七、财政拨款“三公”经费支出决算情况说明</w:t>
      </w:r>
    </w:p>
    <w:p w14:paraId="12B263B1">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八、政府性基金预算收入支出决算情况</w:t>
      </w:r>
    </w:p>
    <w:p w14:paraId="74F154F0">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九、关于机关运行经费支出说明</w:t>
      </w:r>
    </w:p>
    <w:p w14:paraId="708C9E75">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十、一般性支出情况说明</w:t>
      </w:r>
    </w:p>
    <w:p w14:paraId="5289DE6A">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十一、关于政府采购支出说明</w:t>
      </w:r>
    </w:p>
    <w:p w14:paraId="6C919539">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十二、关于国有资产占用情况说明</w:t>
      </w:r>
    </w:p>
    <w:p w14:paraId="07BDAB31">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十三、关于2024年度预算绩效管理情况的说明</w:t>
      </w:r>
    </w:p>
    <w:p w14:paraId="68E86CE6">
      <w:pPr>
        <w:pStyle w:val="13"/>
        <w:keepNext w:val="0"/>
        <w:keepLines w:val="0"/>
        <w:pageBreakBefore w:val="0"/>
        <w:wordWrap/>
        <w:topLinePunct w:val="0"/>
        <w:bidi w:val="0"/>
        <w:spacing w:line="600" w:lineRule="exact"/>
        <w:ind w:right="0"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第四部分 名词解释</w:t>
      </w:r>
    </w:p>
    <w:p w14:paraId="4606138E">
      <w:pPr>
        <w:pStyle w:val="13"/>
        <w:keepNext w:val="0"/>
        <w:keepLines w:val="0"/>
        <w:pageBreakBefore w:val="0"/>
        <w:wordWrap/>
        <w:topLinePunct w:val="0"/>
        <w:bidi w:val="0"/>
        <w:spacing w:line="600" w:lineRule="exact"/>
        <w:ind w:right="0"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第五部分 附件</w:t>
      </w:r>
    </w:p>
    <w:p w14:paraId="25193E8B">
      <w:pPr>
        <w:keepNext w:val="0"/>
        <w:keepLines w:val="0"/>
        <w:pageBreakBefore w:val="0"/>
        <w:wordWrap/>
        <w:topLinePunct w:val="0"/>
        <w:bidi w:val="0"/>
        <w:spacing w:line="600" w:lineRule="exact"/>
        <w:ind w:right="0" w:firstLine="640" w:firstLineChars="200"/>
        <w:jc w:val="center"/>
        <w:rPr>
          <w:rFonts w:hint="default" w:ascii="Times New Roman" w:hAnsi="Times New Roman" w:eastAsia="仿宋" w:cs="Times New Roman"/>
          <w:sz w:val="32"/>
          <w:szCs w:val="32"/>
        </w:rPr>
      </w:pPr>
    </w:p>
    <w:p w14:paraId="2E2E7C39">
      <w:pPr>
        <w:keepNext w:val="0"/>
        <w:keepLines w:val="0"/>
        <w:pageBreakBefore w:val="0"/>
        <w:wordWrap/>
        <w:topLinePunct w:val="0"/>
        <w:bidi w:val="0"/>
        <w:spacing w:line="600" w:lineRule="exact"/>
        <w:ind w:right="0" w:firstLine="640" w:firstLineChars="200"/>
        <w:jc w:val="center"/>
        <w:rPr>
          <w:rFonts w:hint="default" w:ascii="Times New Roman" w:hAnsi="Times New Roman" w:eastAsia="仿宋" w:cs="Times New Roman"/>
          <w:sz w:val="32"/>
          <w:szCs w:val="32"/>
        </w:rPr>
      </w:pPr>
    </w:p>
    <w:p w14:paraId="1B9C0256">
      <w:pPr>
        <w:pStyle w:val="2"/>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2A66EE51">
      <w:pPr>
        <w:pStyle w:val="13"/>
        <w:keepNext w:val="0"/>
        <w:keepLines w:val="0"/>
        <w:pageBreakBefore w:val="0"/>
        <w:wordWrap/>
        <w:topLinePunct w:val="0"/>
        <w:bidi w:val="0"/>
        <w:spacing w:line="600" w:lineRule="exact"/>
        <w:ind w:right="0"/>
        <w:jc w:val="center"/>
        <w:rPr>
          <w:rFonts w:hint="default" w:ascii="Times New Roman" w:hAnsi="Times New Roman" w:eastAsia="方正公文小标宋" w:cs="Times New Roman"/>
          <w:b w:val="0"/>
          <w:bCs w:val="0"/>
          <w:sz w:val="44"/>
          <w:szCs w:val="44"/>
        </w:rPr>
      </w:pPr>
      <w:r>
        <w:rPr>
          <w:rFonts w:hint="default" w:ascii="Times New Roman" w:hAnsi="Times New Roman" w:eastAsia="方正公文小标宋" w:cs="Times New Roman"/>
          <w:b w:val="0"/>
          <w:bCs w:val="0"/>
          <w:sz w:val="44"/>
          <w:szCs w:val="44"/>
        </w:rPr>
        <w:t>第一部分</w:t>
      </w:r>
    </w:p>
    <w:p w14:paraId="590CC3BC">
      <w:pPr>
        <w:pStyle w:val="13"/>
        <w:keepNext w:val="0"/>
        <w:keepLines w:val="0"/>
        <w:pageBreakBefore w:val="0"/>
        <w:wordWrap/>
        <w:topLinePunct w:val="0"/>
        <w:bidi w:val="0"/>
        <w:spacing w:line="600" w:lineRule="exact"/>
        <w:ind w:right="0"/>
        <w:jc w:val="center"/>
        <w:rPr>
          <w:rFonts w:hint="default" w:ascii="Times New Roman" w:hAnsi="Times New Roman" w:eastAsia="方正公文小标宋" w:cs="Times New Roman"/>
          <w:b w:val="0"/>
          <w:bCs w:val="0"/>
          <w:sz w:val="44"/>
          <w:szCs w:val="44"/>
        </w:rPr>
      </w:pPr>
      <w:r>
        <w:rPr>
          <w:rFonts w:hint="default" w:ascii="Times New Roman" w:hAnsi="Times New Roman" w:eastAsia="方正公文小标宋" w:cs="Times New Roman"/>
          <w:b w:val="0"/>
          <w:bCs w:val="0"/>
          <w:sz w:val="44"/>
          <w:szCs w:val="44"/>
        </w:rPr>
        <w:t>南岳区卫生健康局概况</w:t>
      </w:r>
    </w:p>
    <w:p w14:paraId="32E4A1E4">
      <w:pPr>
        <w:pStyle w:val="13"/>
        <w:keepNext w:val="0"/>
        <w:keepLines w:val="0"/>
        <w:pageBreakBefore w:val="0"/>
        <w:wordWrap/>
        <w:topLinePunct w:val="0"/>
        <w:bidi w:val="0"/>
        <w:spacing w:line="600" w:lineRule="exact"/>
        <w:ind w:right="0"/>
        <w:jc w:val="center"/>
        <w:rPr>
          <w:rFonts w:hint="default" w:ascii="Times New Roman" w:hAnsi="Times New Roman" w:eastAsia="仿宋" w:cs="Times New Roman"/>
          <w:sz w:val="32"/>
          <w:szCs w:val="32"/>
        </w:rPr>
      </w:pPr>
    </w:p>
    <w:p w14:paraId="5E241864">
      <w:pPr>
        <w:pStyle w:val="14"/>
        <w:keepNext w:val="0"/>
        <w:keepLines w:val="0"/>
        <w:pageBreakBefore w:val="0"/>
        <w:wordWrap/>
        <w:topLinePunct w:val="0"/>
        <w:bidi w:val="0"/>
        <w:spacing w:line="600" w:lineRule="exact"/>
        <w:ind w:right="0"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部门职责</w:t>
      </w:r>
    </w:p>
    <w:p w14:paraId="7FD876AD">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南岳区卫生健康局的主要职责是：</w:t>
      </w:r>
    </w:p>
    <w:p w14:paraId="0AD7BD9A">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贯彻执行国家、省、市卫生和计划生育工作的方针、政策和法律法规。拟订全区卫生和计划生育、中医药事业发展的政策和措施。负责协调推进全区医药卫生体制改革和医疗保障，统筹规划全区卫生和计划生育服务资源配置，指导区域卫生和计划生育规划的编制和实施。</w:t>
      </w:r>
    </w:p>
    <w:p w14:paraId="7A55A5AA">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负责全区疾病预防控制规划、免疫规划、严重危害人民健康的公共卫生问题的干预措施并组织落实，制定全区卫生应急和紧急医学救援预案、突发公共卫生事件监测和风险评估计划，组织和指导全区突发公共卫生事件预防控制和各类突发公共事件的医疗卫生救援，收集上报法定传染病疫情信息、突发公共卫生事件应急处置信息。</w:t>
      </w:r>
    </w:p>
    <w:p w14:paraId="24B4590F">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负责落实职责范围内的职业卫生、放射卫生、环境卫生、学校卫生、公共场所卫生、饮用水卫生管理规范和政策措施，组织开展相关监测、调查、评估和监督，负责传染病防治监督。组织开展食品安全风险监测、评估，负责食源性疾病及与食品安全事故有关的流行病学调查。</w:t>
      </w:r>
    </w:p>
    <w:p w14:paraId="3CB8CC04">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负责组织拟订并实施基层卫生和计划生育服务、妇幼卫生发展规划和政策措施，指导全区基层卫生和计划生育、妇幼卫生服务体系建设，推进基本公共卫生和计划生育服务均等化，完善基层运行新机制和乡村医生管理制度。负责制定新型农村合作医疗发展规划和政策措施并组织实施，组织基金个人缴纳费用筹集和协调各级财政补助资金落实，负责全区农村合作医疗基金的监管与效益评估，负责定点医疗机构医疗费用控制。</w:t>
      </w:r>
    </w:p>
    <w:p w14:paraId="55BFF5C1">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负责制定医疗机构和医疗服务全行业管理办法并监督实施。制定医疗机构及其医疗服务、医疗技术、医疗质量、医疗安全的规范并组织实施。监督管理本区内的献血工作，负责本区内的采供血、医疗用血和采供血机构的监督管理。会同有关部门执行省、市卫生专业技术人员准入、资格标准，制定和实施卫生专业技术人员执业规划和服务规范，建立医疗机构运行监管和医疗服务评价体系。</w:t>
      </w:r>
    </w:p>
    <w:p w14:paraId="1D362E8A">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（六）负责组织推进公立医院改革，建立公益性为导向的绩效考核和评价运行机制，建设和谐医患关系，提出医疗服务和药品价格政策的建议。</w:t>
      </w:r>
    </w:p>
    <w:p w14:paraId="754EEFB9">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（七）实施国家药物政策和国家基本药物制度，执行国家基本药物目录，拟订全区基本药物采购、配送、使用的管理制度，提出全区基本药物价格政策的建议。</w:t>
      </w:r>
    </w:p>
    <w:p w14:paraId="08028A31">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组织实施加强全区出生人口性别比综合治理的政策措施，组织监测计划生育发展动态，提出发布计划生育安全预警预报信息建议。制定计划生育技术服务管理制度并监督实施。制定优生优育和提高出生人口素质的政策措施并组织实施。推动实施计划生育生殖健康促进计划，降低出生缺陷发生率。</w:t>
      </w:r>
    </w:p>
    <w:p w14:paraId="3465DC0C">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（九）组织建立计划生育利益导向、计划生育特殊困难家庭扶助和促进计划生育家庭发展等机制。负责协调推进有关部门、群众团体履行计划生育工作相关职责，建立与经济社会发展政策的衔接机制</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提出稳定低生育水平政策措施。</w:t>
      </w:r>
    </w:p>
    <w:p w14:paraId="194F2E76">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（十）制定流动人口计划生育服务管理制度并组织落实，推动建立流动人口卫生和计划生育信息共享、区域协作和公共服务工作机制。</w:t>
      </w:r>
    </w:p>
    <w:p w14:paraId="07333406">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（十一）组织拟订全区卫生和计划生育人才发展规划，指导卫生和计划生育人才队伍建设。加强全科医生等急需紧缺专业人才培养，建立完善住院医师和专科医师规范化培训制度并组织实施。</w:t>
      </w:r>
    </w:p>
    <w:p w14:paraId="5E5CF397">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（十二）组织拟订全区卫生和计划生育科技发展规划，组织实施卫生和计划生育相关科研项目。组织实施毕业后医学教育和继续医学教育</w:t>
      </w:r>
      <w:r>
        <w:rPr>
          <w:rFonts w:hint="default" w:ascii="Times New Roman" w:hAnsi="Times New Roman" w:eastAsia="仿宋" w:cs="Times New Roman"/>
          <w:sz w:val="32"/>
          <w:szCs w:val="32"/>
          <w:lang w:eastAsia="zh-CN"/>
        </w:rPr>
        <w:t>。</w:t>
      </w:r>
    </w:p>
    <w:p w14:paraId="600A956D">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（十三）指导全区卫生和计划生育工作，完善综合监督执法体系，规范执法行为，监督检查法律法规和政策措施的落实，组织查处重大违法行为。监督落实计划生育一票否决制。</w:t>
      </w:r>
    </w:p>
    <w:p w14:paraId="34274893">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（十四）负责全区卫生和计划生育宣传、健康教育、健康促进和信息化建设等工作，依法组织实施统计调查，参与全区人口基础信息库建设。负责对外合作交流与援外医疗工作。</w:t>
      </w:r>
    </w:p>
    <w:p w14:paraId="0D6B4A0E">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（十五）指导制定并组织实施全区中医药中长期发展规划，加强中医药行业监管，并纳入全区卫生和计划生育事业发展总体规划和战略目标。</w:t>
      </w:r>
    </w:p>
    <w:p w14:paraId="5B5B8371">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（十六）贯彻执行中央、省、市保健政策，负责全区保健工作的宏观管理，负责区保健对象的医疗保健工作</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承担全区重要会议和重大活动的医疗卫生保障工作。</w:t>
      </w:r>
    </w:p>
    <w:p w14:paraId="09D5549F">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（十七）承担区爱国卫生运动委员会、区防治艾滋病工作员会的日常工作。</w:t>
      </w:r>
    </w:p>
    <w:p w14:paraId="30520A75">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八）负责职责范围内对卫生和计划生育行业、领域的安全生产工作实施监督管理。负责医疗质量安全，杜绝重大医疗事故的发生，最大限度减少医疗纠纷；负责疫苗安全管理，严格医疗废弃物的管理；负责对医疗机构的消防设施、电气线路、人员密集场所、安全出口、压力容器、氧气瓶、配电室、锅炉房、大型医疗设备等重点部位、重点环节进行督导检查，消除安全隐患；负责危险化学品安全管理。要重点抓好毒、麻、易燃、易爆危险化学药品的监管，要严格建立出入库台账，全面提升技术安全防范水平。</w:t>
      </w:r>
    </w:p>
    <w:p w14:paraId="0B2633DA">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（十九）负责职责范围内对卫生和计划生育行业、领域的安全生产工作实施监督管理。</w:t>
      </w:r>
    </w:p>
    <w:p w14:paraId="26E3DA8A">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（二十）负责完成区深化改革领导小组布置的改革任务。</w:t>
      </w:r>
    </w:p>
    <w:p w14:paraId="3B0B6FCB">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（二十一）承办区人民政府交办的其他事项。</w:t>
      </w:r>
    </w:p>
    <w:p w14:paraId="3B633FA6">
      <w:pPr>
        <w:pStyle w:val="14"/>
        <w:keepNext w:val="0"/>
        <w:keepLines w:val="0"/>
        <w:pageBreakBefore w:val="0"/>
        <w:wordWrap/>
        <w:topLinePunct w:val="0"/>
        <w:bidi w:val="0"/>
        <w:spacing w:line="600" w:lineRule="exact"/>
        <w:ind w:right="0"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二、机构设置及决算单位构成</w:t>
      </w:r>
    </w:p>
    <w:p w14:paraId="170C536A">
      <w:pPr>
        <w:keepNext w:val="0"/>
        <w:keepLines w:val="0"/>
        <w:pageBreakBefore w:val="0"/>
        <w:kinsoku w:val="0"/>
        <w:wordWrap/>
        <w:overflowPunct w:val="0"/>
        <w:topLinePunct w:val="0"/>
        <w:autoSpaceDE w:val="0"/>
        <w:autoSpaceDN w:val="0"/>
        <w:bidi w:val="0"/>
        <w:adjustRightInd w:val="0"/>
        <w:snapToGrid w:val="0"/>
        <w:spacing w:line="600" w:lineRule="exact"/>
        <w:ind w:right="0" w:firstLine="643" w:firstLineChars="200"/>
        <w:textAlignment w:val="baseline"/>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（一）内设机构设置。</w:t>
      </w:r>
    </w:p>
    <w:p w14:paraId="546CD250">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南岳区卫生健康局是全额拨款的行政单位，根据编办核定，我局内设股室8个，分别是</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办公室（加挂党建办、人事股牌子）</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二）基层卫生健康教育股（加挂规划信息股牌子）、（三）财务股（加挂基层医疗机构财务核算中心牌子）、（四）综合监督股（加挂政策法规股、行政审批股牌子）、（五）医政医管股（加挂中医药管理股、药物政策与基本药物制度股、体制改革股牌子）</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（六）疾病预防控制股（加挂卫生应急办牌子）</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（七）人口监测与家庭发展股</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（八）妇幼和老龄健康股。</w:t>
      </w:r>
    </w:p>
    <w:p w14:paraId="267A9238">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核定编制人数</w:t>
      </w:r>
      <w:r>
        <w:rPr>
          <w:rFonts w:hint="default" w:ascii="Times New Roman" w:hAnsi="Times New Roman" w:eastAsia="仿宋" w:cs="Times New Roman"/>
          <w:sz w:val="32"/>
          <w:szCs w:val="32"/>
        </w:rPr>
        <w:t>30</w:t>
      </w:r>
      <w:r>
        <w:rPr>
          <w:rFonts w:hint="default" w:ascii="Times New Roman" w:hAnsi="Times New Roman" w:eastAsia="仿宋" w:cs="Times New Roman"/>
          <w:sz w:val="32"/>
          <w:szCs w:val="32"/>
        </w:rPr>
        <w:t>人</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其中</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行政编制</w:t>
      </w:r>
      <w:r>
        <w:rPr>
          <w:rFonts w:hint="default" w:ascii="Times New Roman" w:hAnsi="Times New Roman" w:eastAsia="仿宋" w:cs="Times New Roman"/>
          <w:sz w:val="32"/>
          <w:szCs w:val="32"/>
        </w:rPr>
        <w:t>5</w:t>
      </w:r>
      <w:r>
        <w:rPr>
          <w:rFonts w:hint="default" w:ascii="Times New Roman" w:hAnsi="Times New Roman" w:eastAsia="仿宋" w:cs="Times New Roman"/>
          <w:sz w:val="32"/>
          <w:szCs w:val="32"/>
        </w:rPr>
        <w:t>人</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全额事业编制</w:t>
      </w:r>
      <w:r>
        <w:rPr>
          <w:rFonts w:hint="default" w:ascii="Times New Roman" w:hAnsi="Times New Roman" w:eastAsia="仿宋" w:cs="Times New Roman"/>
          <w:sz w:val="32"/>
          <w:szCs w:val="32"/>
        </w:rPr>
        <w:t>25</w:t>
      </w:r>
      <w:r>
        <w:rPr>
          <w:rFonts w:hint="default" w:ascii="Times New Roman" w:hAnsi="Times New Roman" w:eastAsia="仿宋" w:cs="Times New Roman"/>
          <w:sz w:val="32"/>
          <w:szCs w:val="32"/>
        </w:rPr>
        <w:t>人，202</w:t>
      </w: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rPr>
        <w:t>年末实际在岗在编人数</w:t>
      </w:r>
      <w:r>
        <w:rPr>
          <w:rFonts w:hint="default" w:ascii="Times New Roman" w:hAnsi="Times New Roman" w:eastAsia="仿宋" w:cs="Times New Roman"/>
          <w:sz w:val="32"/>
          <w:szCs w:val="32"/>
        </w:rPr>
        <w:t>27</w:t>
      </w:r>
      <w:r>
        <w:rPr>
          <w:rFonts w:hint="default" w:ascii="Times New Roman" w:hAnsi="Times New Roman" w:eastAsia="仿宋" w:cs="Times New Roman"/>
          <w:sz w:val="32"/>
          <w:szCs w:val="32"/>
        </w:rPr>
        <w:t>人，离退休人员</w:t>
      </w:r>
      <w:r>
        <w:rPr>
          <w:rFonts w:hint="default" w:ascii="Times New Roman" w:hAnsi="Times New Roman" w:eastAsia="仿宋" w:cs="Times New Roman"/>
          <w:sz w:val="32"/>
          <w:szCs w:val="32"/>
        </w:rPr>
        <w:t>15</w:t>
      </w:r>
      <w:r>
        <w:rPr>
          <w:rFonts w:hint="default" w:ascii="Times New Roman" w:hAnsi="Times New Roman" w:eastAsia="仿宋" w:cs="Times New Roman"/>
          <w:sz w:val="32"/>
          <w:szCs w:val="32"/>
        </w:rPr>
        <w:t>人，借调人员</w:t>
      </w: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rPr>
        <w:t>人，劳务派遣</w:t>
      </w:r>
      <w:r>
        <w:rPr>
          <w:rFonts w:hint="default" w:ascii="Times New Roman" w:hAnsi="Times New Roman" w:eastAsia="仿宋" w:cs="Times New Roman"/>
          <w:sz w:val="32"/>
          <w:szCs w:val="32"/>
        </w:rPr>
        <w:t>10</w:t>
      </w:r>
      <w:r>
        <w:rPr>
          <w:rFonts w:hint="default" w:ascii="Times New Roman" w:hAnsi="Times New Roman" w:eastAsia="仿宋" w:cs="Times New Roman"/>
          <w:sz w:val="32"/>
          <w:szCs w:val="32"/>
        </w:rPr>
        <w:t>人，现有公务用车</w:t>
      </w: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t>台（景区医疗救护用车）。</w:t>
      </w:r>
    </w:p>
    <w:p w14:paraId="56BAC5A2">
      <w:pPr>
        <w:keepNext w:val="0"/>
        <w:keepLines w:val="0"/>
        <w:pageBreakBefore w:val="0"/>
        <w:kinsoku w:val="0"/>
        <w:wordWrap/>
        <w:overflowPunct w:val="0"/>
        <w:topLinePunct w:val="0"/>
        <w:autoSpaceDE w:val="0"/>
        <w:autoSpaceDN w:val="0"/>
        <w:bidi w:val="0"/>
        <w:adjustRightInd w:val="0"/>
        <w:snapToGrid w:val="0"/>
        <w:spacing w:line="600" w:lineRule="exact"/>
        <w:ind w:right="0" w:firstLine="643" w:firstLineChars="200"/>
        <w:textAlignment w:val="baseline"/>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（二）决算单位构成。</w:t>
      </w:r>
    </w:p>
    <w:p w14:paraId="762C7A5C">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sectPr>
          <w:footerReference r:id="rId4" w:type="default"/>
          <w:pgSz w:w="11906" w:h="16839"/>
          <w:pgMar w:top="1701" w:right="1587" w:bottom="1531" w:left="1531" w:header="0" w:footer="990" w:gutter="0"/>
          <w:cols w:space="720" w:num="1"/>
        </w:sectPr>
      </w:pPr>
      <w:r>
        <w:rPr>
          <w:rFonts w:hint="default" w:ascii="Times New Roman" w:hAnsi="Times New Roman" w:eastAsia="仿宋" w:cs="Times New Roman"/>
          <w:sz w:val="32"/>
          <w:szCs w:val="32"/>
        </w:rPr>
        <w:t>南岳区卫生健康局20</w:t>
      </w:r>
      <w:r>
        <w:rPr>
          <w:rFonts w:hint="default" w:ascii="Times New Roman" w:hAnsi="Times New Roman" w:eastAsia="仿宋" w:cs="Times New Roman"/>
          <w:sz w:val="32"/>
          <w:szCs w:val="32"/>
        </w:rPr>
        <w:t>24年部门决算汇总公开单位构成包括：南岳区卫生健康局本级</w:t>
      </w:r>
      <w:r>
        <w:rPr>
          <w:rFonts w:hint="default" w:ascii="Times New Roman" w:hAnsi="Times New Roman" w:eastAsia="仿宋" w:cs="Times New Roman"/>
          <w:sz w:val="32"/>
          <w:szCs w:val="32"/>
        </w:rPr>
        <w:t>。</w:t>
      </w:r>
    </w:p>
    <w:p w14:paraId="7A4B7DC0">
      <w:pPr>
        <w:pStyle w:val="13"/>
        <w:keepNext w:val="0"/>
        <w:keepLines w:val="0"/>
        <w:pageBreakBefore w:val="0"/>
        <w:wordWrap/>
        <w:topLinePunct w:val="0"/>
        <w:bidi w:val="0"/>
        <w:spacing w:line="600" w:lineRule="exact"/>
        <w:ind w:right="0"/>
        <w:jc w:val="center"/>
        <w:rPr>
          <w:rFonts w:hint="default" w:ascii="Times New Roman" w:hAnsi="Times New Roman" w:eastAsia="方正公文小标宋" w:cs="Times New Roman"/>
          <w:b w:val="0"/>
          <w:bCs w:val="0"/>
          <w:sz w:val="44"/>
          <w:szCs w:val="44"/>
        </w:rPr>
      </w:pPr>
      <w:r>
        <w:rPr>
          <w:rFonts w:hint="default" w:ascii="Times New Roman" w:hAnsi="Times New Roman" w:eastAsia="方正公文小标宋" w:cs="Times New Roman"/>
          <w:b w:val="0"/>
          <w:bCs w:val="0"/>
          <w:sz w:val="44"/>
          <w:szCs w:val="44"/>
        </w:rPr>
        <w:t xml:space="preserve">第二部分    </w:t>
      </w:r>
    </w:p>
    <w:p w14:paraId="53669EE7">
      <w:pPr>
        <w:pStyle w:val="13"/>
        <w:keepNext w:val="0"/>
        <w:keepLines w:val="0"/>
        <w:pageBreakBefore w:val="0"/>
        <w:wordWrap/>
        <w:topLinePunct w:val="0"/>
        <w:bidi w:val="0"/>
        <w:spacing w:line="600" w:lineRule="exact"/>
        <w:ind w:right="0"/>
        <w:jc w:val="center"/>
        <w:rPr>
          <w:rFonts w:hint="default" w:ascii="Times New Roman" w:hAnsi="Times New Roman" w:eastAsia="方正公文小标宋" w:cs="Times New Roman"/>
          <w:b w:val="0"/>
          <w:bCs w:val="0"/>
          <w:sz w:val="44"/>
          <w:szCs w:val="44"/>
        </w:rPr>
      </w:pPr>
      <w:r>
        <w:rPr>
          <w:rFonts w:hint="default" w:ascii="Times New Roman" w:hAnsi="Times New Roman" w:eastAsia="方正公文小标宋" w:cs="Times New Roman"/>
          <w:b w:val="0"/>
          <w:bCs w:val="0"/>
          <w:sz w:val="44"/>
          <w:szCs w:val="44"/>
        </w:rPr>
        <w:t>部门决算表（见附件）</w:t>
      </w:r>
    </w:p>
    <w:p w14:paraId="36C2CEA7">
      <w:pPr>
        <w:keepNext w:val="0"/>
        <w:keepLines w:val="0"/>
        <w:pageBreakBefore w:val="0"/>
        <w:wordWrap/>
        <w:topLinePunct w:val="0"/>
        <w:bidi w:val="0"/>
        <w:spacing w:line="600" w:lineRule="exact"/>
        <w:ind w:right="0" w:firstLine="640" w:firstLineChars="200"/>
        <w:jc w:val="left"/>
        <w:rPr>
          <w:rFonts w:hint="default" w:ascii="Times New Roman" w:hAnsi="Times New Roman" w:eastAsia="仿宋" w:cs="Times New Roman"/>
          <w:sz w:val="32"/>
          <w:szCs w:val="32"/>
        </w:rPr>
      </w:pPr>
    </w:p>
    <w:p w14:paraId="7787120B">
      <w:pPr>
        <w:keepNext w:val="0"/>
        <w:keepLines w:val="0"/>
        <w:pageBreakBefore w:val="0"/>
        <w:wordWrap/>
        <w:topLinePunct w:val="0"/>
        <w:bidi w:val="0"/>
        <w:spacing w:line="600" w:lineRule="exact"/>
        <w:ind w:right="0" w:firstLine="640" w:firstLineChars="200"/>
        <w:jc w:val="center"/>
        <w:rPr>
          <w:rFonts w:hint="default" w:ascii="Times New Roman" w:hAnsi="Times New Roman" w:eastAsia="仿宋" w:cs="Times New Roman"/>
          <w:sz w:val="32"/>
          <w:szCs w:val="32"/>
        </w:rPr>
      </w:pPr>
    </w:p>
    <w:p w14:paraId="27544D73">
      <w:pPr>
        <w:keepNext w:val="0"/>
        <w:keepLines w:val="0"/>
        <w:pageBreakBefore w:val="0"/>
        <w:wordWrap/>
        <w:topLinePunct w:val="0"/>
        <w:bidi w:val="0"/>
        <w:spacing w:line="600" w:lineRule="exact"/>
        <w:ind w:right="0" w:firstLine="640" w:firstLineChars="200"/>
        <w:jc w:val="center"/>
        <w:rPr>
          <w:rFonts w:hint="default" w:ascii="Times New Roman" w:hAnsi="Times New Roman" w:eastAsia="仿宋" w:cs="Times New Roman"/>
          <w:sz w:val="32"/>
          <w:szCs w:val="32"/>
        </w:rPr>
      </w:pPr>
    </w:p>
    <w:p w14:paraId="23D501CF">
      <w:pPr>
        <w:keepNext w:val="0"/>
        <w:keepLines w:val="0"/>
        <w:pageBreakBefore w:val="0"/>
        <w:wordWrap/>
        <w:topLinePunct w:val="0"/>
        <w:bidi w:val="0"/>
        <w:spacing w:line="600" w:lineRule="exact"/>
        <w:ind w:right="0" w:firstLine="640" w:firstLineChars="200"/>
        <w:jc w:val="center"/>
        <w:rPr>
          <w:rFonts w:hint="default" w:ascii="Times New Roman" w:hAnsi="Times New Roman" w:eastAsia="仿宋" w:cs="Times New Roman"/>
          <w:sz w:val="32"/>
          <w:szCs w:val="32"/>
        </w:rPr>
      </w:pPr>
    </w:p>
    <w:p w14:paraId="3549EE6B">
      <w:pPr>
        <w:keepNext w:val="0"/>
        <w:keepLines w:val="0"/>
        <w:pageBreakBefore w:val="0"/>
        <w:wordWrap/>
        <w:topLinePunct w:val="0"/>
        <w:bidi w:val="0"/>
        <w:spacing w:line="600" w:lineRule="exact"/>
        <w:ind w:right="0" w:firstLine="640" w:firstLineChars="200"/>
        <w:jc w:val="center"/>
        <w:rPr>
          <w:rFonts w:hint="default" w:ascii="Times New Roman" w:hAnsi="Times New Roman" w:eastAsia="仿宋" w:cs="Times New Roman"/>
          <w:sz w:val="32"/>
          <w:szCs w:val="32"/>
        </w:rPr>
      </w:pPr>
    </w:p>
    <w:p w14:paraId="32BE970F">
      <w:pPr>
        <w:pStyle w:val="2"/>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sz w:val="32"/>
          <w:szCs w:val="32"/>
        </w:rPr>
        <w:sectPr>
          <w:footerReference r:id="rId5" w:type="default"/>
          <w:pgSz w:w="11906" w:h="16838"/>
          <w:pgMar w:top="1417" w:right="1588" w:bottom="1417" w:left="1588" w:header="851" w:footer="992" w:gutter="0"/>
          <w:pgNumType w:start="1"/>
          <w:cols w:space="425" w:num="1"/>
          <w:docGrid w:type="lines" w:linePitch="312" w:charSpace="0"/>
        </w:sectPr>
      </w:pPr>
    </w:p>
    <w:p w14:paraId="46019540">
      <w:pPr>
        <w:pStyle w:val="13"/>
        <w:keepNext w:val="0"/>
        <w:keepLines w:val="0"/>
        <w:pageBreakBefore w:val="0"/>
        <w:wordWrap/>
        <w:topLinePunct w:val="0"/>
        <w:bidi w:val="0"/>
        <w:spacing w:line="600" w:lineRule="exact"/>
        <w:ind w:right="0"/>
        <w:jc w:val="center"/>
        <w:rPr>
          <w:rFonts w:hint="default" w:ascii="Times New Roman" w:hAnsi="Times New Roman" w:eastAsia="方正公文小标宋" w:cs="Times New Roman"/>
          <w:b w:val="0"/>
          <w:bCs w:val="0"/>
          <w:sz w:val="44"/>
          <w:szCs w:val="44"/>
        </w:rPr>
      </w:pPr>
      <w:r>
        <w:rPr>
          <w:rFonts w:hint="default" w:ascii="Times New Roman" w:hAnsi="Times New Roman" w:eastAsia="方正公文小标宋" w:cs="Times New Roman"/>
          <w:b w:val="0"/>
          <w:bCs w:val="0"/>
          <w:sz w:val="44"/>
          <w:szCs w:val="44"/>
        </w:rPr>
        <w:t>第三部分</w:t>
      </w:r>
    </w:p>
    <w:p w14:paraId="5C5A0D65">
      <w:pPr>
        <w:pStyle w:val="13"/>
        <w:keepNext w:val="0"/>
        <w:keepLines w:val="0"/>
        <w:pageBreakBefore w:val="0"/>
        <w:wordWrap/>
        <w:topLinePunct w:val="0"/>
        <w:bidi w:val="0"/>
        <w:spacing w:line="600" w:lineRule="exact"/>
        <w:ind w:right="0"/>
        <w:jc w:val="center"/>
        <w:rPr>
          <w:rFonts w:hint="default" w:ascii="Times New Roman" w:hAnsi="Times New Roman" w:eastAsia="方正公文小标宋" w:cs="Times New Roman"/>
          <w:b w:val="0"/>
          <w:bCs w:val="0"/>
          <w:sz w:val="44"/>
          <w:szCs w:val="44"/>
        </w:rPr>
      </w:pPr>
      <w:r>
        <w:rPr>
          <w:rFonts w:hint="default" w:ascii="Times New Roman" w:hAnsi="Times New Roman" w:eastAsia="方正公文小标宋" w:cs="Times New Roman"/>
          <w:b w:val="0"/>
          <w:bCs w:val="0"/>
          <w:sz w:val="44"/>
          <w:szCs w:val="44"/>
        </w:rPr>
        <w:t>2024年度部门决算情况说明</w:t>
      </w:r>
    </w:p>
    <w:p w14:paraId="388AACED">
      <w:pPr>
        <w:keepNext w:val="0"/>
        <w:keepLines w:val="0"/>
        <w:pageBreakBefore w:val="0"/>
        <w:widowControl/>
        <w:wordWrap/>
        <w:topLinePunct w:val="0"/>
        <w:bidi w:val="0"/>
        <w:spacing w:line="600" w:lineRule="exact"/>
        <w:ind w:right="0" w:firstLine="640" w:firstLineChars="20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一、收入支出决算总体情况说明</w:t>
      </w:r>
    </w:p>
    <w:p w14:paraId="0DD9E78E">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2024年度收、支总计</w:t>
      </w:r>
      <w:r>
        <w:rPr>
          <w:rFonts w:hint="default" w:ascii="Times New Roman" w:hAnsi="Times New Roman" w:eastAsia="仿宋" w:cs="Times New Roman"/>
          <w:sz w:val="32"/>
          <w:szCs w:val="32"/>
        </w:rPr>
        <w:t>5903.17</w:t>
      </w:r>
      <w:r>
        <w:rPr>
          <w:rFonts w:hint="default" w:ascii="Times New Roman" w:hAnsi="Times New Roman" w:eastAsia="仿宋" w:cs="Times New Roman"/>
          <w:sz w:val="32"/>
          <w:szCs w:val="32"/>
        </w:rPr>
        <w:t>万元。与上年相比，增加3483.49万元，增长143.96%，主要是因为原衡阳市干部疗养院土地、房屋处置的税费</w:t>
      </w:r>
      <w:r>
        <w:rPr>
          <w:rFonts w:hint="default" w:ascii="Times New Roman" w:hAnsi="Times New Roman" w:eastAsia="仿宋" w:cs="Times New Roman"/>
          <w:sz w:val="32"/>
          <w:szCs w:val="32"/>
        </w:rPr>
        <w:t>，申报世界长寿乡项目支出等</w:t>
      </w:r>
      <w:r>
        <w:rPr>
          <w:rFonts w:hint="default" w:ascii="Times New Roman" w:hAnsi="Times New Roman" w:eastAsia="仿宋" w:cs="Times New Roman"/>
          <w:sz w:val="32"/>
          <w:szCs w:val="32"/>
        </w:rPr>
        <w:t>。</w:t>
      </w:r>
    </w:p>
    <w:p w14:paraId="3A211807">
      <w:pPr>
        <w:keepNext w:val="0"/>
        <w:keepLines w:val="0"/>
        <w:pageBreakBefore w:val="0"/>
        <w:widowControl/>
        <w:wordWrap/>
        <w:topLinePunct w:val="0"/>
        <w:bidi w:val="0"/>
        <w:spacing w:line="600" w:lineRule="exact"/>
        <w:ind w:right="0" w:firstLine="640" w:firstLineChars="20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二、收入决算情况说明</w:t>
      </w:r>
    </w:p>
    <w:p w14:paraId="1BA0C3A6">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2024年度收入合计5903.17万元，其中：财政拨款收入2413.33万元，占40.88%；上级补助收入0万元，占0%；事业收入0万元，占0%；经营收入0万元，占0%；附属单位上缴收入0万元，占0%；其他收入3489.84万元，占59.12%。</w:t>
      </w:r>
    </w:p>
    <w:p w14:paraId="40A92865">
      <w:pPr>
        <w:keepNext w:val="0"/>
        <w:keepLines w:val="0"/>
        <w:pageBreakBefore w:val="0"/>
        <w:widowControl/>
        <w:wordWrap/>
        <w:topLinePunct w:val="0"/>
        <w:bidi w:val="0"/>
        <w:spacing w:line="600" w:lineRule="exact"/>
        <w:ind w:right="0" w:firstLine="640" w:firstLineChars="20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三、支出决算情况说明</w:t>
      </w:r>
    </w:p>
    <w:p w14:paraId="2E8846AC">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2024年度支出合计5903.17万元，其中：基本支出3958.02万元，占67.05%；项目支出1945.15万元，占32.95%；上缴上级支出0万元，占0%；经营支出0万元，占0%；对附属单位补助支出0万元，占0%。</w:t>
      </w:r>
    </w:p>
    <w:p w14:paraId="59A5DD2C">
      <w:pPr>
        <w:keepNext w:val="0"/>
        <w:keepLines w:val="0"/>
        <w:pageBreakBefore w:val="0"/>
        <w:widowControl/>
        <w:wordWrap/>
        <w:topLinePunct w:val="0"/>
        <w:bidi w:val="0"/>
        <w:spacing w:line="600" w:lineRule="exact"/>
        <w:ind w:right="0" w:firstLine="640" w:firstLineChars="20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四、财政拨款收入支出决算总体情况说明</w:t>
      </w:r>
    </w:p>
    <w:p w14:paraId="7DC76E62">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2024年度财政拨款收、支总计</w:t>
      </w:r>
      <w:r>
        <w:rPr>
          <w:rFonts w:hint="default" w:ascii="Times New Roman" w:hAnsi="Times New Roman" w:eastAsia="仿宋" w:cs="Times New Roman"/>
          <w:sz w:val="32"/>
          <w:szCs w:val="32"/>
        </w:rPr>
        <w:t>2413.33</w:t>
      </w:r>
      <w:r>
        <w:rPr>
          <w:rFonts w:hint="default" w:ascii="Times New Roman" w:hAnsi="Times New Roman" w:eastAsia="仿宋" w:cs="Times New Roman"/>
          <w:sz w:val="32"/>
          <w:szCs w:val="32"/>
        </w:rPr>
        <w:t>万元，与上年相比，增加55.65万元,增长2.36%，主要是因为一般公共预算资金增加。</w:t>
      </w:r>
    </w:p>
    <w:p w14:paraId="18A9ECB0">
      <w:pPr>
        <w:keepNext w:val="0"/>
        <w:keepLines w:val="0"/>
        <w:pageBreakBefore w:val="0"/>
        <w:widowControl/>
        <w:wordWrap/>
        <w:topLinePunct w:val="0"/>
        <w:bidi w:val="0"/>
        <w:spacing w:line="600" w:lineRule="exact"/>
        <w:ind w:right="0" w:firstLine="640" w:firstLineChars="20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五、一般公共预算财政拨款支出决算情况说明</w:t>
      </w:r>
    </w:p>
    <w:p w14:paraId="4BE1FAC7">
      <w:pPr>
        <w:pStyle w:val="13"/>
        <w:keepNext w:val="0"/>
        <w:keepLines w:val="0"/>
        <w:pageBreakBefore w:val="0"/>
        <w:wordWrap/>
        <w:overflowPunct w:val="0"/>
        <w:topLinePunct w:val="0"/>
        <w:autoSpaceDE/>
        <w:autoSpaceDN/>
        <w:bidi w:val="0"/>
        <w:spacing w:line="600" w:lineRule="exact"/>
        <w:ind w:right="0" w:firstLine="643" w:firstLineChars="200"/>
        <w:jc w:val="both"/>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（一）一般公共预算财政拨款支出决算总体情况</w:t>
      </w:r>
    </w:p>
    <w:p w14:paraId="59092426">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2024年度财政拨款支出</w:t>
      </w:r>
      <w:r>
        <w:rPr>
          <w:rFonts w:hint="default" w:ascii="Times New Roman" w:hAnsi="Times New Roman" w:eastAsia="仿宋" w:cs="Times New Roman"/>
          <w:sz w:val="32"/>
          <w:szCs w:val="32"/>
        </w:rPr>
        <w:t>2390.83</w:t>
      </w:r>
      <w:r>
        <w:rPr>
          <w:rFonts w:hint="default" w:ascii="Times New Roman" w:hAnsi="Times New Roman" w:eastAsia="仿宋" w:cs="Times New Roman"/>
          <w:sz w:val="32"/>
          <w:szCs w:val="32"/>
        </w:rPr>
        <w:t>万元，占本年支出合计的</w:t>
      </w:r>
      <w:r>
        <w:rPr>
          <w:rFonts w:hint="default" w:ascii="Times New Roman" w:hAnsi="Times New Roman" w:eastAsia="仿宋" w:cs="Times New Roman"/>
          <w:sz w:val="32"/>
          <w:szCs w:val="32"/>
        </w:rPr>
        <w:t>40.50</w:t>
      </w:r>
      <w:r>
        <w:rPr>
          <w:rFonts w:hint="default" w:ascii="Times New Roman" w:hAnsi="Times New Roman" w:eastAsia="仿宋" w:cs="Times New Roman"/>
          <w:sz w:val="32"/>
          <w:szCs w:val="32"/>
        </w:rPr>
        <w:t>%，与上年相比，财政拨款支出增加</w:t>
      </w:r>
      <w:r>
        <w:rPr>
          <w:rFonts w:hint="default" w:ascii="Times New Roman" w:hAnsi="Times New Roman" w:eastAsia="仿宋" w:cs="Times New Roman"/>
          <w:sz w:val="32"/>
          <w:szCs w:val="32"/>
        </w:rPr>
        <w:t>48.52</w:t>
      </w:r>
      <w:r>
        <w:rPr>
          <w:rFonts w:hint="default" w:ascii="Times New Roman" w:hAnsi="Times New Roman" w:eastAsia="仿宋" w:cs="Times New Roman"/>
          <w:sz w:val="32"/>
          <w:szCs w:val="32"/>
        </w:rPr>
        <w:t>万元，增长</w:t>
      </w:r>
      <w:r>
        <w:rPr>
          <w:rFonts w:hint="default" w:ascii="Times New Roman" w:hAnsi="Times New Roman" w:eastAsia="仿宋" w:cs="Times New Roman"/>
          <w:sz w:val="32"/>
          <w:szCs w:val="32"/>
        </w:rPr>
        <w:t>2.07</w:t>
      </w:r>
      <w:r>
        <w:rPr>
          <w:rFonts w:hint="default" w:ascii="Times New Roman" w:hAnsi="Times New Roman" w:eastAsia="仿宋" w:cs="Times New Roman"/>
          <w:sz w:val="32"/>
          <w:szCs w:val="32"/>
        </w:rPr>
        <w:t>%，主要是因为</w:t>
      </w:r>
      <w:r>
        <w:rPr>
          <w:rFonts w:hint="default" w:ascii="Times New Roman" w:hAnsi="Times New Roman" w:eastAsia="仿宋" w:cs="Times New Roman"/>
          <w:sz w:val="32"/>
          <w:szCs w:val="32"/>
        </w:rPr>
        <w:t>部门预算经费增加。</w:t>
      </w:r>
    </w:p>
    <w:p w14:paraId="1CD99B8E">
      <w:pPr>
        <w:pStyle w:val="13"/>
        <w:keepNext w:val="0"/>
        <w:keepLines w:val="0"/>
        <w:pageBreakBefore w:val="0"/>
        <w:wordWrap/>
        <w:overflowPunct w:val="0"/>
        <w:topLinePunct w:val="0"/>
        <w:autoSpaceDE/>
        <w:autoSpaceDN/>
        <w:bidi w:val="0"/>
        <w:spacing w:line="600" w:lineRule="exact"/>
        <w:ind w:right="0" w:firstLine="643" w:firstLineChars="200"/>
        <w:jc w:val="both"/>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（二）一般公共预算财政拨款支出决算结构情况</w:t>
      </w:r>
    </w:p>
    <w:p w14:paraId="61C3BE86">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2024年度财政拨款支出</w:t>
      </w:r>
      <w:r>
        <w:rPr>
          <w:rFonts w:hint="default" w:ascii="Times New Roman" w:hAnsi="Times New Roman" w:eastAsia="仿宋" w:cs="Times New Roman"/>
          <w:sz w:val="32"/>
          <w:szCs w:val="32"/>
        </w:rPr>
        <w:t>2390.83</w:t>
      </w:r>
      <w:r>
        <w:rPr>
          <w:rFonts w:hint="default" w:ascii="Times New Roman" w:hAnsi="Times New Roman" w:eastAsia="仿宋" w:cs="Times New Roman"/>
          <w:sz w:val="32"/>
          <w:szCs w:val="32"/>
        </w:rPr>
        <w:t>万元，主要用于以下方面：</w:t>
      </w:r>
      <w:r>
        <w:rPr>
          <w:rFonts w:hint="default" w:ascii="Times New Roman" w:hAnsi="Times New Roman" w:eastAsia="仿宋" w:cs="Times New Roman"/>
          <w:sz w:val="32"/>
          <w:szCs w:val="32"/>
        </w:rPr>
        <w:t>科学技术（类）</w:t>
      </w:r>
      <w:r>
        <w:rPr>
          <w:rFonts w:hint="default" w:ascii="Times New Roman" w:hAnsi="Times New Roman" w:eastAsia="仿宋" w:cs="Times New Roman"/>
          <w:sz w:val="32"/>
          <w:szCs w:val="32"/>
        </w:rPr>
        <w:t>支出</w:t>
      </w:r>
      <w:r>
        <w:rPr>
          <w:rFonts w:hint="default" w:ascii="Times New Roman" w:hAnsi="Times New Roman" w:eastAsia="仿宋" w:cs="Times New Roman"/>
          <w:sz w:val="32"/>
          <w:szCs w:val="32"/>
        </w:rPr>
        <w:t>4.91</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rPr>
        <w:t>0.21</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文化旅游体育与传媒（类）</w:t>
      </w:r>
      <w:r>
        <w:rPr>
          <w:rFonts w:hint="default" w:ascii="Times New Roman" w:hAnsi="Times New Roman" w:eastAsia="仿宋" w:cs="Times New Roman"/>
          <w:sz w:val="32"/>
          <w:szCs w:val="32"/>
        </w:rPr>
        <w:t>支出</w:t>
      </w:r>
      <w:r>
        <w:rPr>
          <w:rFonts w:hint="default" w:ascii="Times New Roman" w:hAnsi="Times New Roman" w:eastAsia="仿宋" w:cs="Times New Roman"/>
          <w:sz w:val="32"/>
          <w:szCs w:val="32"/>
        </w:rPr>
        <w:t>63.07</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rPr>
        <w:t>2.64</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社会保障和就业（类）</w:t>
      </w:r>
      <w:r>
        <w:rPr>
          <w:rFonts w:hint="default" w:ascii="Times New Roman" w:hAnsi="Times New Roman" w:eastAsia="仿宋" w:cs="Times New Roman"/>
          <w:sz w:val="32"/>
          <w:szCs w:val="32"/>
        </w:rPr>
        <w:t>支出</w:t>
      </w:r>
      <w:r>
        <w:rPr>
          <w:rFonts w:hint="default" w:ascii="Times New Roman" w:hAnsi="Times New Roman" w:eastAsia="仿宋" w:cs="Times New Roman"/>
          <w:sz w:val="32"/>
          <w:szCs w:val="32"/>
        </w:rPr>
        <w:t>84.19</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rPr>
        <w:t>3.52</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卫生健康（类）</w:t>
      </w:r>
      <w:r>
        <w:rPr>
          <w:rFonts w:hint="default" w:ascii="Times New Roman" w:hAnsi="Times New Roman" w:eastAsia="仿宋" w:cs="Times New Roman"/>
          <w:sz w:val="32"/>
          <w:szCs w:val="32"/>
        </w:rPr>
        <w:t>支出</w:t>
      </w:r>
      <w:r>
        <w:rPr>
          <w:rFonts w:hint="default" w:ascii="Times New Roman" w:hAnsi="Times New Roman" w:eastAsia="仿宋" w:cs="Times New Roman"/>
          <w:sz w:val="32"/>
          <w:szCs w:val="32"/>
        </w:rPr>
        <w:t>2201.14</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rPr>
        <w:t>92.06</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农林水（类）</w:t>
      </w:r>
      <w:r>
        <w:rPr>
          <w:rFonts w:hint="default" w:ascii="Times New Roman" w:hAnsi="Times New Roman" w:eastAsia="仿宋" w:cs="Times New Roman"/>
          <w:sz w:val="32"/>
          <w:szCs w:val="32"/>
        </w:rPr>
        <w:t>支出</w:t>
      </w:r>
      <w:r>
        <w:rPr>
          <w:rFonts w:hint="default" w:ascii="Times New Roman" w:hAnsi="Times New Roman" w:eastAsia="仿宋" w:cs="Times New Roman"/>
          <w:sz w:val="32"/>
          <w:szCs w:val="32"/>
        </w:rPr>
        <w:t>7.00</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rPr>
        <w:t>0.29</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住房保障（类）</w:t>
      </w:r>
      <w:r>
        <w:rPr>
          <w:rFonts w:hint="default" w:ascii="Times New Roman" w:hAnsi="Times New Roman" w:eastAsia="仿宋" w:cs="Times New Roman"/>
          <w:sz w:val="32"/>
          <w:szCs w:val="32"/>
        </w:rPr>
        <w:t>支出</w:t>
      </w:r>
      <w:r>
        <w:rPr>
          <w:rFonts w:hint="default" w:ascii="Times New Roman" w:hAnsi="Times New Roman" w:eastAsia="仿宋" w:cs="Times New Roman"/>
          <w:sz w:val="32"/>
          <w:szCs w:val="32"/>
        </w:rPr>
        <w:t>30.52</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rPr>
        <w:t>1.27</w:t>
      </w:r>
      <w:r>
        <w:rPr>
          <w:rFonts w:hint="default" w:ascii="Times New Roman" w:hAnsi="Times New Roman" w:eastAsia="仿宋" w:cs="Times New Roman"/>
          <w:sz w:val="32"/>
          <w:szCs w:val="32"/>
        </w:rPr>
        <w:t>%；</w:t>
      </w:r>
    </w:p>
    <w:p w14:paraId="5DF7B392">
      <w:pPr>
        <w:pStyle w:val="13"/>
        <w:keepNext w:val="0"/>
        <w:keepLines w:val="0"/>
        <w:pageBreakBefore w:val="0"/>
        <w:wordWrap/>
        <w:overflowPunct w:val="0"/>
        <w:topLinePunct w:val="0"/>
        <w:autoSpaceDE/>
        <w:autoSpaceDN/>
        <w:bidi w:val="0"/>
        <w:spacing w:line="600" w:lineRule="exact"/>
        <w:ind w:right="0" w:firstLine="643" w:firstLineChars="200"/>
        <w:jc w:val="both"/>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（三）一般公共预算财政拨款支出决算具体情况</w:t>
      </w:r>
    </w:p>
    <w:p w14:paraId="4CE3C433">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2024年度财政拨款支出年初预算数为</w:t>
      </w:r>
      <w:r>
        <w:rPr>
          <w:rFonts w:hint="default" w:ascii="Times New Roman" w:hAnsi="Times New Roman" w:eastAsia="仿宋" w:cs="Times New Roman"/>
          <w:sz w:val="32"/>
          <w:szCs w:val="32"/>
        </w:rPr>
        <w:t>509.16</w:t>
      </w:r>
      <w:r>
        <w:rPr>
          <w:rFonts w:hint="default" w:ascii="Times New Roman" w:hAnsi="Times New Roman" w:eastAsia="仿宋" w:cs="Times New Roman"/>
          <w:sz w:val="32"/>
          <w:szCs w:val="32"/>
        </w:rPr>
        <w:t>万元，支出决算数为</w:t>
      </w:r>
      <w:r>
        <w:rPr>
          <w:rFonts w:hint="default" w:ascii="Times New Roman" w:hAnsi="Times New Roman" w:eastAsia="仿宋" w:cs="Times New Roman"/>
          <w:sz w:val="32"/>
          <w:szCs w:val="32"/>
        </w:rPr>
        <w:t>2390.83</w:t>
      </w:r>
      <w:r>
        <w:rPr>
          <w:rFonts w:hint="default" w:ascii="Times New Roman" w:hAnsi="Times New Roman" w:eastAsia="仿宋" w:cs="Times New Roman"/>
          <w:sz w:val="32"/>
          <w:szCs w:val="32"/>
        </w:rPr>
        <w:t>万元，完成年初预算的</w:t>
      </w:r>
      <w:r>
        <w:rPr>
          <w:rFonts w:hint="default" w:ascii="Times New Roman" w:hAnsi="Times New Roman" w:eastAsia="仿宋" w:cs="Times New Roman"/>
          <w:sz w:val="32"/>
          <w:szCs w:val="32"/>
        </w:rPr>
        <w:t>469.56</w:t>
      </w:r>
      <w:r>
        <w:rPr>
          <w:rFonts w:hint="default" w:ascii="Times New Roman" w:hAnsi="Times New Roman" w:eastAsia="仿宋" w:cs="Times New Roman"/>
          <w:sz w:val="32"/>
          <w:szCs w:val="32"/>
        </w:rPr>
        <w:t>%，其中：</w:t>
      </w:r>
    </w:p>
    <w:p w14:paraId="72435B6B">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社会保障和就业支出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rPr>
        <w:t>行政事业单位养老支出</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rPr>
        <w:t>行政单位离退休</w:t>
      </w:r>
      <w:r>
        <w:rPr>
          <w:rFonts w:hint="default" w:ascii="Times New Roman" w:hAnsi="Times New Roman" w:eastAsia="仿宋" w:cs="Times New Roman"/>
          <w:sz w:val="32"/>
          <w:szCs w:val="32"/>
        </w:rPr>
        <w:t>（项）。</w:t>
      </w:r>
    </w:p>
    <w:p w14:paraId="297147E2">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年初预算为</w:t>
      </w:r>
      <w:r>
        <w:rPr>
          <w:rFonts w:hint="default" w:ascii="Times New Roman" w:hAnsi="Times New Roman" w:eastAsia="仿宋" w:cs="Times New Roman"/>
          <w:sz w:val="32"/>
          <w:szCs w:val="32"/>
        </w:rPr>
        <w:t>27.80</w:t>
      </w:r>
      <w:r>
        <w:rPr>
          <w:rFonts w:hint="default" w:ascii="Times New Roman" w:hAnsi="Times New Roman" w:eastAsia="仿宋" w:cs="Times New Roman"/>
          <w:sz w:val="32"/>
          <w:szCs w:val="32"/>
        </w:rPr>
        <w:t>万元，支出决算为</w:t>
      </w:r>
      <w:r>
        <w:rPr>
          <w:rFonts w:hint="default" w:ascii="Times New Roman" w:hAnsi="Times New Roman" w:eastAsia="仿宋" w:cs="Times New Roman"/>
          <w:sz w:val="32"/>
          <w:szCs w:val="32"/>
        </w:rPr>
        <w:t>41.44</w:t>
      </w:r>
      <w:r>
        <w:rPr>
          <w:rFonts w:hint="default" w:ascii="Times New Roman" w:hAnsi="Times New Roman" w:eastAsia="仿宋" w:cs="Times New Roman"/>
          <w:sz w:val="32"/>
          <w:szCs w:val="32"/>
        </w:rPr>
        <w:t>万元，完成年初预算的</w:t>
      </w:r>
      <w:r>
        <w:rPr>
          <w:rFonts w:hint="default" w:ascii="Times New Roman" w:hAnsi="Times New Roman" w:eastAsia="仿宋" w:cs="Times New Roman"/>
          <w:sz w:val="32"/>
          <w:szCs w:val="32"/>
        </w:rPr>
        <w:t>149.06</w:t>
      </w:r>
      <w:r>
        <w:rPr>
          <w:rFonts w:hint="default" w:ascii="Times New Roman" w:hAnsi="Times New Roman" w:eastAsia="仿宋" w:cs="Times New Roman"/>
          <w:sz w:val="32"/>
          <w:szCs w:val="32"/>
        </w:rPr>
        <w:t>%，决算数大于年初预算数的主要原因是</w:t>
      </w:r>
      <w:r>
        <w:rPr>
          <w:rFonts w:hint="default" w:ascii="Times New Roman" w:hAnsi="Times New Roman" w:eastAsia="仿宋" w:cs="Times New Roman"/>
          <w:sz w:val="32"/>
          <w:szCs w:val="32"/>
        </w:rPr>
        <w:t>退休人员的绩效奖金、医保铺底年初没有预算。</w:t>
      </w:r>
    </w:p>
    <w:p w14:paraId="584EFB17">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社会保障和就业支出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rPr>
        <w:t>行政事业单位养老支出</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rPr>
        <w:t>机关事业单位基本养老保险缴费支出</w:t>
      </w:r>
      <w:r>
        <w:rPr>
          <w:rFonts w:hint="default" w:ascii="Times New Roman" w:hAnsi="Times New Roman" w:eastAsia="仿宋" w:cs="Times New Roman"/>
          <w:sz w:val="32"/>
          <w:szCs w:val="32"/>
        </w:rPr>
        <w:t>（项）。</w:t>
      </w:r>
    </w:p>
    <w:p w14:paraId="69CD4191">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年初预算为</w:t>
      </w:r>
      <w:r>
        <w:rPr>
          <w:rFonts w:hint="default" w:ascii="Times New Roman" w:hAnsi="Times New Roman" w:eastAsia="仿宋" w:cs="Times New Roman"/>
          <w:sz w:val="32"/>
          <w:szCs w:val="32"/>
        </w:rPr>
        <w:t>39.31</w:t>
      </w:r>
      <w:r>
        <w:rPr>
          <w:rFonts w:hint="default" w:ascii="Times New Roman" w:hAnsi="Times New Roman" w:eastAsia="仿宋" w:cs="Times New Roman"/>
          <w:sz w:val="32"/>
          <w:szCs w:val="32"/>
        </w:rPr>
        <w:t>万元，支出决算为</w:t>
      </w:r>
      <w:r>
        <w:rPr>
          <w:rFonts w:hint="default" w:ascii="Times New Roman" w:hAnsi="Times New Roman" w:eastAsia="仿宋" w:cs="Times New Roman"/>
          <w:sz w:val="32"/>
          <w:szCs w:val="32"/>
        </w:rPr>
        <w:t>39.31</w:t>
      </w:r>
      <w:r>
        <w:rPr>
          <w:rFonts w:hint="default" w:ascii="Times New Roman" w:hAnsi="Times New Roman" w:eastAsia="仿宋" w:cs="Times New Roman"/>
          <w:sz w:val="32"/>
          <w:szCs w:val="32"/>
        </w:rPr>
        <w:t>万元，完成年初预算的</w:t>
      </w:r>
      <w:r>
        <w:rPr>
          <w:rFonts w:hint="default" w:ascii="Times New Roman" w:hAnsi="Times New Roman" w:eastAsia="仿宋" w:cs="Times New Roman"/>
          <w:sz w:val="32"/>
          <w:szCs w:val="32"/>
        </w:rPr>
        <w:t>100</w:t>
      </w:r>
      <w:r>
        <w:rPr>
          <w:rFonts w:hint="default" w:ascii="Times New Roman" w:hAnsi="Times New Roman" w:eastAsia="仿宋" w:cs="Times New Roman"/>
          <w:sz w:val="32"/>
          <w:szCs w:val="32"/>
        </w:rPr>
        <w:t>%，决算数</w:t>
      </w:r>
      <w:r>
        <w:rPr>
          <w:rFonts w:hint="default" w:ascii="Times New Roman" w:hAnsi="Times New Roman" w:eastAsia="仿宋" w:cs="Times New Roman"/>
          <w:sz w:val="32"/>
          <w:szCs w:val="32"/>
        </w:rPr>
        <w:t>等于</w:t>
      </w:r>
      <w:r>
        <w:rPr>
          <w:rFonts w:hint="default" w:ascii="Times New Roman" w:hAnsi="Times New Roman" w:eastAsia="仿宋" w:cs="Times New Roman"/>
          <w:sz w:val="32"/>
          <w:szCs w:val="32"/>
        </w:rPr>
        <w:t>年初预算数</w:t>
      </w:r>
      <w:r>
        <w:rPr>
          <w:rFonts w:hint="default" w:ascii="Times New Roman" w:hAnsi="Times New Roman" w:eastAsia="仿宋" w:cs="Times New Roman"/>
          <w:sz w:val="32"/>
          <w:szCs w:val="32"/>
        </w:rPr>
        <w:t>。</w:t>
      </w:r>
    </w:p>
    <w:p w14:paraId="6BEA8907">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卫生健康支出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rPr>
        <w:t>卫生健康管理事务</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rPr>
        <w:t>行政运行</w:t>
      </w:r>
      <w:r>
        <w:rPr>
          <w:rFonts w:hint="default" w:ascii="Times New Roman" w:hAnsi="Times New Roman" w:eastAsia="仿宋" w:cs="Times New Roman"/>
          <w:sz w:val="32"/>
          <w:szCs w:val="32"/>
        </w:rPr>
        <w:t>（项）。</w:t>
      </w:r>
    </w:p>
    <w:p w14:paraId="2B691555">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年初预算为</w:t>
      </w:r>
      <w:r>
        <w:rPr>
          <w:rFonts w:hint="default" w:ascii="Times New Roman" w:hAnsi="Times New Roman" w:eastAsia="仿宋" w:cs="Times New Roman"/>
          <w:sz w:val="32"/>
          <w:szCs w:val="32"/>
        </w:rPr>
        <w:t>240.54</w:t>
      </w:r>
      <w:r>
        <w:rPr>
          <w:rFonts w:hint="default" w:ascii="Times New Roman" w:hAnsi="Times New Roman" w:eastAsia="仿宋" w:cs="Times New Roman"/>
          <w:sz w:val="32"/>
          <w:szCs w:val="32"/>
        </w:rPr>
        <w:t>万元，支出决算为</w:t>
      </w:r>
      <w:r>
        <w:rPr>
          <w:rFonts w:hint="default" w:ascii="Times New Roman" w:hAnsi="Times New Roman" w:eastAsia="仿宋" w:cs="Times New Roman"/>
          <w:sz w:val="32"/>
          <w:szCs w:val="32"/>
        </w:rPr>
        <w:t>305.35</w:t>
      </w:r>
      <w:r>
        <w:rPr>
          <w:rFonts w:hint="default" w:ascii="Times New Roman" w:hAnsi="Times New Roman" w:eastAsia="仿宋" w:cs="Times New Roman"/>
          <w:sz w:val="32"/>
          <w:szCs w:val="32"/>
        </w:rPr>
        <w:t>万元，完成年初预算的</w:t>
      </w:r>
      <w:r>
        <w:rPr>
          <w:rFonts w:hint="default" w:ascii="Times New Roman" w:hAnsi="Times New Roman" w:eastAsia="仿宋" w:cs="Times New Roman"/>
          <w:sz w:val="32"/>
          <w:szCs w:val="32"/>
        </w:rPr>
        <w:t>126.94</w:t>
      </w:r>
      <w:r>
        <w:rPr>
          <w:rFonts w:hint="default" w:ascii="Times New Roman" w:hAnsi="Times New Roman" w:eastAsia="仿宋" w:cs="Times New Roman"/>
          <w:sz w:val="32"/>
          <w:szCs w:val="32"/>
        </w:rPr>
        <w:t>%，决算数大于年初预算数的主要原因是：</w:t>
      </w:r>
      <w:r>
        <w:rPr>
          <w:rFonts w:hint="default" w:ascii="Times New Roman" w:hAnsi="Times New Roman" w:eastAsia="仿宋" w:cs="Times New Roman"/>
          <w:sz w:val="32"/>
          <w:szCs w:val="32"/>
        </w:rPr>
        <w:t>工作任务加大，支出加大。</w:t>
      </w:r>
    </w:p>
    <w:p w14:paraId="404111B4">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卫生健康支出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rPr>
        <w:t>卫生健康管理事务</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rPr>
        <w:t>一般行政管理事务</w:t>
      </w:r>
      <w:r>
        <w:rPr>
          <w:rFonts w:hint="default" w:ascii="Times New Roman" w:hAnsi="Times New Roman" w:eastAsia="仿宋" w:cs="Times New Roman"/>
          <w:sz w:val="32"/>
          <w:szCs w:val="32"/>
        </w:rPr>
        <w:t>（项）。</w:t>
      </w:r>
    </w:p>
    <w:p w14:paraId="3E1CE445">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年初预算为</w:t>
      </w:r>
      <w:r>
        <w:rPr>
          <w:rFonts w:hint="default" w:ascii="Times New Roman" w:hAnsi="Times New Roman" w:eastAsia="仿宋" w:cs="Times New Roman"/>
          <w:sz w:val="32"/>
          <w:szCs w:val="32"/>
        </w:rPr>
        <w:t>119.10</w:t>
      </w:r>
      <w:r>
        <w:rPr>
          <w:rFonts w:hint="default" w:ascii="Times New Roman" w:hAnsi="Times New Roman" w:eastAsia="仿宋" w:cs="Times New Roman"/>
          <w:sz w:val="32"/>
          <w:szCs w:val="32"/>
        </w:rPr>
        <w:t>万元，支出决算为</w:t>
      </w:r>
      <w:r>
        <w:rPr>
          <w:rFonts w:hint="default" w:ascii="Times New Roman" w:hAnsi="Times New Roman" w:eastAsia="仿宋" w:cs="Times New Roman"/>
          <w:sz w:val="32"/>
          <w:szCs w:val="32"/>
        </w:rPr>
        <w:t>67.98</w:t>
      </w:r>
      <w:r>
        <w:rPr>
          <w:rFonts w:hint="default" w:ascii="Times New Roman" w:hAnsi="Times New Roman" w:eastAsia="仿宋" w:cs="Times New Roman"/>
          <w:sz w:val="32"/>
          <w:szCs w:val="32"/>
        </w:rPr>
        <w:t>万元，完成年初预算的</w:t>
      </w:r>
      <w:r>
        <w:rPr>
          <w:rFonts w:hint="default" w:ascii="Times New Roman" w:hAnsi="Times New Roman" w:eastAsia="仿宋" w:cs="Times New Roman"/>
          <w:sz w:val="32"/>
          <w:szCs w:val="32"/>
        </w:rPr>
        <w:t>57.08</w:t>
      </w:r>
      <w:r>
        <w:rPr>
          <w:rFonts w:hint="default" w:ascii="Times New Roman" w:hAnsi="Times New Roman" w:eastAsia="仿宋" w:cs="Times New Roman"/>
          <w:sz w:val="32"/>
          <w:szCs w:val="32"/>
        </w:rPr>
        <w:t>%，决算数小于年初预算数的主要原因是：</w:t>
      </w:r>
      <w:r>
        <w:rPr>
          <w:rFonts w:hint="default" w:ascii="Times New Roman" w:hAnsi="Times New Roman" w:eastAsia="仿宋" w:cs="Times New Roman"/>
          <w:sz w:val="32"/>
          <w:szCs w:val="32"/>
        </w:rPr>
        <w:t>厉行勤俭节约。</w:t>
      </w:r>
    </w:p>
    <w:p w14:paraId="6F2234AA">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卫生健康支出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rPr>
        <w:t>计划生育事务</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rPr>
        <w:t>计划生育机构</w:t>
      </w:r>
      <w:r>
        <w:rPr>
          <w:rFonts w:hint="default" w:ascii="Times New Roman" w:hAnsi="Times New Roman" w:eastAsia="仿宋" w:cs="Times New Roman"/>
          <w:sz w:val="32"/>
          <w:szCs w:val="32"/>
        </w:rPr>
        <w:t>（项）。</w:t>
      </w:r>
    </w:p>
    <w:p w14:paraId="3E3479A2">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年初预算为</w:t>
      </w:r>
      <w:r>
        <w:rPr>
          <w:rFonts w:hint="default" w:ascii="Times New Roman" w:hAnsi="Times New Roman" w:eastAsia="仿宋" w:cs="Times New Roman"/>
          <w:sz w:val="32"/>
          <w:szCs w:val="32"/>
        </w:rPr>
        <w:t>20.00</w:t>
      </w:r>
      <w:r>
        <w:rPr>
          <w:rFonts w:hint="default" w:ascii="Times New Roman" w:hAnsi="Times New Roman" w:eastAsia="仿宋" w:cs="Times New Roman"/>
          <w:sz w:val="32"/>
          <w:szCs w:val="32"/>
        </w:rPr>
        <w:t>万元，支出决算为</w:t>
      </w:r>
      <w:r>
        <w:rPr>
          <w:rFonts w:hint="default" w:ascii="Times New Roman" w:hAnsi="Times New Roman" w:eastAsia="仿宋" w:cs="Times New Roman"/>
          <w:sz w:val="32"/>
          <w:szCs w:val="32"/>
        </w:rPr>
        <w:t>20.00</w:t>
      </w:r>
      <w:r>
        <w:rPr>
          <w:rFonts w:hint="default" w:ascii="Times New Roman" w:hAnsi="Times New Roman" w:eastAsia="仿宋" w:cs="Times New Roman"/>
          <w:sz w:val="32"/>
          <w:szCs w:val="32"/>
        </w:rPr>
        <w:t>万元，完成年初预算的</w:t>
      </w:r>
      <w:r>
        <w:rPr>
          <w:rFonts w:hint="default" w:ascii="Times New Roman" w:hAnsi="Times New Roman" w:eastAsia="仿宋" w:cs="Times New Roman"/>
          <w:sz w:val="32"/>
          <w:szCs w:val="32"/>
        </w:rPr>
        <w:t>100</w:t>
      </w:r>
      <w:r>
        <w:rPr>
          <w:rFonts w:hint="default" w:ascii="Times New Roman" w:hAnsi="Times New Roman" w:eastAsia="仿宋" w:cs="Times New Roman"/>
          <w:sz w:val="32"/>
          <w:szCs w:val="32"/>
        </w:rPr>
        <w:t>%，决算数</w:t>
      </w:r>
      <w:r>
        <w:rPr>
          <w:rFonts w:hint="default" w:ascii="Times New Roman" w:hAnsi="Times New Roman" w:eastAsia="仿宋" w:cs="Times New Roman"/>
          <w:sz w:val="32"/>
          <w:szCs w:val="32"/>
        </w:rPr>
        <w:t>等于</w:t>
      </w:r>
      <w:r>
        <w:rPr>
          <w:rFonts w:hint="default" w:ascii="Times New Roman" w:hAnsi="Times New Roman" w:eastAsia="仿宋" w:cs="Times New Roman"/>
          <w:sz w:val="32"/>
          <w:szCs w:val="32"/>
        </w:rPr>
        <w:t>年初预算数</w:t>
      </w:r>
      <w:r>
        <w:rPr>
          <w:rFonts w:hint="default" w:ascii="Times New Roman" w:hAnsi="Times New Roman" w:eastAsia="仿宋" w:cs="Times New Roman"/>
          <w:sz w:val="32"/>
          <w:szCs w:val="32"/>
        </w:rPr>
        <w:t>。</w:t>
      </w:r>
    </w:p>
    <w:p w14:paraId="45A3622B">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卫生健康支出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rPr>
        <w:t>计划生育事务</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rPr>
        <w:t>计划生育服务</w:t>
      </w:r>
      <w:r>
        <w:rPr>
          <w:rFonts w:hint="default" w:ascii="Times New Roman" w:hAnsi="Times New Roman" w:eastAsia="仿宋" w:cs="Times New Roman"/>
          <w:sz w:val="32"/>
          <w:szCs w:val="32"/>
        </w:rPr>
        <w:t>（项）。</w:t>
      </w:r>
    </w:p>
    <w:p w14:paraId="3557A26B">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年初预算为</w:t>
      </w:r>
      <w:r>
        <w:rPr>
          <w:rFonts w:hint="default" w:ascii="Times New Roman" w:hAnsi="Times New Roman" w:eastAsia="仿宋" w:cs="Times New Roman"/>
          <w:sz w:val="32"/>
          <w:szCs w:val="32"/>
        </w:rPr>
        <w:t>12.00</w:t>
      </w:r>
      <w:r>
        <w:rPr>
          <w:rFonts w:hint="default" w:ascii="Times New Roman" w:hAnsi="Times New Roman" w:eastAsia="仿宋" w:cs="Times New Roman"/>
          <w:sz w:val="32"/>
          <w:szCs w:val="32"/>
        </w:rPr>
        <w:t>万元，支出决算为</w:t>
      </w:r>
      <w:r>
        <w:rPr>
          <w:rFonts w:hint="default" w:ascii="Times New Roman" w:hAnsi="Times New Roman" w:eastAsia="仿宋" w:cs="Times New Roman"/>
          <w:sz w:val="32"/>
          <w:szCs w:val="32"/>
        </w:rPr>
        <w:t>334.05</w:t>
      </w:r>
      <w:r>
        <w:rPr>
          <w:rFonts w:hint="default" w:ascii="Times New Roman" w:hAnsi="Times New Roman" w:eastAsia="仿宋" w:cs="Times New Roman"/>
          <w:sz w:val="32"/>
          <w:szCs w:val="32"/>
        </w:rPr>
        <w:t>万元，完成年初预算的</w:t>
      </w:r>
      <w:r>
        <w:rPr>
          <w:rFonts w:hint="default" w:ascii="Times New Roman" w:hAnsi="Times New Roman" w:eastAsia="仿宋" w:cs="Times New Roman"/>
          <w:sz w:val="32"/>
          <w:szCs w:val="32"/>
        </w:rPr>
        <w:t>2783.75</w:t>
      </w:r>
      <w:r>
        <w:rPr>
          <w:rFonts w:hint="default" w:ascii="Times New Roman" w:hAnsi="Times New Roman" w:eastAsia="仿宋" w:cs="Times New Roman"/>
          <w:sz w:val="32"/>
          <w:szCs w:val="32"/>
        </w:rPr>
        <w:t>%，决算数大于（小于）年初预算数的主要原因是：</w:t>
      </w:r>
      <w:r>
        <w:rPr>
          <w:rFonts w:hint="default" w:ascii="Times New Roman" w:hAnsi="Times New Roman" w:eastAsia="仿宋" w:cs="Times New Roman"/>
          <w:sz w:val="32"/>
          <w:szCs w:val="32"/>
        </w:rPr>
        <w:t>由于区妇幼的支付系统在一起，统计了其部分数字。</w:t>
      </w:r>
    </w:p>
    <w:p w14:paraId="15B1D5CE">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卫生健康支出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rPr>
        <w:t>行政事业单位医疗</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rPr>
        <w:t>行政单位医疗</w:t>
      </w:r>
      <w:r>
        <w:rPr>
          <w:rFonts w:hint="default" w:ascii="Times New Roman" w:hAnsi="Times New Roman" w:eastAsia="仿宋" w:cs="Times New Roman"/>
          <w:sz w:val="32"/>
          <w:szCs w:val="32"/>
        </w:rPr>
        <w:t>（项）。</w:t>
      </w:r>
    </w:p>
    <w:p w14:paraId="69C00AA2">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年初预算为</w:t>
      </w:r>
      <w:r>
        <w:rPr>
          <w:rFonts w:hint="default" w:ascii="Times New Roman" w:hAnsi="Times New Roman" w:eastAsia="仿宋" w:cs="Times New Roman"/>
          <w:sz w:val="32"/>
          <w:szCs w:val="32"/>
        </w:rPr>
        <w:t>18.47</w:t>
      </w:r>
      <w:r>
        <w:rPr>
          <w:rFonts w:hint="default" w:ascii="Times New Roman" w:hAnsi="Times New Roman" w:eastAsia="仿宋" w:cs="Times New Roman"/>
          <w:sz w:val="32"/>
          <w:szCs w:val="32"/>
        </w:rPr>
        <w:t>万元，支出决算为</w:t>
      </w:r>
      <w:r>
        <w:rPr>
          <w:rFonts w:hint="default" w:ascii="Times New Roman" w:hAnsi="Times New Roman" w:eastAsia="仿宋" w:cs="Times New Roman"/>
          <w:sz w:val="32"/>
          <w:szCs w:val="32"/>
        </w:rPr>
        <w:t>37.11</w:t>
      </w:r>
      <w:r>
        <w:rPr>
          <w:rFonts w:hint="default" w:ascii="Times New Roman" w:hAnsi="Times New Roman" w:eastAsia="仿宋" w:cs="Times New Roman"/>
          <w:sz w:val="32"/>
          <w:szCs w:val="32"/>
        </w:rPr>
        <w:t>万元，完成年初预算的</w:t>
      </w:r>
      <w:r>
        <w:rPr>
          <w:rFonts w:hint="default" w:ascii="Times New Roman" w:hAnsi="Times New Roman" w:eastAsia="仿宋" w:cs="Times New Roman"/>
          <w:sz w:val="32"/>
          <w:szCs w:val="32"/>
        </w:rPr>
        <w:t>200.92</w:t>
      </w:r>
      <w:r>
        <w:rPr>
          <w:rFonts w:hint="default" w:ascii="Times New Roman" w:hAnsi="Times New Roman" w:eastAsia="仿宋" w:cs="Times New Roman"/>
          <w:sz w:val="32"/>
          <w:szCs w:val="32"/>
        </w:rPr>
        <w:t>%，决算数大于年初预算数的主要原因是：</w:t>
      </w:r>
      <w:r>
        <w:rPr>
          <w:rFonts w:hint="default" w:ascii="Times New Roman" w:hAnsi="Times New Roman" w:eastAsia="仿宋" w:cs="Times New Roman"/>
          <w:sz w:val="32"/>
          <w:szCs w:val="32"/>
        </w:rPr>
        <w:t>医保铺底年初无预算。</w:t>
      </w:r>
    </w:p>
    <w:p w14:paraId="5B2C7EB3">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卫生健康支出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rPr>
        <w:t>行政事业单位医疗</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rPr>
        <w:t>其他行政事业单位医疗</w:t>
      </w:r>
      <w:r>
        <w:rPr>
          <w:rFonts w:hint="default" w:ascii="Times New Roman" w:hAnsi="Times New Roman" w:eastAsia="仿宋" w:cs="Times New Roman"/>
          <w:sz w:val="32"/>
          <w:szCs w:val="32"/>
        </w:rPr>
        <w:t>（项）。</w:t>
      </w:r>
    </w:p>
    <w:p w14:paraId="30CE3665">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年初预算为</w:t>
      </w:r>
      <w:r>
        <w:rPr>
          <w:rFonts w:hint="default" w:ascii="Times New Roman" w:hAnsi="Times New Roman" w:eastAsia="仿宋" w:cs="Times New Roman"/>
          <w:sz w:val="32"/>
          <w:szCs w:val="32"/>
        </w:rPr>
        <w:t>1.42</w:t>
      </w:r>
      <w:r>
        <w:rPr>
          <w:rFonts w:hint="default" w:ascii="Times New Roman" w:hAnsi="Times New Roman" w:eastAsia="仿宋" w:cs="Times New Roman"/>
          <w:sz w:val="32"/>
          <w:szCs w:val="32"/>
        </w:rPr>
        <w:t>万元，支出决算为</w:t>
      </w:r>
      <w:r>
        <w:rPr>
          <w:rFonts w:hint="default" w:ascii="Times New Roman" w:hAnsi="Times New Roman" w:eastAsia="仿宋" w:cs="Times New Roman"/>
          <w:sz w:val="32"/>
          <w:szCs w:val="32"/>
        </w:rPr>
        <w:t>1.42</w:t>
      </w:r>
      <w:r>
        <w:rPr>
          <w:rFonts w:hint="default" w:ascii="Times New Roman" w:hAnsi="Times New Roman" w:eastAsia="仿宋" w:cs="Times New Roman"/>
          <w:sz w:val="32"/>
          <w:szCs w:val="32"/>
        </w:rPr>
        <w:t>万元，完成年初预算的</w:t>
      </w:r>
      <w:r>
        <w:rPr>
          <w:rFonts w:hint="default" w:ascii="Times New Roman" w:hAnsi="Times New Roman" w:eastAsia="仿宋" w:cs="Times New Roman"/>
          <w:sz w:val="32"/>
          <w:szCs w:val="32"/>
        </w:rPr>
        <w:t>100</w:t>
      </w:r>
      <w:r>
        <w:rPr>
          <w:rFonts w:hint="default" w:ascii="Times New Roman" w:hAnsi="Times New Roman" w:eastAsia="仿宋" w:cs="Times New Roman"/>
          <w:sz w:val="32"/>
          <w:szCs w:val="32"/>
        </w:rPr>
        <w:t>%，决算数</w:t>
      </w:r>
      <w:r>
        <w:rPr>
          <w:rFonts w:hint="default" w:ascii="Times New Roman" w:hAnsi="Times New Roman" w:eastAsia="仿宋" w:cs="Times New Roman"/>
          <w:sz w:val="32"/>
          <w:szCs w:val="32"/>
        </w:rPr>
        <w:t>等于</w:t>
      </w:r>
      <w:r>
        <w:rPr>
          <w:rFonts w:hint="default" w:ascii="Times New Roman" w:hAnsi="Times New Roman" w:eastAsia="仿宋" w:cs="Times New Roman"/>
          <w:sz w:val="32"/>
          <w:szCs w:val="32"/>
        </w:rPr>
        <w:t>年初预算数</w:t>
      </w:r>
      <w:r>
        <w:rPr>
          <w:rFonts w:hint="default" w:ascii="Times New Roman" w:hAnsi="Times New Roman" w:eastAsia="仿宋" w:cs="Times New Roman"/>
          <w:sz w:val="32"/>
          <w:szCs w:val="32"/>
        </w:rPr>
        <w:t>。</w:t>
      </w:r>
    </w:p>
    <w:p w14:paraId="53EA2DE5">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卫生健康支出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rPr>
        <w:t>基层医疗卫生机关</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rPr>
        <w:t>其他基层医疗卫生机构支出</w:t>
      </w:r>
      <w:r>
        <w:rPr>
          <w:rFonts w:hint="default" w:ascii="Times New Roman" w:hAnsi="Times New Roman" w:eastAsia="仿宋" w:cs="Times New Roman"/>
          <w:sz w:val="32"/>
          <w:szCs w:val="32"/>
        </w:rPr>
        <w:t>（项）。</w:t>
      </w:r>
    </w:p>
    <w:p w14:paraId="550457DC">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年初预算为</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rPr>
        <w:t>万元，支出决算为</w:t>
      </w:r>
      <w:r>
        <w:rPr>
          <w:rFonts w:hint="default" w:ascii="Times New Roman" w:hAnsi="Times New Roman" w:eastAsia="仿宋" w:cs="Times New Roman"/>
          <w:sz w:val="32"/>
          <w:szCs w:val="32"/>
        </w:rPr>
        <w:t>167.74</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rPr>
        <w:t>由于年初预算为0元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无法计算完成比率，</w:t>
      </w:r>
      <w:r>
        <w:rPr>
          <w:rFonts w:hint="default" w:ascii="Times New Roman" w:hAnsi="Times New Roman" w:eastAsia="仿宋" w:cs="Times New Roman"/>
          <w:sz w:val="32"/>
          <w:szCs w:val="32"/>
        </w:rPr>
        <w:t>决算数大于年初预算数的主要原因是</w:t>
      </w:r>
      <w:r>
        <w:rPr>
          <w:rFonts w:hint="default" w:ascii="Times New Roman" w:hAnsi="Times New Roman" w:eastAsia="仿宋" w:cs="Times New Roman"/>
          <w:sz w:val="32"/>
          <w:szCs w:val="32"/>
        </w:rPr>
        <w:t>年初没有预算。</w:t>
      </w:r>
    </w:p>
    <w:p w14:paraId="27D577AD">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卫生健康支出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rPr>
        <w:t>公共卫生</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rPr>
        <w:t>基本公共卫生服务</w:t>
      </w:r>
      <w:r>
        <w:rPr>
          <w:rFonts w:hint="default" w:ascii="Times New Roman" w:hAnsi="Times New Roman" w:eastAsia="仿宋" w:cs="Times New Roman"/>
          <w:sz w:val="32"/>
          <w:szCs w:val="32"/>
        </w:rPr>
        <w:t>（项）。</w:t>
      </w:r>
    </w:p>
    <w:p w14:paraId="234EFB4D">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年初预算为</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rPr>
        <w:t>万元，支出决算为</w:t>
      </w:r>
      <w:r>
        <w:rPr>
          <w:rFonts w:hint="default" w:ascii="Times New Roman" w:hAnsi="Times New Roman" w:eastAsia="仿宋" w:cs="Times New Roman"/>
          <w:sz w:val="32"/>
          <w:szCs w:val="32"/>
        </w:rPr>
        <w:t>775.47</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rPr>
        <w:t>由于年初预算为0元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无法计算完成比率，</w:t>
      </w:r>
      <w:r>
        <w:rPr>
          <w:rFonts w:hint="default" w:ascii="Times New Roman" w:hAnsi="Times New Roman" w:eastAsia="仿宋" w:cs="Times New Roman"/>
          <w:sz w:val="32"/>
          <w:szCs w:val="32"/>
        </w:rPr>
        <w:t>决算数大于年初预算数的主要原因是</w:t>
      </w:r>
      <w:r>
        <w:rPr>
          <w:rFonts w:hint="default" w:ascii="Times New Roman" w:hAnsi="Times New Roman" w:eastAsia="仿宋" w:cs="Times New Roman"/>
          <w:sz w:val="32"/>
          <w:szCs w:val="32"/>
        </w:rPr>
        <w:t>年初没有预算。</w:t>
      </w:r>
    </w:p>
    <w:p w14:paraId="78074199">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11</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卫生健康支出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rPr>
        <w:t>公共卫生</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rPr>
        <w:t>重大公共卫生服务</w:t>
      </w:r>
      <w:r>
        <w:rPr>
          <w:rFonts w:hint="default" w:ascii="Times New Roman" w:hAnsi="Times New Roman" w:eastAsia="仿宋" w:cs="Times New Roman"/>
          <w:sz w:val="32"/>
          <w:szCs w:val="32"/>
        </w:rPr>
        <w:t>（项）。</w:t>
      </w:r>
    </w:p>
    <w:p w14:paraId="1D3A54A6">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年初预算为</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rPr>
        <w:t>万元，支出决算为</w:t>
      </w:r>
      <w:r>
        <w:rPr>
          <w:rFonts w:hint="default" w:ascii="Times New Roman" w:hAnsi="Times New Roman" w:eastAsia="仿宋" w:cs="Times New Roman"/>
          <w:sz w:val="32"/>
          <w:szCs w:val="32"/>
        </w:rPr>
        <w:t>47.09</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rPr>
        <w:t>由于年初预算为0元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无法计算完成比率，</w:t>
      </w:r>
      <w:r>
        <w:rPr>
          <w:rFonts w:hint="default" w:ascii="Times New Roman" w:hAnsi="Times New Roman" w:eastAsia="仿宋" w:cs="Times New Roman"/>
          <w:sz w:val="32"/>
          <w:szCs w:val="32"/>
        </w:rPr>
        <w:t>决算数大于年初预算数的主要原因是</w:t>
      </w:r>
      <w:r>
        <w:rPr>
          <w:rFonts w:hint="default" w:ascii="Times New Roman" w:hAnsi="Times New Roman" w:eastAsia="仿宋" w:cs="Times New Roman"/>
          <w:sz w:val="32"/>
          <w:szCs w:val="32"/>
        </w:rPr>
        <w:t>年初没有预算。</w:t>
      </w:r>
    </w:p>
    <w:p w14:paraId="281B3A39">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12</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卫生健康支出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rPr>
        <w:t>公共卫生</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rPr>
        <w:t>其他公共卫生支出</w:t>
      </w:r>
      <w:r>
        <w:rPr>
          <w:rFonts w:hint="default" w:ascii="Times New Roman" w:hAnsi="Times New Roman" w:eastAsia="仿宋" w:cs="Times New Roman"/>
          <w:sz w:val="32"/>
          <w:szCs w:val="32"/>
        </w:rPr>
        <w:t>（项）。</w:t>
      </w:r>
    </w:p>
    <w:p w14:paraId="59C5CCE6">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年初预算为</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rPr>
        <w:t>万元，支出决算为</w:t>
      </w:r>
      <w:r>
        <w:rPr>
          <w:rFonts w:hint="default" w:ascii="Times New Roman" w:hAnsi="Times New Roman" w:eastAsia="仿宋" w:cs="Times New Roman"/>
          <w:sz w:val="32"/>
          <w:szCs w:val="32"/>
        </w:rPr>
        <w:t>0.97</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rPr>
        <w:t>由于年初预算为0元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无法计算完成比率，</w:t>
      </w:r>
      <w:r>
        <w:rPr>
          <w:rFonts w:hint="default" w:ascii="Times New Roman" w:hAnsi="Times New Roman" w:eastAsia="仿宋" w:cs="Times New Roman"/>
          <w:sz w:val="32"/>
          <w:szCs w:val="32"/>
        </w:rPr>
        <w:t>决算数大于年初预算数的主要原因是</w:t>
      </w:r>
      <w:r>
        <w:rPr>
          <w:rFonts w:hint="default" w:ascii="Times New Roman" w:hAnsi="Times New Roman" w:eastAsia="仿宋" w:cs="Times New Roman"/>
          <w:sz w:val="32"/>
          <w:szCs w:val="32"/>
        </w:rPr>
        <w:t>年初没有预算</w:t>
      </w:r>
      <w:r>
        <w:rPr>
          <w:rFonts w:hint="default" w:ascii="Times New Roman" w:hAnsi="Times New Roman" w:eastAsia="仿宋" w:cs="Times New Roman"/>
          <w:sz w:val="32"/>
          <w:szCs w:val="32"/>
        </w:rPr>
        <w:t>。</w:t>
      </w:r>
    </w:p>
    <w:p w14:paraId="1E71CC66">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13</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卫生健康支出</w:t>
      </w:r>
      <w:r>
        <w:rPr>
          <w:rFonts w:hint="default" w:ascii="Times New Roman" w:hAnsi="Times New Roman" w:eastAsia="仿宋" w:cs="Times New Roman"/>
          <w:sz w:val="32"/>
          <w:szCs w:val="32"/>
        </w:rPr>
        <w:t>（类）其他卫生健康支出（款）</w:t>
      </w:r>
      <w:r>
        <w:rPr>
          <w:rFonts w:hint="default" w:ascii="Times New Roman" w:hAnsi="Times New Roman" w:eastAsia="仿宋" w:cs="Times New Roman"/>
          <w:sz w:val="32"/>
          <w:szCs w:val="32"/>
        </w:rPr>
        <w:t>其他卫生健康支出</w:t>
      </w:r>
      <w:r>
        <w:rPr>
          <w:rFonts w:hint="default" w:ascii="Times New Roman" w:hAnsi="Times New Roman" w:eastAsia="仿宋" w:cs="Times New Roman"/>
          <w:sz w:val="32"/>
          <w:szCs w:val="32"/>
        </w:rPr>
        <w:t>（项）。</w:t>
      </w:r>
    </w:p>
    <w:p w14:paraId="6953AEBC">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年初预算为0万元，支出决算为12.85万元，</w:t>
      </w:r>
      <w:r>
        <w:rPr>
          <w:rFonts w:hint="default" w:ascii="Times New Roman" w:hAnsi="Times New Roman" w:eastAsia="仿宋" w:cs="Times New Roman"/>
          <w:sz w:val="32"/>
          <w:szCs w:val="32"/>
        </w:rPr>
        <w:t>由于年初预算为0元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无法计算完成比率，</w:t>
      </w:r>
      <w:r>
        <w:rPr>
          <w:rFonts w:hint="default" w:ascii="Times New Roman" w:hAnsi="Times New Roman" w:eastAsia="仿宋" w:cs="Times New Roman"/>
          <w:sz w:val="32"/>
          <w:szCs w:val="32"/>
        </w:rPr>
        <w:t>决算数大于年初预算数的主要原因是</w:t>
      </w:r>
      <w:r>
        <w:rPr>
          <w:rFonts w:hint="default" w:ascii="Times New Roman" w:hAnsi="Times New Roman" w:eastAsia="仿宋" w:cs="Times New Roman"/>
          <w:sz w:val="32"/>
          <w:szCs w:val="32"/>
        </w:rPr>
        <w:t>年初没有预算。</w:t>
      </w:r>
    </w:p>
    <w:p w14:paraId="0E350514">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14</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住房保障支出（类）住房改革支出（款）住房公积金（项）。</w:t>
      </w:r>
    </w:p>
    <w:p w14:paraId="36B5A2AA">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年初预算为30.52万元，支出决算为30.52万元，完成年初预算的100%，决算数等于年初预算数。</w:t>
      </w:r>
    </w:p>
    <w:p w14:paraId="3A63227A">
      <w:pPr>
        <w:keepNext w:val="0"/>
        <w:keepLines w:val="0"/>
        <w:pageBreakBefore w:val="0"/>
        <w:widowControl/>
        <w:wordWrap/>
        <w:topLinePunct w:val="0"/>
        <w:bidi w:val="0"/>
        <w:spacing w:line="600" w:lineRule="exact"/>
        <w:ind w:right="0" w:firstLine="640" w:firstLineChars="20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六、一般公共预算财政拨款基本支出决算情况说明</w:t>
      </w:r>
    </w:p>
    <w:p w14:paraId="78C9313B">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2024年度一般公共预算财政拨款基本支出</w:t>
      </w:r>
      <w:r>
        <w:rPr>
          <w:rFonts w:hint="default" w:ascii="Times New Roman" w:hAnsi="Times New Roman" w:eastAsia="仿宋" w:cs="Times New Roman"/>
          <w:sz w:val="32"/>
          <w:szCs w:val="32"/>
        </w:rPr>
        <w:t>469.25</w:t>
      </w:r>
      <w:r>
        <w:rPr>
          <w:rFonts w:hint="default" w:ascii="Times New Roman" w:hAnsi="Times New Roman" w:eastAsia="仿宋" w:cs="Times New Roman"/>
          <w:sz w:val="32"/>
          <w:szCs w:val="32"/>
        </w:rPr>
        <w:t>万元，其中：</w:t>
      </w:r>
    </w:p>
    <w:p w14:paraId="137A0371">
      <w:pPr>
        <w:pStyle w:val="13"/>
        <w:keepNext w:val="0"/>
        <w:keepLines w:val="0"/>
        <w:pageBreakBefore w:val="0"/>
        <w:wordWrap/>
        <w:overflowPunct w:val="0"/>
        <w:topLinePunct w:val="0"/>
        <w:autoSpaceDE/>
        <w:autoSpaceDN/>
        <w:bidi w:val="0"/>
        <w:spacing w:line="600" w:lineRule="exact"/>
        <w:ind w:right="0" w:firstLine="643"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人员经费</w:t>
      </w:r>
      <w:r>
        <w:rPr>
          <w:rFonts w:hint="default" w:ascii="Times New Roman" w:hAnsi="Times New Roman" w:eastAsia="仿宋" w:cs="Times New Roman"/>
          <w:b/>
          <w:bCs/>
          <w:sz w:val="32"/>
          <w:szCs w:val="32"/>
        </w:rPr>
        <w:t>413.69</w:t>
      </w:r>
      <w:r>
        <w:rPr>
          <w:rFonts w:hint="default" w:ascii="Times New Roman" w:hAnsi="Times New Roman" w:eastAsia="仿宋" w:cs="Times New Roman"/>
          <w:sz w:val="32"/>
          <w:szCs w:val="32"/>
        </w:rPr>
        <w:t>万元，占基本支出的</w:t>
      </w:r>
      <w:r>
        <w:rPr>
          <w:rFonts w:hint="default" w:ascii="Times New Roman" w:hAnsi="Times New Roman" w:eastAsia="仿宋" w:cs="Times New Roman"/>
          <w:sz w:val="32"/>
          <w:szCs w:val="32"/>
        </w:rPr>
        <w:t>88.16</w:t>
      </w:r>
      <w:r>
        <w:rPr>
          <w:rFonts w:hint="default" w:ascii="Times New Roman" w:hAnsi="Times New Roman" w:eastAsia="仿宋" w:cs="Times New Roman"/>
          <w:sz w:val="32"/>
          <w:szCs w:val="32"/>
        </w:rPr>
        <w:t>%,主要包括</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基本工资、津贴补贴、奖金、伙食补助费、机关事业单位基本养老保险缴费、职业年金缴费、职工基本医疗保险缴费、其他社会保障缴费、住房公积金、退休费、抚恤金、生活补助、救济费、奖励金、其他对个人和家庭的补助；</w:t>
      </w:r>
    </w:p>
    <w:p w14:paraId="7090B43F">
      <w:pPr>
        <w:keepNext w:val="0"/>
        <w:keepLines w:val="0"/>
        <w:pageBreakBefore w:val="0"/>
        <w:kinsoku w:val="0"/>
        <w:wordWrap/>
        <w:overflowPunct w:val="0"/>
        <w:topLinePunct w:val="0"/>
        <w:autoSpaceDE w:val="0"/>
        <w:autoSpaceDN w:val="0"/>
        <w:bidi w:val="0"/>
        <w:adjustRightInd w:val="0"/>
        <w:snapToGrid w:val="0"/>
        <w:spacing w:line="600" w:lineRule="exact"/>
        <w:ind w:right="0" w:firstLine="643" w:firstLineChars="200"/>
        <w:textAlignment w:val="baseline"/>
        <w:rPr>
          <w:rFonts w:hint="default" w:ascii="Times New Roman" w:hAnsi="Times New Roman" w:eastAsia="仿宋" w:cs="Times New Roman"/>
          <w:b/>
          <w:sz w:val="32"/>
          <w:szCs w:val="32"/>
        </w:rPr>
      </w:pPr>
      <w:r>
        <w:rPr>
          <w:rFonts w:hint="default" w:ascii="Times New Roman" w:hAnsi="Times New Roman" w:eastAsia="仿宋" w:cs="Times New Roman"/>
          <w:b/>
          <w:bCs/>
          <w:sz w:val="32"/>
          <w:szCs w:val="32"/>
        </w:rPr>
        <w:t>公用经费</w:t>
      </w:r>
      <w:r>
        <w:rPr>
          <w:rFonts w:hint="default" w:ascii="Times New Roman" w:hAnsi="Times New Roman" w:eastAsia="仿宋" w:cs="Times New Roman"/>
          <w:b/>
          <w:bCs/>
          <w:sz w:val="32"/>
          <w:szCs w:val="32"/>
        </w:rPr>
        <w:t>55.56</w:t>
      </w:r>
      <w:r>
        <w:rPr>
          <w:rFonts w:hint="default" w:ascii="Times New Roman" w:hAnsi="Times New Roman" w:eastAsia="仿宋" w:cs="Times New Roman"/>
          <w:sz w:val="32"/>
          <w:szCs w:val="32"/>
        </w:rPr>
        <w:t>万元，占基本支出的</w:t>
      </w:r>
      <w:r>
        <w:rPr>
          <w:rFonts w:hint="default" w:ascii="Times New Roman" w:hAnsi="Times New Roman" w:eastAsia="仿宋" w:cs="Times New Roman"/>
          <w:sz w:val="32"/>
          <w:szCs w:val="32"/>
        </w:rPr>
        <w:t>11.84</w:t>
      </w:r>
      <w:r>
        <w:rPr>
          <w:rFonts w:hint="default" w:ascii="Times New Roman" w:hAnsi="Times New Roman" w:eastAsia="仿宋" w:cs="Times New Roman"/>
          <w:sz w:val="32"/>
          <w:szCs w:val="32"/>
        </w:rPr>
        <w:t>%，主要包括</w:t>
      </w:r>
      <w:r>
        <w:rPr>
          <w:rFonts w:hint="default" w:ascii="Times New Roman" w:hAnsi="Times New Roman" w:eastAsia="仿宋" w:cs="Times New Roman"/>
          <w:sz w:val="32"/>
          <w:szCs w:val="32"/>
        </w:rPr>
        <w:t>：办公费、印刷费、咨询费、水费、电费、邮电费、物业管理费、差旅费、维修（护）费、会议费、培训费、公务接待费、劳务费、委托业务费、工会经费、福利费、公务用车运行维护费、其他商品和服务支出。</w:t>
      </w:r>
    </w:p>
    <w:p w14:paraId="5213BDD2">
      <w:pPr>
        <w:keepNext w:val="0"/>
        <w:keepLines w:val="0"/>
        <w:pageBreakBefore w:val="0"/>
        <w:widowControl/>
        <w:wordWrap/>
        <w:topLinePunct w:val="0"/>
        <w:bidi w:val="0"/>
        <w:spacing w:line="600" w:lineRule="exact"/>
        <w:ind w:right="0" w:firstLine="640" w:firstLineChars="20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七、财政拨款“三公”经费支出决算情况说明</w:t>
      </w:r>
    </w:p>
    <w:p w14:paraId="6B8215ED">
      <w:pPr>
        <w:pStyle w:val="13"/>
        <w:keepNext w:val="0"/>
        <w:keepLines w:val="0"/>
        <w:pageBreakBefore w:val="0"/>
        <w:wordWrap/>
        <w:overflowPunct w:val="0"/>
        <w:topLinePunct w:val="0"/>
        <w:autoSpaceDE/>
        <w:autoSpaceDN/>
        <w:bidi w:val="0"/>
        <w:spacing w:line="600" w:lineRule="exact"/>
        <w:ind w:right="0" w:firstLine="643" w:firstLineChars="200"/>
        <w:jc w:val="both"/>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（一）“三公”经费财政拨款支出决算总体情况说明</w:t>
      </w:r>
    </w:p>
    <w:p w14:paraId="0E55D150">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2024年度“三公”经费财政拨款支出预算为</w:t>
      </w:r>
      <w:r>
        <w:rPr>
          <w:rFonts w:hint="default" w:ascii="Times New Roman" w:hAnsi="Times New Roman" w:eastAsia="仿宋" w:cs="Times New Roman"/>
          <w:sz w:val="32"/>
          <w:szCs w:val="32"/>
        </w:rPr>
        <w:t>21</w:t>
      </w:r>
      <w:r>
        <w:rPr>
          <w:rFonts w:hint="default" w:ascii="Times New Roman" w:hAnsi="Times New Roman" w:eastAsia="仿宋" w:cs="Times New Roman"/>
          <w:sz w:val="32"/>
          <w:szCs w:val="32"/>
        </w:rPr>
        <w:t>万元，支出决算为</w:t>
      </w:r>
      <w:r>
        <w:rPr>
          <w:rFonts w:hint="default" w:ascii="Times New Roman" w:hAnsi="Times New Roman" w:eastAsia="仿宋" w:cs="Times New Roman"/>
          <w:sz w:val="32"/>
          <w:szCs w:val="32"/>
        </w:rPr>
        <w:t>10.26</w:t>
      </w:r>
      <w:r>
        <w:rPr>
          <w:rFonts w:hint="default" w:ascii="Times New Roman" w:hAnsi="Times New Roman" w:eastAsia="仿宋" w:cs="Times New Roman"/>
          <w:sz w:val="32"/>
          <w:szCs w:val="32"/>
        </w:rPr>
        <w:t>万元，完成预算的</w:t>
      </w:r>
      <w:r>
        <w:rPr>
          <w:rFonts w:hint="default" w:ascii="Times New Roman" w:hAnsi="Times New Roman" w:eastAsia="仿宋" w:cs="Times New Roman"/>
          <w:sz w:val="32"/>
          <w:szCs w:val="32"/>
        </w:rPr>
        <w:t>48.86</w:t>
      </w:r>
      <w:r>
        <w:rPr>
          <w:rFonts w:hint="default" w:ascii="Times New Roman" w:hAnsi="Times New Roman" w:eastAsia="仿宋" w:cs="Times New Roman"/>
          <w:sz w:val="32"/>
          <w:szCs w:val="32"/>
        </w:rPr>
        <w:t>%；与上年相比减少</w:t>
      </w:r>
      <w:r>
        <w:rPr>
          <w:rFonts w:hint="default" w:ascii="Times New Roman" w:hAnsi="Times New Roman" w:eastAsia="仿宋" w:cs="Times New Roman"/>
          <w:sz w:val="32"/>
          <w:szCs w:val="32"/>
        </w:rPr>
        <w:t>26.85</w:t>
      </w:r>
      <w:r>
        <w:rPr>
          <w:rFonts w:hint="default" w:ascii="Times New Roman" w:hAnsi="Times New Roman" w:eastAsia="仿宋" w:cs="Times New Roman"/>
          <w:sz w:val="32"/>
          <w:szCs w:val="32"/>
        </w:rPr>
        <w:t>万元，降低</w:t>
      </w:r>
      <w:r>
        <w:rPr>
          <w:rFonts w:hint="default" w:ascii="Times New Roman" w:hAnsi="Times New Roman" w:eastAsia="仿宋" w:cs="Times New Roman"/>
          <w:sz w:val="32"/>
          <w:szCs w:val="32"/>
        </w:rPr>
        <w:t>72.35</w:t>
      </w:r>
      <w:r>
        <w:rPr>
          <w:rFonts w:hint="default" w:ascii="Times New Roman" w:hAnsi="Times New Roman" w:eastAsia="仿宋" w:cs="Times New Roman"/>
          <w:sz w:val="32"/>
          <w:szCs w:val="32"/>
        </w:rPr>
        <w:t>%。决算数小于预算数的主要原因是</w:t>
      </w:r>
      <w:r>
        <w:rPr>
          <w:rFonts w:hint="default" w:ascii="Times New Roman" w:hAnsi="Times New Roman" w:eastAsia="仿宋" w:cs="Times New Roman"/>
          <w:sz w:val="32"/>
          <w:szCs w:val="32"/>
        </w:rPr>
        <w:t>厉行勤俭节约</w:t>
      </w:r>
      <w:r>
        <w:rPr>
          <w:rFonts w:hint="default" w:ascii="Times New Roman" w:hAnsi="Times New Roman" w:eastAsia="仿宋" w:cs="Times New Roman"/>
          <w:sz w:val="32"/>
          <w:szCs w:val="32"/>
        </w:rPr>
        <w:t>。决算数小于上年数的主要原因是</w:t>
      </w:r>
      <w:r>
        <w:rPr>
          <w:rFonts w:hint="default" w:ascii="Times New Roman" w:hAnsi="Times New Roman" w:eastAsia="仿宋" w:cs="Times New Roman"/>
          <w:sz w:val="32"/>
          <w:szCs w:val="32"/>
        </w:rPr>
        <w:t>厉行勤俭节约</w:t>
      </w:r>
      <w:r>
        <w:rPr>
          <w:rFonts w:hint="default" w:ascii="Times New Roman" w:hAnsi="Times New Roman" w:eastAsia="仿宋" w:cs="Times New Roman"/>
          <w:sz w:val="32"/>
          <w:szCs w:val="32"/>
        </w:rPr>
        <w:t>。</w:t>
      </w:r>
    </w:p>
    <w:p w14:paraId="38710E6A">
      <w:pPr>
        <w:pStyle w:val="13"/>
        <w:keepNext w:val="0"/>
        <w:keepLines w:val="0"/>
        <w:pageBreakBefore w:val="0"/>
        <w:wordWrap/>
        <w:overflowPunct w:val="0"/>
        <w:topLinePunct w:val="0"/>
        <w:autoSpaceDE/>
        <w:autoSpaceDN/>
        <w:bidi w:val="0"/>
        <w:spacing w:line="600" w:lineRule="exact"/>
        <w:ind w:right="0" w:firstLine="643" w:firstLineChars="200"/>
        <w:jc w:val="both"/>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（二）“三公”经费财政拨款支出决算具体情况说明</w:t>
      </w:r>
    </w:p>
    <w:p w14:paraId="085684CC">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b/>
          <w:bCs/>
          <w:i/>
          <w:color w:val="auto"/>
          <w:sz w:val="32"/>
          <w:szCs w:val="32"/>
        </w:rPr>
      </w:pPr>
      <w:r>
        <w:rPr>
          <w:rFonts w:hint="default" w:ascii="Times New Roman" w:hAnsi="Times New Roman" w:eastAsia="仿宋" w:cs="Times New Roman"/>
          <w:sz w:val="32"/>
          <w:szCs w:val="32"/>
        </w:rPr>
        <w:t>1.因公出国（境）费支出预算为</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rPr>
        <w:t>万元，支出决算为</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rPr>
        <w:t>万元；</w:t>
      </w:r>
    </w:p>
    <w:p w14:paraId="3BD3183A">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b/>
          <w:bCs/>
          <w:i/>
          <w:sz w:val="32"/>
          <w:szCs w:val="32"/>
        </w:rPr>
      </w:pPr>
      <w:r>
        <w:rPr>
          <w:rFonts w:hint="default" w:ascii="Times New Roman" w:hAnsi="Times New Roman" w:eastAsia="仿宋" w:cs="Times New Roman"/>
          <w:sz w:val="32"/>
          <w:szCs w:val="32"/>
        </w:rPr>
        <w:t>2.公务用车购置费及运行维护费支出预算为</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rPr>
        <w:t>万元，支出决算为</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公务用车运行维护费支出预算为</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rPr>
        <w:t>万元，支出决算为</w:t>
      </w:r>
      <w:r>
        <w:rPr>
          <w:rFonts w:hint="default" w:ascii="Times New Roman" w:hAnsi="Times New Roman" w:eastAsia="仿宋" w:cs="Times New Roman"/>
          <w:sz w:val="32"/>
          <w:szCs w:val="32"/>
        </w:rPr>
        <w:t>5.03</w:t>
      </w:r>
      <w:r>
        <w:rPr>
          <w:rFonts w:hint="default" w:ascii="Times New Roman" w:hAnsi="Times New Roman" w:eastAsia="仿宋" w:cs="Times New Roman"/>
          <w:sz w:val="32"/>
          <w:szCs w:val="32"/>
        </w:rPr>
        <w:t>万元，主要是</w:t>
      </w:r>
      <w:r>
        <w:rPr>
          <w:rFonts w:hint="default" w:ascii="Times New Roman" w:hAnsi="Times New Roman" w:eastAsia="仿宋" w:cs="Times New Roman"/>
          <w:sz w:val="32"/>
          <w:szCs w:val="32"/>
        </w:rPr>
        <w:t>救护车维护费</w:t>
      </w:r>
      <w:r>
        <w:rPr>
          <w:rFonts w:hint="default" w:ascii="Times New Roman" w:hAnsi="Times New Roman" w:eastAsia="仿宋" w:cs="Times New Roman"/>
          <w:sz w:val="32"/>
          <w:szCs w:val="32"/>
        </w:rPr>
        <w:t>支出，</w:t>
      </w:r>
      <w:r>
        <w:rPr>
          <w:rFonts w:hint="default" w:ascii="Times New Roman" w:hAnsi="Times New Roman" w:eastAsia="仿宋" w:cs="Times New Roman"/>
          <w:sz w:val="32"/>
          <w:szCs w:val="32"/>
        </w:rPr>
        <w:t>由于年初预算为0元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无法计算完成比率，</w:t>
      </w:r>
      <w:r>
        <w:rPr>
          <w:rFonts w:hint="default" w:ascii="Times New Roman" w:hAnsi="Times New Roman" w:eastAsia="仿宋" w:cs="Times New Roman"/>
          <w:sz w:val="32"/>
          <w:szCs w:val="32"/>
        </w:rPr>
        <w:t>决算数大于年初预算数的主要原因是</w:t>
      </w:r>
      <w:r>
        <w:rPr>
          <w:rFonts w:hint="default" w:ascii="Times New Roman" w:hAnsi="Times New Roman" w:eastAsia="仿宋" w:cs="Times New Roman"/>
          <w:sz w:val="32"/>
          <w:szCs w:val="32"/>
        </w:rPr>
        <w:t>年初没有预算。</w:t>
      </w:r>
      <w:r>
        <w:rPr>
          <w:rFonts w:hint="default" w:ascii="Times New Roman" w:hAnsi="Times New Roman" w:eastAsia="仿宋" w:cs="Times New Roman"/>
          <w:sz w:val="32"/>
          <w:szCs w:val="32"/>
        </w:rPr>
        <w:t>截止2024年12月31日，我单位开支财政拨款的公务用车保有量为</w:t>
      </w: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t>辆。</w:t>
      </w:r>
    </w:p>
    <w:p w14:paraId="59165AF4">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3.公务接待费支出预算为</w:t>
      </w:r>
      <w:r>
        <w:rPr>
          <w:rFonts w:hint="default" w:ascii="Times New Roman" w:hAnsi="Times New Roman" w:eastAsia="仿宋" w:cs="Times New Roman"/>
          <w:sz w:val="32"/>
          <w:szCs w:val="32"/>
        </w:rPr>
        <w:t>21</w:t>
      </w:r>
      <w:r>
        <w:rPr>
          <w:rFonts w:hint="default" w:ascii="Times New Roman" w:hAnsi="Times New Roman" w:eastAsia="仿宋" w:cs="Times New Roman"/>
          <w:sz w:val="32"/>
          <w:szCs w:val="32"/>
        </w:rPr>
        <w:t>万元，支出决算为</w:t>
      </w:r>
      <w:r>
        <w:rPr>
          <w:rFonts w:hint="default" w:ascii="Times New Roman" w:hAnsi="Times New Roman" w:eastAsia="仿宋" w:cs="Times New Roman"/>
          <w:sz w:val="32"/>
          <w:szCs w:val="32"/>
        </w:rPr>
        <w:t>5.23</w:t>
      </w:r>
      <w:r>
        <w:rPr>
          <w:rFonts w:hint="default" w:ascii="Times New Roman" w:hAnsi="Times New Roman" w:eastAsia="仿宋" w:cs="Times New Roman"/>
          <w:sz w:val="32"/>
          <w:szCs w:val="32"/>
        </w:rPr>
        <w:t>万元，完成预算的</w:t>
      </w:r>
      <w:r>
        <w:rPr>
          <w:rFonts w:hint="default" w:ascii="Times New Roman" w:hAnsi="Times New Roman" w:eastAsia="仿宋" w:cs="Times New Roman"/>
          <w:sz w:val="32"/>
          <w:szCs w:val="32"/>
        </w:rPr>
        <w:t>24.90</w:t>
      </w:r>
      <w:r>
        <w:rPr>
          <w:rFonts w:hint="default" w:ascii="Times New Roman" w:hAnsi="Times New Roman" w:eastAsia="仿宋" w:cs="Times New Roman"/>
          <w:sz w:val="32"/>
          <w:szCs w:val="32"/>
        </w:rPr>
        <w:t>%；与上年相比减少</w:t>
      </w:r>
      <w:r>
        <w:rPr>
          <w:rFonts w:hint="default" w:ascii="Times New Roman" w:hAnsi="Times New Roman" w:eastAsia="仿宋" w:cs="Times New Roman"/>
          <w:sz w:val="32"/>
          <w:szCs w:val="32"/>
        </w:rPr>
        <w:t>0.68</w:t>
      </w:r>
      <w:r>
        <w:rPr>
          <w:rFonts w:hint="default" w:ascii="Times New Roman" w:hAnsi="Times New Roman" w:eastAsia="仿宋" w:cs="Times New Roman"/>
          <w:sz w:val="32"/>
          <w:szCs w:val="32"/>
        </w:rPr>
        <w:t>万元，降低</w:t>
      </w:r>
      <w:r>
        <w:rPr>
          <w:rFonts w:hint="default" w:ascii="Times New Roman" w:hAnsi="Times New Roman" w:eastAsia="仿宋" w:cs="Times New Roman"/>
          <w:sz w:val="32"/>
          <w:szCs w:val="32"/>
        </w:rPr>
        <w:t>11.51</w:t>
      </w:r>
      <w:r>
        <w:rPr>
          <w:rFonts w:hint="default" w:ascii="Times New Roman" w:hAnsi="Times New Roman" w:eastAsia="仿宋" w:cs="Times New Roman"/>
          <w:sz w:val="32"/>
          <w:szCs w:val="32"/>
        </w:rPr>
        <w:t>%。决算数小于预算数的主要原因是</w:t>
      </w:r>
      <w:r>
        <w:rPr>
          <w:rFonts w:hint="default" w:ascii="Times New Roman" w:hAnsi="Times New Roman" w:eastAsia="仿宋" w:cs="Times New Roman"/>
          <w:sz w:val="32"/>
          <w:szCs w:val="32"/>
        </w:rPr>
        <w:t>厉行勤俭节约</w:t>
      </w:r>
      <w:r>
        <w:rPr>
          <w:rFonts w:hint="default" w:ascii="Times New Roman" w:hAnsi="Times New Roman" w:eastAsia="仿宋" w:cs="Times New Roman"/>
          <w:sz w:val="32"/>
          <w:szCs w:val="32"/>
        </w:rPr>
        <w:t>。决算数小于上年数的主要原因是</w:t>
      </w:r>
      <w:r>
        <w:rPr>
          <w:rFonts w:hint="default" w:ascii="Times New Roman" w:hAnsi="Times New Roman" w:eastAsia="仿宋" w:cs="Times New Roman"/>
          <w:sz w:val="32"/>
          <w:szCs w:val="32"/>
        </w:rPr>
        <w:t>厉行勤俭节约</w:t>
      </w:r>
      <w:r>
        <w:rPr>
          <w:rFonts w:hint="default" w:ascii="Times New Roman" w:hAnsi="Times New Roman" w:eastAsia="仿宋" w:cs="Times New Roman"/>
          <w:sz w:val="32"/>
          <w:szCs w:val="32"/>
        </w:rPr>
        <w:t>。2024年度共接待来访团组</w:t>
      </w:r>
      <w:r>
        <w:rPr>
          <w:rFonts w:hint="default" w:ascii="Times New Roman" w:hAnsi="Times New Roman" w:eastAsia="仿宋" w:cs="Times New Roman"/>
          <w:sz w:val="32"/>
          <w:szCs w:val="32"/>
        </w:rPr>
        <w:t>78</w:t>
      </w:r>
      <w:r>
        <w:rPr>
          <w:rFonts w:hint="default" w:ascii="Times New Roman" w:hAnsi="Times New Roman" w:eastAsia="仿宋" w:cs="Times New Roman"/>
          <w:sz w:val="32"/>
          <w:szCs w:val="32"/>
        </w:rPr>
        <w:t>个、来宾人次</w:t>
      </w:r>
      <w:r>
        <w:rPr>
          <w:rFonts w:hint="default" w:ascii="Times New Roman" w:hAnsi="Times New Roman" w:eastAsia="仿宋" w:cs="Times New Roman"/>
          <w:sz w:val="32"/>
          <w:szCs w:val="32"/>
        </w:rPr>
        <w:t>453</w:t>
      </w:r>
      <w:r>
        <w:rPr>
          <w:rFonts w:hint="default" w:ascii="Times New Roman" w:hAnsi="Times New Roman" w:eastAsia="仿宋" w:cs="Times New Roman"/>
          <w:sz w:val="32"/>
          <w:szCs w:val="32"/>
        </w:rPr>
        <w:t>，主要是</w:t>
      </w:r>
      <w:r>
        <w:rPr>
          <w:rFonts w:hint="default" w:ascii="Times New Roman" w:hAnsi="Times New Roman" w:eastAsia="仿宋" w:cs="Times New Roman"/>
          <w:sz w:val="32"/>
          <w:szCs w:val="32"/>
        </w:rPr>
        <w:t>基本公共卫生服务考核、其他专项工作检查督查等</w:t>
      </w:r>
      <w:r>
        <w:rPr>
          <w:rFonts w:hint="default" w:ascii="Times New Roman" w:hAnsi="Times New Roman" w:eastAsia="仿宋" w:cs="Times New Roman"/>
          <w:sz w:val="32"/>
          <w:szCs w:val="32"/>
        </w:rPr>
        <w:t>发生的接待支出。</w:t>
      </w:r>
    </w:p>
    <w:p w14:paraId="319DF928">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cs="Times New Roman"/>
          <w:bCs/>
          <w:sz w:val="32"/>
          <w:szCs w:val="32"/>
        </w:rPr>
      </w:pPr>
      <w:r>
        <w:rPr>
          <w:rFonts w:hint="default" w:ascii="Times New Roman" w:hAnsi="Times New Roman" w:cs="Times New Roman"/>
          <w:bCs/>
          <w:sz w:val="32"/>
          <w:szCs w:val="32"/>
        </w:rPr>
        <w:t>八、政府性基金预算收入支出决算情况</w:t>
      </w:r>
    </w:p>
    <w:p w14:paraId="47E54134">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2024年度政府性基金预算财政拨款收入</w:t>
      </w:r>
      <w:r>
        <w:rPr>
          <w:rFonts w:hint="default" w:ascii="Times New Roman" w:hAnsi="Times New Roman" w:eastAsia="仿宋" w:cs="Times New Roman"/>
          <w:sz w:val="32"/>
          <w:szCs w:val="32"/>
        </w:rPr>
        <w:t>22.5</w:t>
      </w:r>
      <w:r>
        <w:rPr>
          <w:rFonts w:hint="default" w:ascii="Times New Roman" w:hAnsi="Times New Roman" w:eastAsia="仿宋" w:cs="Times New Roman"/>
          <w:sz w:val="32"/>
          <w:szCs w:val="32"/>
        </w:rPr>
        <w:t>万元；年初结转和结余</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rPr>
        <w:t>万元；支出</w:t>
      </w:r>
      <w:r>
        <w:rPr>
          <w:rFonts w:hint="default" w:ascii="Times New Roman" w:hAnsi="Times New Roman" w:eastAsia="仿宋" w:cs="Times New Roman"/>
          <w:sz w:val="32"/>
          <w:szCs w:val="32"/>
        </w:rPr>
        <w:t>22.5</w:t>
      </w:r>
      <w:r>
        <w:rPr>
          <w:rFonts w:hint="default" w:ascii="Times New Roman" w:hAnsi="Times New Roman" w:eastAsia="仿宋" w:cs="Times New Roman"/>
          <w:sz w:val="32"/>
          <w:szCs w:val="32"/>
        </w:rPr>
        <w:t>万元，其中基本支出</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rPr>
        <w:t>万元，项目支出</w:t>
      </w:r>
      <w:r>
        <w:rPr>
          <w:rFonts w:hint="default" w:ascii="Times New Roman" w:hAnsi="Times New Roman" w:eastAsia="仿宋" w:cs="Times New Roman"/>
          <w:sz w:val="32"/>
          <w:szCs w:val="32"/>
        </w:rPr>
        <w:t>22.5</w:t>
      </w:r>
      <w:r>
        <w:rPr>
          <w:rFonts w:hint="default" w:ascii="Times New Roman" w:hAnsi="Times New Roman" w:eastAsia="仿宋" w:cs="Times New Roman"/>
          <w:sz w:val="32"/>
          <w:szCs w:val="32"/>
        </w:rPr>
        <w:t>万元；年末结转和结余</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rPr>
        <w:t>万元。具体情况如下：</w:t>
      </w:r>
    </w:p>
    <w:p w14:paraId="548D635E">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其他支出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rPr>
        <w:t>彩票公益金</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rPr>
        <w:t>用于其他社会公益事业的彩票公益金支出</w:t>
      </w:r>
      <w:r>
        <w:rPr>
          <w:rFonts w:hint="default" w:ascii="Times New Roman" w:hAnsi="Times New Roman" w:eastAsia="仿宋" w:cs="Times New Roman"/>
          <w:sz w:val="32"/>
          <w:szCs w:val="32"/>
        </w:rPr>
        <w:t>（项）。</w:t>
      </w:r>
    </w:p>
    <w:p w14:paraId="2F63011F">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年初预算为</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rPr>
        <w:t>万元，支出决算为</w:t>
      </w:r>
      <w:r>
        <w:rPr>
          <w:rFonts w:hint="default" w:ascii="Times New Roman" w:hAnsi="Times New Roman" w:eastAsia="仿宋" w:cs="Times New Roman"/>
          <w:sz w:val="32"/>
          <w:szCs w:val="32"/>
        </w:rPr>
        <w:t>22.5</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rPr>
        <w:t>主要用于景区医疗救护建设项目支出。由于年初预算为0元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无法计算完成比率，</w:t>
      </w:r>
      <w:r>
        <w:rPr>
          <w:rFonts w:hint="default" w:ascii="Times New Roman" w:hAnsi="Times New Roman" w:eastAsia="仿宋" w:cs="Times New Roman"/>
          <w:sz w:val="32"/>
          <w:szCs w:val="32"/>
        </w:rPr>
        <w:t>决算数大于年初预算数的主要原因是</w:t>
      </w:r>
      <w:r>
        <w:rPr>
          <w:rFonts w:hint="default" w:ascii="Times New Roman" w:hAnsi="Times New Roman" w:eastAsia="仿宋" w:cs="Times New Roman"/>
          <w:sz w:val="32"/>
          <w:szCs w:val="32"/>
        </w:rPr>
        <w:t>年初没有预算。</w:t>
      </w:r>
    </w:p>
    <w:p w14:paraId="60B22D90">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cs="Times New Roman"/>
          <w:bCs/>
          <w:sz w:val="32"/>
          <w:szCs w:val="32"/>
        </w:rPr>
      </w:pPr>
      <w:r>
        <w:rPr>
          <w:rFonts w:hint="default" w:ascii="Times New Roman" w:hAnsi="Times New Roman" w:cs="Times New Roman"/>
          <w:bCs/>
          <w:sz w:val="32"/>
          <w:szCs w:val="32"/>
        </w:rPr>
        <w:t>九、关于机关运行经费支出说明</w:t>
      </w:r>
    </w:p>
    <w:p w14:paraId="44FBC6F7">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本部门2024年度机关运行经费支出</w:t>
      </w:r>
      <w:r>
        <w:rPr>
          <w:rFonts w:hint="default" w:ascii="Times New Roman" w:hAnsi="Times New Roman" w:eastAsia="仿宋" w:cs="Times New Roman"/>
          <w:sz w:val="32"/>
          <w:szCs w:val="32"/>
        </w:rPr>
        <w:t>55.56</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比上年决算数增加</w:t>
      </w:r>
      <w:r>
        <w:rPr>
          <w:rFonts w:hint="default" w:ascii="Times New Roman" w:hAnsi="Times New Roman" w:eastAsia="仿宋" w:cs="Times New Roman"/>
          <w:sz w:val="32"/>
          <w:szCs w:val="32"/>
        </w:rPr>
        <w:t>11.79</w:t>
      </w:r>
      <w:r>
        <w:rPr>
          <w:rFonts w:hint="default" w:ascii="Times New Roman" w:hAnsi="Times New Roman" w:eastAsia="仿宋" w:cs="Times New Roman"/>
          <w:sz w:val="32"/>
          <w:szCs w:val="32"/>
        </w:rPr>
        <w:t>万元，增长</w:t>
      </w:r>
      <w:r>
        <w:rPr>
          <w:rFonts w:hint="default" w:ascii="Times New Roman" w:hAnsi="Times New Roman" w:eastAsia="仿宋" w:cs="Times New Roman"/>
          <w:sz w:val="32"/>
          <w:szCs w:val="32"/>
        </w:rPr>
        <w:t>26.94</w:t>
      </w:r>
      <w:r>
        <w:rPr>
          <w:rFonts w:hint="default" w:ascii="Times New Roman" w:hAnsi="Times New Roman" w:eastAsia="仿宋" w:cs="Times New Roman"/>
          <w:sz w:val="32"/>
          <w:szCs w:val="32"/>
        </w:rPr>
        <w:t>%。主要原因是：</w:t>
      </w:r>
      <w:r>
        <w:rPr>
          <w:rFonts w:hint="default" w:ascii="Times New Roman" w:hAnsi="Times New Roman" w:eastAsia="仿宋" w:cs="Times New Roman"/>
          <w:sz w:val="32"/>
          <w:szCs w:val="32"/>
        </w:rPr>
        <w:t>在编在岗人数较上年度相比有人员增加。</w:t>
      </w:r>
    </w:p>
    <w:p w14:paraId="3C90BCFA">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cs="Times New Roman"/>
          <w:bCs/>
          <w:sz w:val="32"/>
          <w:szCs w:val="32"/>
        </w:rPr>
      </w:pPr>
      <w:r>
        <w:rPr>
          <w:rFonts w:hint="default" w:ascii="Times New Roman" w:hAnsi="Times New Roman" w:cs="Times New Roman"/>
          <w:bCs/>
          <w:sz w:val="32"/>
          <w:szCs w:val="32"/>
        </w:rPr>
        <w:t>十、一般性支出情况说明</w:t>
      </w:r>
    </w:p>
    <w:p w14:paraId="28CDFFD4">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2024年本部门开支会议费</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rPr>
        <w:t>万元；开支培训费</w:t>
      </w:r>
      <w:r>
        <w:rPr>
          <w:rFonts w:hint="default" w:ascii="Times New Roman" w:hAnsi="Times New Roman" w:eastAsia="仿宋" w:cs="Times New Roman"/>
          <w:sz w:val="32"/>
          <w:szCs w:val="32"/>
        </w:rPr>
        <w:t>2.27</w:t>
      </w:r>
      <w:r>
        <w:rPr>
          <w:rFonts w:hint="default" w:ascii="Times New Roman" w:hAnsi="Times New Roman" w:eastAsia="仿宋" w:cs="Times New Roman"/>
          <w:sz w:val="32"/>
          <w:szCs w:val="32"/>
        </w:rPr>
        <w:t>万元，用于开</w:t>
      </w:r>
      <w:r>
        <w:rPr>
          <w:rFonts w:hint="default" w:ascii="Times New Roman" w:hAnsi="Times New Roman" w:eastAsia="仿宋" w:cs="Times New Roman"/>
          <w:sz w:val="32"/>
          <w:szCs w:val="32"/>
        </w:rPr>
        <w:t>展卫生健康、计生业务等</w:t>
      </w:r>
      <w:r>
        <w:rPr>
          <w:rFonts w:hint="default" w:ascii="Times New Roman" w:hAnsi="Times New Roman" w:eastAsia="仿宋" w:cs="Times New Roman"/>
          <w:sz w:val="32"/>
          <w:szCs w:val="32"/>
        </w:rPr>
        <w:t>培训，人数</w:t>
      </w:r>
      <w:r>
        <w:rPr>
          <w:rFonts w:hint="default" w:ascii="Times New Roman" w:hAnsi="Times New Roman" w:eastAsia="仿宋" w:cs="Times New Roman"/>
          <w:sz w:val="32"/>
          <w:szCs w:val="32"/>
        </w:rPr>
        <w:t>397</w:t>
      </w:r>
      <w:r>
        <w:rPr>
          <w:rFonts w:hint="default" w:ascii="Times New Roman" w:hAnsi="Times New Roman" w:eastAsia="仿宋" w:cs="Times New Roman"/>
          <w:sz w:val="32"/>
          <w:szCs w:val="32"/>
        </w:rPr>
        <w:t>人；</w:t>
      </w:r>
      <w:r>
        <w:rPr>
          <w:rFonts w:hint="default" w:ascii="Times New Roman" w:hAnsi="Times New Roman" w:eastAsia="仿宋" w:cs="Times New Roman"/>
          <w:sz w:val="32"/>
          <w:szCs w:val="32"/>
        </w:rPr>
        <w:t>未</w:t>
      </w:r>
      <w:r>
        <w:rPr>
          <w:rFonts w:hint="default" w:ascii="Times New Roman" w:hAnsi="Times New Roman" w:eastAsia="仿宋" w:cs="Times New Roman"/>
          <w:sz w:val="32"/>
          <w:szCs w:val="32"/>
        </w:rPr>
        <w:t>举办节庆、晚会、论坛、赛事</w:t>
      </w:r>
      <w:r>
        <w:rPr>
          <w:rFonts w:hint="default" w:ascii="Times New Roman" w:hAnsi="Times New Roman" w:eastAsia="仿宋" w:cs="Times New Roman"/>
          <w:sz w:val="32"/>
          <w:szCs w:val="32"/>
        </w:rPr>
        <w:t>等</w:t>
      </w:r>
      <w:r>
        <w:rPr>
          <w:rFonts w:hint="default" w:ascii="Times New Roman" w:hAnsi="Times New Roman" w:eastAsia="仿宋" w:cs="Times New Roman"/>
          <w:sz w:val="32"/>
          <w:szCs w:val="32"/>
        </w:rPr>
        <w:t>活动。</w:t>
      </w:r>
    </w:p>
    <w:p w14:paraId="2F49725A">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cs="Times New Roman"/>
          <w:bCs/>
          <w:sz w:val="32"/>
          <w:szCs w:val="32"/>
        </w:rPr>
      </w:pPr>
      <w:r>
        <w:rPr>
          <w:rFonts w:hint="default" w:ascii="Times New Roman" w:hAnsi="Times New Roman" w:cs="Times New Roman"/>
          <w:bCs/>
          <w:sz w:val="32"/>
          <w:szCs w:val="32"/>
        </w:rPr>
        <w:t>十一、关于政府采购支出说明</w:t>
      </w:r>
    </w:p>
    <w:p w14:paraId="7FB75A84">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sz w:val="32"/>
          <w:szCs w:val="32"/>
        </w:rPr>
        <w:t>本部门2024年度政府采购支出总额</w:t>
      </w:r>
      <w:r>
        <w:rPr>
          <w:rFonts w:hint="default" w:ascii="Times New Roman" w:hAnsi="Times New Roman" w:eastAsia="仿宋" w:cs="Times New Roman"/>
          <w:sz w:val="32"/>
          <w:szCs w:val="32"/>
        </w:rPr>
        <w:t>268.19</w:t>
      </w:r>
      <w:r>
        <w:rPr>
          <w:rFonts w:hint="default" w:ascii="Times New Roman" w:hAnsi="Times New Roman" w:eastAsia="仿宋" w:cs="Times New Roman"/>
          <w:sz w:val="32"/>
          <w:szCs w:val="32"/>
        </w:rPr>
        <w:t>万元，其中：政府采购货物支出</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rPr>
        <w:t>万元、政府采购工程支出</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rPr>
        <w:t>万元、政府采购服务支出</w:t>
      </w:r>
      <w:r>
        <w:rPr>
          <w:rFonts w:hint="default" w:ascii="Times New Roman" w:hAnsi="Times New Roman" w:eastAsia="仿宋" w:cs="Times New Roman"/>
          <w:sz w:val="32"/>
          <w:szCs w:val="32"/>
        </w:rPr>
        <w:t>248.19</w:t>
      </w:r>
      <w:r>
        <w:rPr>
          <w:rFonts w:hint="default" w:ascii="Times New Roman" w:hAnsi="Times New Roman" w:eastAsia="仿宋" w:cs="Times New Roman"/>
          <w:sz w:val="32"/>
          <w:szCs w:val="32"/>
        </w:rPr>
        <w:t>万元。授予中小企业合同金额</w:t>
      </w:r>
      <w:r>
        <w:rPr>
          <w:rFonts w:hint="default" w:ascii="Times New Roman" w:hAnsi="Times New Roman" w:eastAsia="仿宋" w:cs="Times New Roman"/>
          <w:sz w:val="32"/>
          <w:szCs w:val="32"/>
        </w:rPr>
        <w:t>268.19</w:t>
      </w:r>
      <w:r>
        <w:rPr>
          <w:rFonts w:hint="default" w:ascii="Times New Roman" w:hAnsi="Times New Roman" w:eastAsia="仿宋" w:cs="Times New Roman"/>
          <w:sz w:val="32"/>
          <w:szCs w:val="32"/>
        </w:rPr>
        <w:t>万元，占政府采购支出总额的</w:t>
      </w:r>
      <w:r>
        <w:rPr>
          <w:rFonts w:hint="default" w:ascii="Times New Roman" w:hAnsi="Times New Roman" w:eastAsia="仿宋" w:cs="Times New Roman"/>
          <w:sz w:val="32"/>
          <w:szCs w:val="32"/>
        </w:rPr>
        <w:t>100</w:t>
      </w:r>
      <w:r>
        <w:rPr>
          <w:rFonts w:hint="default" w:ascii="Times New Roman" w:hAnsi="Times New Roman" w:eastAsia="仿宋" w:cs="Times New Roman"/>
          <w:sz w:val="32"/>
          <w:szCs w:val="32"/>
        </w:rPr>
        <w:t>%，其中：授予小微企业合同金额</w:t>
      </w:r>
      <w:r>
        <w:rPr>
          <w:rFonts w:hint="default" w:ascii="Times New Roman" w:hAnsi="Times New Roman" w:eastAsia="仿宋" w:cs="Times New Roman"/>
          <w:sz w:val="32"/>
          <w:szCs w:val="32"/>
        </w:rPr>
        <w:t>268.19</w:t>
      </w:r>
      <w:r>
        <w:rPr>
          <w:rFonts w:hint="default" w:ascii="Times New Roman" w:hAnsi="Times New Roman" w:eastAsia="仿宋" w:cs="Times New Roman"/>
          <w:sz w:val="32"/>
          <w:szCs w:val="32"/>
        </w:rPr>
        <w:t>万元，</w:t>
      </w:r>
      <w:r>
        <w:rPr>
          <w:rFonts w:hint="default" w:ascii="Times New Roman" w:hAnsi="Times New Roman" w:eastAsia="仿宋" w:cs="Times New Roman"/>
          <w:color w:val="auto"/>
          <w:sz w:val="32"/>
          <w:szCs w:val="32"/>
        </w:rPr>
        <w:t>占授予中小企业合同金额的</w:t>
      </w:r>
      <w:r>
        <w:rPr>
          <w:rFonts w:hint="default" w:ascii="Times New Roman" w:hAnsi="Times New Roman" w:eastAsia="仿宋" w:cs="Times New Roman"/>
          <w:color w:val="auto"/>
          <w:sz w:val="32"/>
          <w:szCs w:val="32"/>
        </w:rPr>
        <w:t>100</w:t>
      </w:r>
      <w:r>
        <w:rPr>
          <w:rFonts w:hint="default" w:ascii="Times New Roman" w:hAnsi="Times New Roman" w:eastAsia="仿宋" w:cs="Times New Roman"/>
          <w:color w:val="auto"/>
          <w:sz w:val="32"/>
          <w:szCs w:val="32"/>
        </w:rPr>
        <w:t>%。货物采购授予中小企业合同金额占货物支出金额的</w:t>
      </w:r>
      <w:r>
        <w:rPr>
          <w:rFonts w:hint="default" w:ascii="Times New Roman" w:hAnsi="Times New Roman" w:eastAsia="仿宋" w:cs="Times New Roman"/>
          <w:color w:val="auto"/>
          <w:sz w:val="32"/>
          <w:szCs w:val="32"/>
        </w:rPr>
        <w:t>100</w:t>
      </w:r>
      <w:r>
        <w:rPr>
          <w:rFonts w:hint="default" w:ascii="Times New Roman" w:hAnsi="Times New Roman" w:eastAsia="仿宋" w:cs="Times New Roman"/>
          <w:color w:val="auto"/>
          <w:sz w:val="32"/>
          <w:szCs w:val="32"/>
        </w:rPr>
        <w:t>%，工程采购授予中小企业合同金额占工程支出金额的</w:t>
      </w:r>
      <w:r>
        <w:rPr>
          <w:rFonts w:hint="default" w:ascii="Times New Roman" w:hAnsi="Times New Roman" w:eastAsia="仿宋" w:cs="Times New Roman"/>
          <w:color w:val="auto"/>
          <w:sz w:val="32"/>
          <w:szCs w:val="32"/>
        </w:rPr>
        <w:t>0</w:t>
      </w:r>
      <w:r>
        <w:rPr>
          <w:rFonts w:hint="default" w:ascii="Times New Roman" w:hAnsi="Times New Roman" w:eastAsia="仿宋" w:cs="Times New Roman"/>
          <w:color w:val="auto"/>
          <w:sz w:val="32"/>
          <w:szCs w:val="32"/>
        </w:rPr>
        <w:t>%，服务采购授予中小企业合同金额占服务支出金额的</w:t>
      </w:r>
      <w:r>
        <w:rPr>
          <w:rFonts w:hint="default" w:ascii="Times New Roman" w:hAnsi="Times New Roman" w:eastAsia="仿宋" w:cs="Times New Roman"/>
          <w:color w:val="auto"/>
          <w:sz w:val="32"/>
          <w:szCs w:val="32"/>
        </w:rPr>
        <w:t>100</w:t>
      </w:r>
      <w:r>
        <w:rPr>
          <w:rFonts w:hint="default" w:ascii="Times New Roman" w:hAnsi="Times New Roman" w:eastAsia="仿宋" w:cs="Times New Roman"/>
          <w:color w:val="auto"/>
          <w:sz w:val="32"/>
          <w:szCs w:val="32"/>
        </w:rPr>
        <w:t>%。</w:t>
      </w:r>
    </w:p>
    <w:p w14:paraId="0054C55B">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cs="Times New Roman"/>
          <w:bCs/>
          <w:sz w:val="32"/>
          <w:szCs w:val="32"/>
        </w:rPr>
      </w:pPr>
      <w:r>
        <w:rPr>
          <w:rFonts w:hint="default" w:ascii="Times New Roman" w:hAnsi="Times New Roman" w:cs="Times New Roman"/>
          <w:bCs/>
          <w:sz w:val="32"/>
          <w:szCs w:val="32"/>
        </w:rPr>
        <w:t>十二、关于国有资产占用情况说明</w:t>
      </w:r>
    </w:p>
    <w:p w14:paraId="6065E9D5">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截至2024年12月31日，部门（单位）共有车辆</w:t>
      </w: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rPr>
        <w:t>辆，其中，副部（省）级及以上领导用车</w:t>
      </w:r>
      <w:r>
        <w:rPr>
          <w:rFonts w:hint="default" w:ascii="Times New Roman" w:hAnsi="Times New Roman" w:eastAsia="仿宋" w:cs="Times New Roman"/>
          <w:color w:val="auto"/>
          <w:sz w:val="32"/>
          <w:szCs w:val="32"/>
        </w:rPr>
        <w:t>0</w:t>
      </w:r>
      <w:r>
        <w:rPr>
          <w:rFonts w:hint="default" w:ascii="Times New Roman" w:hAnsi="Times New Roman" w:eastAsia="仿宋" w:cs="Times New Roman"/>
          <w:color w:val="auto"/>
          <w:sz w:val="32"/>
          <w:szCs w:val="32"/>
        </w:rPr>
        <w:t>辆、主要负责人用车</w:t>
      </w:r>
      <w:r>
        <w:rPr>
          <w:rFonts w:hint="default" w:ascii="Times New Roman" w:hAnsi="Times New Roman" w:eastAsia="仿宋" w:cs="Times New Roman"/>
          <w:color w:val="auto"/>
          <w:sz w:val="32"/>
          <w:szCs w:val="32"/>
        </w:rPr>
        <w:t>0</w:t>
      </w:r>
      <w:r>
        <w:rPr>
          <w:rFonts w:hint="default" w:ascii="Times New Roman" w:hAnsi="Times New Roman" w:eastAsia="仿宋" w:cs="Times New Roman"/>
          <w:color w:val="auto"/>
          <w:sz w:val="32"/>
          <w:szCs w:val="32"/>
        </w:rPr>
        <w:t>辆、机要通信用车</w:t>
      </w:r>
      <w:r>
        <w:rPr>
          <w:rFonts w:hint="default" w:ascii="Times New Roman" w:hAnsi="Times New Roman" w:eastAsia="仿宋" w:cs="Times New Roman"/>
          <w:color w:val="auto"/>
          <w:sz w:val="32"/>
          <w:szCs w:val="32"/>
        </w:rPr>
        <w:t>0</w:t>
      </w:r>
      <w:r>
        <w:rPr>
          <w:rFonts w:hint="default" w:ascii="Times New Roman" w:hAnsi="Times New Roman" w:eastAsia="仿宋" w:cs="Times New Roman"/>
          <w:color w:val="auto"/>
          <w:sz w:val="32"/>
          <w:szCs w:val="32"/>
        </w:rPr>
        <w:t>辆、应急保障用车</w:t>
      </w:r>
      <w:r>
        <w:rPr>
          <w:rFonts w:hint="default" w:ascii="Times New Roman" w:hAnsi="Times New Roman" w:eastAsia="仿宋" w:cs="Times New Roman"/>
          <w:color w:val="auto"/>
          <w:sz w:val="32"/>
          <w:szCs w:val="32"/>
        </w:rPr>
        <w:t>0</w:t>
      </w:r>
      <w:r>
        <w:rPr>
          <w:rFonts w:hint="default" w:ascii="Times New Roman" w:hAnsi="Times New Roman" w:eastAsia="仿宋" w:cs="Times New Roman"/>
          <w:color w:val="auto"/>
          <w:sz w:val="32"/>
          <w:szCs w:val="32"/>
        </w:rPr>
        <w:t>辆、执法执勤用车</w:t>
      </w:r>
      <w:r>
        <w:rPr>
          <w:rFonts w:hint="default" w:ascii="Times New Roman" w:hAnsi="Times New Roman" w:eastAsia="仿宋" w:cs="Times New Roman"/>
          <w:color w:val="auto"/>
          <w:sz w:val="32"/>
          <w:szCs w:val="32"/>
        </w:rPr>
        <w:t>0</w:t>
      </w:r>
      <w:r>
        <w:rPr>
          <w:rFonts w:hint="default" w:ascii="Times New Roman" w:hAnsi="Times New Roman" w:eastAsia="仿宋" w:cs="Times New Roman"/>
          <w:color w:val="auto"/>
          <w:sz w:val="32"/>
          <w:szCs w:val="32"/>
        </w:rPr>
        <w:t>辆、特种专业技术用车</w:t>
      </w: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rPr>
        <w:t>辆、离退休干部服务用车</w:t>
      </w:r>
      <w:r>
        <w:rPr>
          <w:rFonts w:hint="default" w:ascii="Times New Roman" w:hAnsi="Times New Roman" w:eastAsia="仿宋" w:cs="Times New Roman"/>
          <w:color w:val="auto"/>
          <w:sz w:val="32"/>
          <w:szCs w:val="32"/>
        </w:rPr>
        <w:t>0</w:t>
      </w:r>
      <w:r>
        <w:rPr>
          <w:rFonts w:hint="default" w:ascii="Times New Roman" w:hAnsi="Times New Roman" w:eastAsia="仿宋" w:cs="Times New Roman"/>
          <w:color w:val="auto"/>
          <w:sz w:val="32"/>
          <w:szCs w:val="32"/>
        </w:rPr>
        <w:t>辆、其他用车</w:t>
      </w:r>
      <w:r>
        <w:rPr>
          <w:rFonts w:hint="default" w:ascii="Times New Roman" w:hAnsi="Times New Roman" w:eastAsia="仿宋" w:cs="Times New Roman"/>
          <w:color w:val="auto"/>
          <w:sz w:val="32"/>
          <w:szCs w:val="32"/>
        </w:rPr>
        <w:t>0</w:t>
      </w:r>
      <w:r>
        <w:rPr>
          <w:rFonts w:hint="default" w:ascii="Times New Roman" w:hAnsi="Times New Roman" w:eastAsia="仿宋" w:cs="Times New Roman"/>
          <w:color w:val="auto"/>
          <w:sz w:val="32"/>
          <w:szCs w:val="32"/>
        </w:rPr>
        <w:t>辆；单位价值100万元以上设备（不含车辆）</w:t>
      </w:r>
      <w:r>
        <w:rPr>
          <w:rFonts w:hint="default" w:ascii="Times New Roman" w:hAnsi="Times New Roman" w:eastAsia="仿宋" w:cs="Times New Roman"/>
          <w:color w:val="auto"/>
          <w:sz w:val="32"/>
          <w:szCs w:val="32"/>
        </w:rPr>
        <w:t>0</w:t>
      </w:r>
      <w:r>
        <w:rPr>
          <w:rFonts w:hint="default" w:ascii="Times New Roman" w:hAnsi="Times New Roman" w:eastAsia="仿宋" w:cs="Times New Roman"/>
          <w:color w:val="auto"/>
          <w:sz w:val="32"/>
          <w:szCs w:val="32"/>
        </w:rPr>
        <w:t>台（套）。</w:t>
      </w:r>
    </w:p>
    <w:p w14:paraId="7B5FE88A">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cs="Times New Roman"/>
          <w:bCs/>
          <w:sz w:val="32"/>
          <w:szCs w:val="32"/>
        </w:rPr>
      </w:pPr>
      <w:r>
        <w:rPr>
          <w:rFonts w:hint="default" w:ascii="Times New Roman" w:hAnsi="Times New Roman" w:cs="Times New Roman"/>
          <w:bCs/>
          <w:sz w:val="32"/>
          <w:szCs w:val="32"/>
        </w:rPr>
        <w:t>十三、关于2024年度预算绩效情况的说明</w:t>
      </w:r>
    </w:p>
    <w:p w14:paraId="50989E44">
      <w:pPr>
        <w:keepNext w:val="0"/>
        <w:keepLines w:val="0"/>
        <w:pageBreakBefore w:val="0"/>
        <w:wordWrap/>
        <w:overflowPunct w:val="0"/>
        <w:topLinePunct w:val="0"/>
        <w:bidi w:val="0"/>
        <w:spacing w:line="600" w:lineRule="exact"/>
        <w:ind w:right="0" w:firstLine="643" w:firstLineChars="200"/>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（一）绩效评价工作开展情况。</w:t>
      </w:r>
      <w:r>
        <w:rPr>
          <w:rFonts w:hint="default" w:ascii="Times New Roman" w:hAnsi="Times New Roman" w:eastAsia="仿宋" w:cs="Times New Roman"/>
          <w:b/>
          <w:bCs/>
          <w:kern w:val="0"/>
          <w:sz w:val="32"/>
          <w:szCs w:val="32"/>
        </w:rPr>
        <w:t>一是绩效自评开展情况。</w:t>
      </w:r>
      <w:r>
        <w:rPr>
          <w:rFonts w:hint="default" w:ascii="Times New Roman" w:hAnsi="Times New Roman" w:eastAsia="仿宋" w:cs="Times New Roman"/>
          <w:kern w:val="0"/>
          <w:sz w:val="32"/>
          <w:szCs w:val="32"/>
        </w:rPr>
        <w:t>组织对2024年度本部门（单位）整体支出开展绩效自评，涉及项目</w:t>
      </w:r>
      <w:r>
        <w:rPr>
          <w:rFonts w:hint="default" w:ascii="Times New Roman" w:hAnsi="Times New Roman" w:eastAsia="仿宋" w:cs="Times New Roman"/>
          <w:kern w:val="0"/>
          <w:sz w:val="32"/>
          <w:szCs w:val="32"/>
        </w:rPr>
        <w:t>13</w:t>
      </w:r>
      <w:r>
        <w:rPr>
          <w:rFonts w:hint="default" w:ascii="Times New Roman" w:hAnsi="Times New Roman" w:eastAsia="仿宋" w:cs="Times New Roman"/>
          <w:kern w:val="0"/>
          <w:sz w:val="32"/>
          <w:szCs w:val="32"/>
        </w:rPr>
        <w:t>个，共涉及资金</w:t>
      </w:r>
      <w:r>
        <w:rPr>
          <w:rFonts w:hint="default" w:ascii="Times New Roman" w:hAnsi="Times New Roman" w:eastAsia="仿宋" w:cs="Times New Roman"/>
          <w:kern w:val="0"/>
          <w:sz w:val="32"/>
          <w:szCs w:val="32"/>
        </w:rPr>
        <w:t>1945.15</w:t>
      </w:r>
      <w:r>
        <w:rPr>
          <w:rFonts w:hint="default" w:ascii="Times New Roman" w:hAnsi="Times New Roman" w:eastAsia="仿宋" w:cs="Times New Roman"/>
          <w:kern w:val="0"/>
          <w:sz w:val="32"/>
          <w:szCs w:val="32"/>
        </w:rPr>
        <w:t>万元。其中，一般公共预算项目</w:t>
      </w:r>
      <w:r>
        <w:rPr>
          <w:rFonts w:hint="default" w:ascii="Times New Roman" w:hAnsi="Times New Roman" w:eastAsia="仿宋" w:cs="Times New Roman"/>
          <w:kern w:val="0"/>
          <w:sz w:val="32"/>
          <w:szCs w:val="32"/>
        </w:rPr>
        <w:t>12</w:t>
      </w:r>
      <w:r>
        <w:rPr>
          <w:rFonts w:hint="default" w:ascii="Times New Roman" w:hAnsi="Times New Roman" w:eastAsia="仿宋" w:cs="Times New Roman"/>
          <w:kern w:val="0"/>
          <w:sz w:val="32"/>
          <w:szCs w:val="32"/>
        </w:rPr>
        <w:t>个</w:t>
      </w:r>
      <w:r>
        <w:rPr>
          <w:rFonts w:hint="default" w:ascii="Times New Roman" w:hAnsi="Times New Roman" w:eastAsia="仿宋" w:cs="Times New Roman"/>
          <w:kern w:val="0"/>
          <w:sz w:val="32"/>
          <w:szCs w:val="32"/>
        </w:rPr>
        <w:t>1922.65</w:t>
      </w:r>
      <w:r>
        <w:rPr>
          <w:rFonts w:hint="default" w:ascii="Times New Roman" w:hAnsi="Times New Roman" w:eastAsia="仿宋" w:cs="Times New Roman"/>
          <w:kern w:val="0"/>
          <w:sz w:val="32"/>
          <w:szCs w:val="32"/>
        </w:rPr>
        <w:t>万元，占一般公共预算支出总额的</w:t>
      </w:r>
      <w:r>
        <w:rPr>
          <w:rFonts w:hint="default" w:ascii="Times New Roman" w:hAnsi="Times New Roman" w:eastAsia="仿宋" w:cs="Times New Roman"/>
          <w:kern w:val="0"/>
          <w:sz w:val="32"/>
          <w:szCs w:val="32"/>
        </w:rPr>
        <w:t>100</w:t>
      </w:r>
      <w:r>
        <w:rPr>
          <w:rFonts w:hint="default" w:ascii="Times New Roman" w:hAnsi="Times New Roman" w:eastAsia="仿宋" w:cs="Times New Roman"/>
          <w:kern w:val="0"/>
          <w:sz w:val="32"/>
          <w:szCs w:val="32"/>
        </w:rPr>
        <w:t>%；政府性基金预算项目</w:t>
      </w:r>
      <w:r>
        <w:rPr>
          <w:rFonts w:hint="default" w:ascii="Times New Roman" w:hAnsi="Times New Roman" w:eastAsia="仿宋" w:cs="Times New Roman"/>
          <w:kern w:val="0"/>
          <w:sz w:val="32"/>
          <w:szCs w:val="32"/>
        </w:rPr>
        <w:t>1</w:t>
      </w:r>
      <w:r>
        <w:rPr>
          <w:rFonts w:hint="default" w:ascii="Times New Roman" w:hAnsi="Times New Roman" w:eastAsia="仿宋" w:cs="Times New Roman"/>
          <w:kern w:val="0"/>
          <w:sz w:val="32"/>
          <w:szCs w:val="32"/>
        </w:rPr>
        <w:t>个</w:t>
      </w:r>
      <w:r>
        <w:rPr>
          <w:rFonts w:hint="default" w:ascii="Times New Roman" w:hAnsi="Times New Roman" w:eastAsia="仿宋" w:cs="Times New Roman"/>
          <w:kern w:val="0"/>
          <w:sz w:val="32"/>
          <w:szCs w:val="32"/>
        </w:rPr>
        <w:t>22.5</w:t>
      </w:r>
      <w:r>
        <w:rPr>
          <w:rFonts w:hint="default" w:ascii="Times New Roman" w:hAnsi="Times New Roman" w:eastAsia="仿宋" w:cs="Times New Roman"/>
          <w:kern w:val="0"/>
          <w:sz w:val="32"/>
          <w:szCs w:val="32"/>
        </w:rPr>
        <w:t>万元，占政府性基金预算支出总额的</w:t>
      </w:r>
      <w:r>
        <w:rPr>
          <w:rFonts w:hint="default" w:ascii="Times New Roman" w:hAnsi="Times New Roman" w:eastAsia="仿宋" w:cs="Times New Roman"/>
          <w:kern w:val="0"/>
          <w:sz w:val="32"/>
          <w:szCs w:val="32"/>
        </w:rPr>
        <w:t>100</w:t>
      </w:r>
      <w:r>
        <w:rPr>
          <w:rFonts w:hint="default" w:ascii="Times New Roman" w:hAnsi="Times New Roman" w:eastAsia="仿宋" w:cs="Times New Roman"/>
          <w:kern w:val="0"/>
          <w:sz w:val="32"/>
          <w:szCs w:val="32"/>
        </w:rPr>
        <w:t>%；国有资本经营预算项目</w:t>
      </w:r>
      <w:r>
        <w:rPr>
          <w:rFonts w:hint="default" w:ascii="Times New Roman" w:hAnsi="Times New Roman" w:eastAsia="仿宋" w:cs="Times New Roman"/>
          <w:kern w:val="0"/>
          <w:sz w:val="32"/>
          <w:szCs w:val="32"/>
        </w:rPr>
        <w:t>0</w:t>
      </w:r>
      <w:r>
        <w:rPr>
          <w:rFonts w:hint="default" w:ascii="Times New Roman" w:hAnsi="Times New Roman" w:eastAsia="仿宋" w:cs="Times New Roman"/>
          <w:kern w:val="0"/>
          <w:sz w:val="32"/>
          <w:szCs w:val="32"/>
        </w:rPr>
        <w:t>个</w:t>
      </w:r>
      <w:r>
        <w:rPr>
          <w:rFonts w:hint="default" w:ascii="Times New Roman" w:hAnsi="Times New Roman" w:eastAsia="仿宋" w:cs="Times New Roman"/>
          <w:kern w:val="0"/>
          <w:sz w:val="32"/>
          <w:szCs w:val="32"/>
        </w:rPr>
        <w:t>0</w:t>
      </w:r>
      <w:r>
        <w:rPr>
          <w:rFonts w:hint="default" w:ascii="Times New Roman" w:hAnsi="Times New Roman" w:eastAsia="仿宋" w:cs="Times New Roman"/>
          <w:kern w:val="0"/>
          <w:sz w:val="32"/>
          <w:szCs w:val="32"/>
        </w:rPr>
        <w:t>万元；社会保险基金预算项目</w:t>
      </w:r>
      <w:r>
        <w:rPr>
          <w:rFonts w:hint="default" w:ascii="Times New Roman" w:hAnsi="Times New Roman" w:eastAsia="仿宋" w:cs="Times New Roman"/>
          <w:kern w:val="0"/>
          <w:sz w:val="32"/>
          <w:szCs w:val="32"/>
        </w:rPr>
        <w:t>0</w:t>
      </w:r>
      <w:r>
        <w:rPr>
          <w:rFonts w:hint="default" w:ascii="Times New Roman" w:hAnsi="Times New Roman" w:eastAsia="仿宋" w:cs="Times New Roman"/>
          <w:kern w:val="0"/>
          <w:sz w:val="32"/>
          <w:szCs w:val="32"/>
        </w:rPr>
        <w:t>个</w:t>
      </w:r>
      <w:r>
        <w:rPr>
          <w:rFonts w:hint="default" w:ascii="Times New Roman" w:hAnsi="Times New Roman" w:eastAsia="仿宋" w:cs="Times New Roman"/>
          <w:kern w:val="0"/>
          <w:sz w:val="32"/>
          <w:szCs w:val="32"/>
        </w:rPr>
        <w:t>0</w:t>
      </w:r>
      <w:r>
        <w:rPr>
          <w:rFonts w:hint="default" w:ascii="Times New Roman" w:hAnsi="Times New Roman" w:eastAsia="仿宋" w:cs="Times New Roman"/>
          <w:kern w:val="0"/>
          <w:sz w:val="32"/>
          <w:szCs w:val="32"/>
        </w:rPr>
        <w:t>万元。</w:t>
      </w:r>
      <w:r>
        <w:rPr>
          <w:rFonts w:hint="default" w:ascii="Times New Roman" w:hAnsi="Times New Roman" w:eastAsia="仿宋" w:cs="Times New Roman"/>
          <w:b/>
          <w:bCs/>
          <w:kern w:val="0"/>
          <w:sz w:val="32"/>
          <w:szCs w:val="32"/>
        </w:rPr>
        <w:t>二是部门评价开展情况。</w:t>
      </w:r>
      <w:r>
        <w:rPr>
          <w:rFonts w:hint="default" w:ascii="Times New Roman" w:hAnsi="Times New Roman" w:eastAsia="仿宋" w:cs="Times New Roman"/>
          <w:kern w:val="0"/>
          <w:sz w:val="32"/>
          <w:szCs w:val="32"/>
        </w:rPr>
        <w:t>组织对所属单位2024年度“</w:t>
      </w:r>
      <w:r>
        <w:rPr>
          <w:rFonts w:hint="default" w:ascii="Times New Roman" w:hAnsi="Times New Roman" w:eastAsia="仿宋" w:cs="Times New Roman"/>
          <w:kern w:val="0"/>
          <w:sz w:val="32"/>
          <w:szCs w:val="32"/>
        </w:rPr>
        <w:t>病媒生物控制</w:t>
      </w:r>
      <w:r>
        <w:rPr>
          <w:rFonts w:hint="default" w:ascii="Times New Roman" w:hAnsi="Times New Roman" w:eastAsia="仿宋" w:cs="Times New Roman"/>
          <w:kern w:val="0"/>
          <w:sz w:val="32"/>
          <w:szCs w:val="32"/>
        </w:rPr>
        <w:t>”“</w:t>
      </w:r>
      <w:r>
        <w:rPr>
          <w:rFonts w:hint="default" w:ascii="Times New Roman" w:hAnsi="Times New Roman" w:eastAsia="仿宋" w:cs="Times New Roman"/>
          <w:kern w:val="0"/>
          <w:sz w:val="32"/>
          <w:szCs w:val="32"/>
        </w:rPr>
        <w:t>家庭医生签约</w:t>
      </w:r>
      <w:r>
        <w:rPr>
          <w:rFonts w:hint="default" w:ascii="Times New Roman" w:hAnsi="Times New Roman" w:eastAsia="仿宋" w:cs="Times New Roman"/>
          <w:kern w:val="0"/>
          <w:sz w:val="32"/>
          <w:szCs w:val="32"/>
        </w:rPr>
        <w:t>”等</w:t>
      </w:r>
      <w:r>
        <w:rPr>
          <w:rFonts w:hint="default" w:ascii="Times New Roman" w:hAnsi="Times New Roman" w:eastAsia="仿宋" w:cs="Times New Roman"/>
          <w:kern w:val="0"/>
          <w:sz w:val="32"/>
          <w:szCs w:val="32"/>
        </w:rPr>
        <w:t>12</w:t>
      </w:r>
      <w:r>
        <w:rPr>
          <w:rFonts w:hint="default" w:ascii="Times New Roman" w:hAnsi="Times New Roman" w:eastAsia="仿宋" w:cs="Times New Roman"/>
          <w:kern w:val="0"/>
          <w:sz w:val="32"/>
          <w:szCs w:val="32"/>
        </w:rPr>
        <w:t>个项目开展了部门评价，涉及一般公共预算支出</w:t>
      </w:r>
      <w:r>
        <w:rPr>
          <w:rFonts w:hint="default" w:ascii="Times New Roman" w:hAnsi="Times New Roman" w:eastAsia="仿宋" w:cs="Times New Roman"/>
          <w:kern w:val="0"/>
          <w:sz w:val="32"/>
          <w:szCs w:val="32"/>
        </w:rPr>
        <w:t>1922.65</w:t>
      </w:r>
      <w:r>
        <w:rPr>
          <w:rFonts w:hint="default" w:ascii="Times New Roman" w:hAnsi="Times New Roman" w:eastAsia="仿宋" w:cs="Times New Roman"/>
          <w:kern w:val="0"/>
          <w:sz w:val="32"/>
          <w:szCs w:val="32"/>
        </w:rPr>
        <w:t>万元，政府性基金预算支出</w:t>
      </w:r>
      <w:r>
        <w:rPr>
          <w:rFonts w:hint="default" w:ascii="Times New Roman" w:hAnsi="Times New Roman" w:eastAsia="仿宋" w:cs="Times New Roman"/>
          <w:kern w:val="0"/>
          <w:sz w:val="32"/>
          <w:szCs w:val="32"/>
        </w:rPr>
        <w:t>22.5</w:t>
      </w:r>
      <w:r>
        <w:rPr>
          <w:rFonts w:hint="default" w:ascii="Times New Roman" w:hAnsi="Times New Roman" w:eastAsia="仿宋" w:cs="Times New Roman"/>
          <w:kern w:val="0"/>
          <w:sz w:val="32"/>
          <w:szCs w:val="32"/>
        </w:rPr>
        <w:t>万元，国有资本经营预算支出</w:t>
      </w:r>
      <w:r>
        <w:rPr>
          <w:rFonts w:hint="default" w:ascii="Times New Roman" w:hAnsi="Times New Roman" w:eastAsia="仿宋" w:cs="Times New Roman"/>
          <w:kern w:val="0"/>
          <w:sz w:val="32"/>
          <w:szCs w:val="32"/>
        </w:rPr>
        <w:t>0</w:t>
      </w:r>
      <w:r>
        <w:rPr>
          <w:rFonts w:hint="default" w:ascii="Times New Roman" w:hAnsi="Times New Roman" w:eastAsia="仿宋" w:cs="Times New Roman"/>
          <w:kern w:val="0"/>
          <w:sz w:val="32"/>
          <w:szCs w:val="32"/>
        </w:rPr>
        <w:t>万元，社会保险基金预算支出</w:t>
      </w:r>
      <w:r>
        <w:rPr>
          <w:rFonts w:hint="default" w:ascii="Times New Roman" w:hAnsi="Times New Roman" w:eastAsia="仿宋" w:cs="Times New Roman"/>
          <w:kern w:val="0"/>
          <w:sz w:val="32"/>
          <w:szCs w:val="32"/>
        </w:rPr>
        <w:t>0</w:t>
      </w:r>
      <w:r>
        <w:rPr>
          <w:rFonts w:hint="default" w:ascii="Times New Roman" w:hAnsi="Times New Roman" w:eastAsia="仿宋" w:cs="Times New Roman"/>
          <w:kern w:val="0"/>
          <w:sz w:val="32"/>
          <w:szCs w:val="32"/>
        </w:rPr>
        <w:t>万元。</w:t>
      </w:r>
      <w:r>
        <w:rPr>
          <w:rFonts w:hint="default" w:ascii="Times New Roman" w:hAnsi="Times New Roman" w:eastAsia="仿宋" w:cs="Times New Roman"/>
          <w:b/>
          <w:bCs/>
          <w:kern w:val="0"/>
          <w:sz w:val="32"/>
          <w:szCs w:val="32"/>
        </w:rPr>
        <w:t>三是事前绩效评估开展情况。</w:t>
      </w:r>
      <w:r>
        <w:rPr>
          <w:rFonts w:hint="default" w:ascii="Times New Roman" w:hAnsi="Times New Roman" w:eastAsia="仿宋" w:cs="Times New Roman"/>
          <w:kern w:val="0"/>
          <w:sz w:val="32"/>
          <w:szCs w:val="32"/>
        </w:rPr>
        <w:t>组织对2024年度</w:t>
      </w:r>
      <w:r>
        <w:rPr>
          <w:rFonts w:hint="default" w:ascii="Times New Roman" w:hAnsi="Times New Roman" w:eastAsia="仿宋" w:cs="Times New Roman"/>
          <w:kern w:val="0"/>
          <w:sz w:val="32"/>
          <w:szCs w:val="32"/>
        </w:rPr>
        <w:t>世界长寿乡1</w:t>
      </w:r>
      <w:r>
        <w:rPr>
          <w:rFonts w:hint="default" w:ascii="Times New Roman" w:hAnsi="Times New Roman" w:eastAsia="仿宋" w:cs="Times New Roman"/>
          <w:kern w:val="0"/>
          <w:sz w:val="32"/>
          <w:szCs w:val="32"/>
        </w:rPr>
        <w:t>个新增重大政策和</w:t>
      </w:r>
      <w:r>
        <w:rPr>
          <w:rFonts w:hint="default" w:ascii="Times New Roman" w:hAnsi="Times New Roman" w:eastAsia="仿宋" w:cs="Times New Roman"/>
          <w:kern w:val="0"/>
          <w:sz w:val="32"/>
          <w:szCs w:val="32"/>
        </w:rPr>
        <w:t>1</w:t>
      </w:r>
      <w:r>
        <w:rPr>
          <w:rFonts w:hint="default" w:ascii="Times New Roman" w:hAnsi="Times New Roman" w:eastAsia="仿宋" w:cs="Times New Roman"/>
          <w:kern w:val="0"/>
          <w:sz w:val="32"/>
          <w:szCs w:val="32"/>
        </w:rPr>
        <w:t>个重大项目开展事前绩效评估，共涉及资金</w:t>
      </w:r>
      <w:r>
        <w:rPr>
          <w:rFonts w:hint="default" w:ascii="Times New Roman" w:hAnsi="Times New Roman" w:eastAsia="仿宋" w:cs="Times New Roman"/>
          <w:kern w:val="0"/>
          <w:sz w:val="32"/>
          <w:szCs w:val="32"/>
        </w:rPr>
        <w:t>190</w:t>
      </w:r>
      <w:r>
        <w:rPr>
          <w:rFonts w:hint="default" w:ascii="Times New Roman" w:hAnsi="Times New Roman" w:eastAsia="仿宋" w:cs="Times New Roman"/>
          <w:kern w:val="0"/>
          <w:sz w:val="32"/>
          <w:szCs w:val="32"/>
        </w:rPr>
        <w:t>万元。</w:t>
      </w:r>
    </w:p>
    <w:p w14:paraId="19FB6B0D">
      <w:pPr>
        <w:pStyle w:val="5"/>
        <w:keepNext w:val="0"/>
        <w:keepLines w:val="0"/>
        <w:pageBreakBefore w:val="0"/>
        <w:wordWrap/>
        <w:topLinePunct w:val="0"/>
        <w:bidi w:val="0"/>
        <w:spacing w:line="600" w:lineRule="exact"/>
        <w:ind w:right="0" w:firstLine="643" w:firstLineChars="200"/>
        <w:rPr>
          <w:rFonts w:hint="default" w:ascii="Times New Roman" w:hAnsi="Times New Roman" w:cs="Times New Roman"/>
          <w:lang w:eastAsia="zh-CN"/>
        </w:rPr>
      </w:pPr>
      <w:r>
        <w:rPr>
          <w:rFonts w:hint="default" w:ascii="Times New Roman" w:hAnsi="Times New Roman" w:eastAsia="楷体" w:cs="Times New Roman"/>
          <w:b/>
          <w:bCs/>
          <w:kern w:val="2"/>
          <w:sz w:val="32"/>
          <w:szCs w:val="32"/>
          <w:lang w:val="en-US" w:eastAsia="zh-CN" w:bidi="ar-SA"/>
        </w:rPr>
        <w:t>（二）绩效评价结果。</w:t>
      </w:r>
      <w:r>
        <w:rPr>
          <w:rFonts w:hint="default" w:ascii="Times New Roman" w:hAnsi="Times New Roman" w:cs="Times New Roman"/>
          <w:b/>
          <w:bCs/>
          <w:kern w:val="0"/>
          <w:sz w:val="32"/>
          <w:szCs w:val="32"/>
          <w:lang w:eastAsia="zh-CN"/>
        </w:rPr>
        <w:t>一是绩效自评结果。</w:t>
      </w:r>
      <w:r>
        <w:rPr>
          <w:rFonts w:hint="default" w:ascii="Times New Roman" w:hAnsi="Times New Roman" w:cs="Times New Roman"/>
          <w:kern w:val="0"/>
          <w:sz w:val="32"/>
          <w:szCs w:val="32"/>
          <w:lang w:eastAsia="zh-CN"/>
        </w:rPr>
        <w:t>2024年度本部门（单位）整体支出</w:t>
      </w:r>
      <w:r>
        <w:rPr>
          <w:rFonts w:hint="default" w:ascii="Times New Roman" w:hAnsi="Times New Roman" w:cs="Times New Roman"/>
          <w:sz w:val="32"/>
          <w:szCs w:val="32"/>
          <w:lang w:eastAsia="zh-CN"/>
        </w:rPr>
        <w:t>全年预算数</w:t>
      </w:r>
      <w:r>
        <w:rPr>
          <w:rFonts w:hint="default" w:ascii="Times New Roman" w:hAnsi="Times New Roman" w:cs="Times New Roman"/>
          <w:sz w:val="32"/>
          <w:szCs w:val="32"/>
          <w:lang w:eastAsia="zh-CN"/>
        </w:rPr>
        <w:t>1945.15</w:t>
      </w:r>
      <w:r>
        <w:rPr>
          <w:rFonts w:hint="default" w:ascii="Times New Roman" w:hAnsi="Times New Roman" w:cs="Times New Roman"/>
          <w:sz w:val="32"/>
          <w:szCs w:val="32"/>
          <w:lang w:eastAsia="zh-CN"/>
        </w:rPr>
        <w:t>万元，执行数</w:t>
      </w:r>
      <w:r>
        <w:rPr>
          <w:rFonts w:hint="default" w:ascii="Times New Roman" w:hAnsi="Times New Roman" w:cs="Times New Roman"/>
          <w:sz w:val="32"/>
          <w:szCs w:val="32"/>
          <w:lang w:eastAsia="zh-CN"/>
        </w:rPr>
        <w:t>1945.15</w:t>
      </w:r>
      <w:r>
        <w:rPr>
          <w:rFonts w:hint="default" w:ascii="Times New Roman" w:hAnsi="Times New Roman" w:cs="Times New Roman"/>
          <w:sz w:val="32"/>
          <w:szCs w:val="32"/>
          <w:lang w:eastAsia="zh-CN"/>
        </w:rPr>
        <w:t>万元，完成预算的</w:t>
      </w:r>
      <w:r>
        <w:rPr>
          <w:rFonts w:hint="default" w:ascii="Times New Roman" w:hAnsi="Times New Roman" w:cs="Times New Roman"/>
          <w:sz w:val="32"/>
          <w:szCs w:val="32"/>
          <w:lang w:eastAsia="zh-CN"/>
        </w:rPr>
        <w:t>100</w:t>
      </w:r>
      <w:r>
        <w:rPr>
          <w:rFonts w:hint="default" w:ascii="Times New Roman" w:hAnsi="Times New Roman" w:cs="Times New Roman"/>
          <w:sz w:val="32"/>
          <w:szCs w:val="32"/>
          <w:lang w:eastAsia="zh-CN"/>
        </w:rPr>
        <w:t>%</w:t>
      </w:r>
      <w:r>
        <w:rPr>
          <w:rFonts w:hint="default" w:ascii="Times New Roman" w:hAnsi="Times New Roman" w:cs="Times New Roman"/>
          <w:kern w:val="0"/>
          <w:sz w:val="32"/>
          <w:szCs w:val="32"/>
          <w:lang w:eastAsia="zh-CN"/>
        </w:rPr>
        <w:t>，绩效自评得分</w:t>
      </w:r>
      <w:r>
        <w:rPr>
          <w:rFonts w:hint="default" w:ascii="Times New Roman" w:hAnsi="Times New Roman" w:cs="Times New Roman"/>
          <w:kern w:val="0"/>
          <w:sz w:val="32"/>
          <w:szCs w:val="32"/>
          <w:lang w:eastAsia="zh-CN"/>
        </w:rPr>
        <w:t>满分</w:t>
      </w:r>
      <w:r>
        <w:rPr>
          <w:rFonts w:hint="default" w:ascii="Times New Roman" w:hAnsi="Times New Roman" w:cs="Times New Roman"/>
          <w:kern w:val="0"/>
          <w:sz w:val="32"/>
          <w:szCs w:val="32"/>
          <w:lang w:eastAsia="zh-CN"/>
        </w:rPr>
        <w:t>，评价等级为</w:t>
      </w:r>
      <w:r>
        <w:rPr>
          <w:rFonts w:hint="default" w:ascii="Times New Roman" w:hAnsi="Times New Roman" w:cs="Times New Roman"/>
          <w:sz w:val="32"/>
          <w:szCs w:val="32"/>
          <w:lang w:eastAsia="zh-CN"/>
        </w:rPr>
        <w:t>“</w:t>
      </w:r>
      <w:r>
        <w:rPr>
          <w:rFonts w:hint="default" w:ascii="Times New Roman" w:hAnsi="Times New Roman" w:cs="Times New Roman"/>
          <w:sz w:val="32"/>
          <w:szCs w:val="32"/>
          <w:lang w:eastAsia="zh-CN"/>
        </w:rPr>
        <w:t>优秀</w:t>
      </w:r>
      <w:r>
        <w:rPr>
          <w:rFonts w:hint="default" w:ascii="Times New Roman" w:hAnsi="Times New Roman" w:cs="Times New Roman"/>
          <w:sz w:val="32"/>
          <w:szCs w:val="32"/>
          <w:lang w:eastAsia="zh-CN"/>
        </w:rPr>
        <w:t>”。绩效目标完成情况：</w:t>
      </w:r>
      <w:r>
        <w:rPr>
          <w:rFonts w:hint="default" w:ascii="Times New Roman" w:hAnsi="Times New Roman" w:cs="Times New Roman"/>
          <w:spacing w:val="5"/>
          <w:lang w:eastAsia="zh-CN"/>
        </w:rPr>
        <w:t>一是项目建设。5个基层</w:t>
      </w:r>
      <w:r>
        <w:rPr>
          <w:rFonts w:hint="default" w:ascii="Times New Roman" w:hAnsi="Times New Roman" w:cs="Times New Roman"/>
          <w:spacing w:val="-4"/>
          <w:lang w:eastAsia="zh-CN"/>
        </w:rPr>
        <w:t>医疗机构慢病“一站式”服务建设全部完成；景区医疗救护站</w:t>
      </w:r>
      <w:r>
        <w:rPr>
          <w:rFonts w:hint="default" w:ascii="Times New Roman" w:hAnsi="Times New Roman" w:cs="Times New Roman"/>
          <w:spacing w:val="8"/>
          <w:lang w:eastAsia="zh-CN"/>
        </w:rPr>
        <w:t>提质改造建设顺利通过省级验收；盘活市干院闲置资产，做</w:t>
      </w:r>
      <w:r>
        <w:rPr>
          <w:rFonts w:hint="default" w:ascii="Times New Roman" w:hAnsi="Times New Roman" w:cs="Times New Roman"/>
          <w:spacing w:val="-4"/>
          <w:lang w:eastAsia="zh-CN"/>
        </w:rPr>
        <w:t>好市干院资产接收处置，引进“一龄”集团入驻南岳创办一龄</w:t>
      </w:r>
      <w:r>
        <w:rPr>
          <w:rFonts w:hint="default" w:ascii="Times New Roman" w:hAnsi="Times New Roman" w:cs="Times New Roman"/>
          <w:spacing w:val="2"/>
          <w:lang w:eastAsia="zh-CN"/>
        </w:rPr>
        <w:t>文心医院；南岳区被联合国老龄所认证为“世</w:t>
      </w:r>
      <w:r>
        <w:rPr>
          <w:rFonts w:hint="default" w:ascii="Times New Roman" w:hAnsi="Times New Roman" w:cs="Times New Roman"/>
          <w:spacing w:val="1"/>
          <w:lang w:eastAsia="zh-CN"/>
        </w:rPr>
        <w:t>界长寿乡”;完</w:t>
      </w:r>
      <w:r>
        <w:rPr>
          <w:rFonts w:hint="default" w:ascii="Times New Roman" w:hAnsi="Times New Roman" w:cs="Times New Roman"/>
          <w:spacing w:val="7"/>
          <w:lang w:eastAsia="zh-CN"/>
        </w:rPr>
        <w:t>成全区医疗机构收费电子票据改革工作。二是成立全市县区</w:t>
      </w:r>
      <w:r>
        <w:rPr>
          <w:rFonts w:hint="default" w:ascii="Times New Roman" w:hAnsi="Times New Roman" w:cs="Times New Roman"/>
          <w:spacing w:val="8"/>
          <w:lang w:eastAsia="zh-CN"/>
        </w:rPr>
        <w:t>首个中医药学会。三是补助肇事肇祸严重精神障碍患者监护</w:t>
      </w:r>
      <w:r>
        <w:rPr>
          <w:rFonts w:hint="default" w:ascii="Times New Roman" w:hAnsi="Times New Roman" w:cs="Times New Roman"/>
          <w:spacing w:val="19"/>
          <w:lang w:eastAsia="zh-CN"/>
        </w:rPr>
        <w:t>以奖代补65人。四是开展城区病媒生物防治项目。五是计</w:t>
      </w:r>
      <w:r>
        <w:rPr>
          <w:rFonts w:hint="default" w:ascii="Times New Roman" w:hAnsi="Times New Roman" w:cs="Times New Roman"/>
          <w:spacing w:val="14"/>
          <w:lang w:eastAsia="zh-CN"/>
        </w:rPr>
        <w:t>划生育项目。发放农村奖扶资金90.48万元</w:t>
      </w:r>
      <w:r>
        <w:rPr>
          <w:rFonts w:hint="default" w:ascii="Times New Roman" w:hAnsi="Times New Roman" w:cs="Times New Roman"/>
          <w:spacing w:val="13"/>
          <w:lang w:eastAsia="zh-CN"/>
        </w:rPr>
        <w:t>、计生特扶资金97.272万元、手术并发症0.42万元、独生子女保健费0</w:t>
      </w:r>
      <w:r>
        <w:rPr>
          <w:rFonts w:hint="default" w:ascii="Times New Roman" w:hAnsi="Times New Roman" w:cs="Times New Roman"/>
          <w:spacing w:val="12"/>
          <w:lang w:eastAsia="zh-CN"/>
        </w:rPr>
        <w:t>.684</w:t>
      </w:r>
      <w:r>
        <w:rPr>
          <w:rFonts w:hint="default" w:ascii="Times New Roman" w:hAnsi="Times New Roman" w:cs="Times New Roman"/>
          <w:spacing w:val="13"/>
          <w:lang w:eastAsia="zh-CN"/>
        </w:rPr>
        <w:t>万元、特别扶助家庭独生子女死亡对象一次性抚慰金1.5万</w:t>
      </w:r>
      <w:r>
        <w:rPr>
          <w:rFonts w:hint="default" w:ascii="Times New Roman" w:hAnsi="Times New Roman" w:cs="Times New Roman"/>
          <w:spacing w:val="19"/>
          <w:lang w:eastAsia="zh-CN"/>
        </w:rPr>
        <w:t>元、60岁以上失独计生特殊家庭生活补贴7.92万元、城镇</w:t>
      </w:r>
      <w:r>
        <w:rPr>
          <w:rFonts w:hint="default" w:ascii="Times New Roman" w:hAnsi="Times New Roman" w:cs="Times New Roman"/>
          <w:spacing w:val="14"/>
          <w:lang w:eastAsia="zh-CN"/>
        </w:rPr>
        <w:t>独生子女父母奖励金68.02万元。</w:t>
      </w:r>
      <w:r>
        <w:rPr>
          <w:rFonts w:hint="default" w:ascii="Times New Roman" w:hAnsi="Times New Roman" w:cs="Times New Roman"/>
          <w:b/>
          <w:bCs/>
          <w:kern w:val="0"/>
          <w:sz w:val="32"/>
          <w:szCs w:val="32"/>
          <w:lang w:eastAsia="zh-CN"/>
        </w:rPr>
        <w:t>二是部门评价结果。</w:t>
      </w:r>
      <w:r>
        <w:rPr>
          <w:rFonts w:hint="default" w:ascii="Times New Roman" w:hAnsi="Times New Roman" w:cs="Times New Roman"/>
          <w:sz w:val="32"/>
          <w:szCs w:val="32"/>
          <w:lang w:eastAsia="zh-CN"/>
        </w:rPr>
        <w:t>项目全年预算数</w:t>
      </w:r>
      <w:r>
        <w:rPr>
          <w:rFonts w:hint="default" w:ascii="Times New Roman" w:hAnsi="Times New Roman" w:cs="Times New Roman"/>
          <w:sz w:val="32"/>
          <w:szCs w:val="32"/>
          <w:lang w:eastAsia="zh-CN"/>
        </w:rPr>
        <w:t>1945.15</w:t>
      </w:r>
      <w:r>
        <w:rPr>
          <w:rFonts w:hint="default" w:ascii="Times New Roman" w:hAnsi="Times New Roman" w:cs="Times New Roman"/>
          <w:sz w:val="32"/>
          <w:szCs w:val="32"/>
          <w:lang w:eastAsia="zh-CN"/>
        </w:rPr>
        <w:t>万元，执行数</w:t>
      </w:r>
      <w:r>
        <w:rPr>
          <w:rFonts w:hint="default" w:ascii="Times New Roman" w:hAnsi="Times New Roman" w:cs="Times New Roman"/>
          <w:sz w:val="32"/>
          <w:szCs w:val="32"/>
          <w:lang w:eastAsia="zh-CN"/>
        </w:rPr>
        <w:t>1945.15</w:t>
      </w:r>
      <w:r>
        <w:rPr>
          <w:rFonts w:hint="default" w:ascii="Times New Roman" w:hAnsi="Times New Roman" w:cs="Times New Roman"/>
          <w:sz w:val="32"/>
          <w:szCs w:val="32"/>
          <w:lang w:eastAsia="zh-CN"/>
        </w:rPr>
        <w:t>万元，完成预算的</w:t>
      </w:r>
      <w:r>
        <w:rPr>
          <w:rFonts w:hint="default" w:ascii="Times New Roman" w:hAnsi="Times New Roman" w:cs="Times New Roman"/>
          <w:sz w:val="32"/>
          <w:szCs w:val="32"/>
          <w:lang w:eastAsia="zh-CN"/>
        </w:rPr>
        <w:t>100</w:t>
      </w:r>
      <w:r>
        <w:rPr>
          <w:rFonts w:hint="default" w:ascii="Times New Roman" w:hAnsi="Times New Roman" w:cs="Times New Roman"/>
          <w:sz w:val="32"/>
          <w:szCs w:val="32"/>
          <w:lang w:eastAsia="zh-CN"/>
        </w:rPr>
        <w:t>%</w:t>
      </w:r>
      <w:r>
        <w:rPr>
          <w:rFonts w:hint="default" w:ascii="Times New Roman" w:hAnsi="Times New Roman" w:cs="Times New Roman"/>
          <w:kern w:val="0"/>
          <w:sz w:val="32"/>
          <w:szCs w:val="32"/>
          <w:lang w:eastAsia="zh-CN"/>
        </w:rPr>
        <w:t>，</w:t>
      </w:r>
      <w:r>
        <w:rPr>
          <w:rFonts w:hint="default" w:ascii="Times New Roman" w:hAnsi="Times New Roman" w:cs="Times New Roman"/>
          <w:sz w:val="32"/>
          <w:szCs w:val="32"/>
          <w:lang w:eastAsia="zh-CN"/>
        </w:rPr>
        <w:t>部门评价得分</w:t>
      </w:r>
      <w:r>
        <w:rPr>
          <w:rFonts w:hint="default" w:ascii="Times New Roman" w:hAnsi="Times New Roman" w:cs="Times New Roman"/>
          <w:sz w:val="32"/>
          <w:szCs w:val="32"/>
          <w:lang w:eastAsia="zh-CN"/>
        </w:rPr>
        <w:t>99.71</w:t>
      </w:r>
      <w:r>
        <w:rPr>
          <w:rFonts w:hint="default" w:ascii="Times New Roman" w:hAnsi="Times New Roman" w:cs="Times New Roman"/>
          <w:sz w:val="32"/>
          <w:szCs w:val="32"/>
          <w:lang w:eastAsia="zh-CN"/>
        </w:rPr>
        <w:t>分，评价等级为“</w:t>
      </w:r>
      <w:r>
        <w:rPr>
          <w:rFonts w:hint="default" w:ascii="Times New Roman" w:hAnsi="Times New Roman" w:cs="Times New Roman"/>
          <w:sz w:val="32"/>
          <w:szCs w:val="32"/>
          <w:lang w:eastAsia="zh-CN"/>
        </w:rPr>
        <w:t>优秀</w:t>
      </w:r>
      <w:r>
        <w:rPr>
          <w:rFonts w:hint="default" w:ascii="Times New Roman" w:hAnsi="Times New Roman" w:cs="Times New Roman"/>
          <w:sz w:val="32"/>
          <w:szCs w:val="32"/>
          <w:lang w:eastAsia="zh-CN"/>
        </w:rPr>
        <w:t>”。发现的主要问题及原因：</w:t>
      </w:r>
      <w:r>
        <w:rPr>
          <w:rFonts w:hint="default" w:ascii="Times New Roman" w:hAnsi="Times New Roman" w:cs="Times New Roman"/>
          <w:spacing w:val="5"/>
          <w:lang w:eastAsia="zh-CN"/>
        </w:rPr>
        <w:t>因部门整体支出的资金安排和使用上具有不可预见性，</w:t>
      </w:r>
      <w:r>
        <w:rPr>
          <w:rFonts w:hint="default" w:ascii="Times New Roman" w:hAnsi="Times New Roman" w:cs="Times New Roman"/>
          <w:spacing w:val="8"/>
          <w:lang w:eastAsia="zh-CN"/>
        </w:rPr>
        <w:t>在科学设置预算绩效指标上还需进一步加强。由于行政经费少，年初编制的预算不够精确，编制范围不太全面，预算执行情况还有待进一步加强，再加上预算内资金拨付不能及时到位，致使工作开展受到影响。绩效目标编制人员专业水平有限，部门内部协调机制有待加强。开支的补充，难以产生</w:t>
      </w:r>
      <w:r>
        <w:rPr>
          <w:rFonts w:hint="default" w:ascii="Times New Roman" w:hAnsi="Times New Roman" w:cs="Times New Roman"/>
          <w:spacing w:val="3"/>
          <w:lang w:eastAsia="zh-CN"/>
        </w:rPr>
        <w:t>真正的项目效益。</w:t>
      </w:r>
      <w:r>
        <w:rPr>
          <w:rFonts w:hint="default" w:ascii="Times New Roman" w:hAnsi="Times New Roman" w:cs="Times New Roman"/>
          <w:sz w:val="32"/>
          <w:szCs w:val="32"/>
          <w:lang w:eastAsia="zh-CN"/>
        </w:rPr>
        <w:t>下一步改进措施：</w:t>
      </w:r>
      <w:r>
        <w:rPr>
          <w:rFonts w:hint="default" w:ascii="Times New Roman" w:hAnsi="Times New Roman" w:cs="Times New Roman"/>
          <w:spacing w:val="8"/>
          <w:lang w:eastAsia="zh-CN"/>
        </w:rPr>
        <w:t>一是加强预算绩效目标管理，严格按照绩效指标编制的</w:t>
      </w:r>
      <w:r>
        <w:rPr>
          <w:rFonts w:hint="default" w:ascii="Times New Roman" w:hAnsi="Times New Roman" w:cs="Times New Roman"/>
          <w:spacing w:val="6"/>
          <w:lang w:eastAsia="zh-CN"/>
        </w:rPr>
        <w:t>相关要求，编制完整、精准、量化可考核的绩效指标。</w:t>
      </w:r>
      <w:r>
        <w:rPr>
          <w:rFonts w:hint="default" w:ascii="Times New Roman" w:hAnsi="Times New Roman" w:cs="Times New Roman"/>
          <w:spacing w:val="8"/>
          <w:lang w:eastAsia="zh-CN"/>
        </w:rPr>
        <w:t>二是提高绩效管理人员水平，开展相关人员培训，切实提高绩效目标编制水平。加强部门内协作，共同配合完成预</w:t>
      </w:r>
      <w:r>
        <w:rPr>
          <w:rFonts w:hint="default" w:ascii="Times New Roman" w:hAnsi="Times New Roman" w:cs="Times New Roman"/>
          <w:spacing w:val="6"/>
          <w:lang w:eastAsia="zh-CN"/>
        </w:rPr>
        <w:t>算绩效管理工作，提高部门预算绩效管理水平。</w:t>
      </w:r>
    </w:p>
    <w:p w14:paraId="20221D0C">
      <w:pPr>
        <w:pStyle w:val="5"/>
        <w:keepNext w:val="0"/>
        <w:keepLines w:val="0"/>
        <w:pageBreakBefore w:val="0"/>
        <w:wordWrap/>
        <w:topLinePunct w:val="0"/>
        <w:bidi w:val="0"/>
        <w:spacing w:line="600" w:lineRule="exact"/>
        <w:ind w:right="0" w:firstLine="643" w:firstLineChars="200"/>
        <w:rPr>
          <w:rFonts w:hint="default" w:ascii="Times New Roman" w:hAnsi="Times New Roman" w:cs="Times New Roman"/>
          <w:bCs/>
          <w:sz w:val="32"/>
          <w:szCs w:val="32"/>
          <w:lang w:eastAsia="zh-CN"/>
        </w:rPr>
      </w:pPr>
      <w:r>
        <w:rPr>
          <w:rFonts w:hint="default" w:ascii="Times New Roman" w:hAnsi="Times New Roman" w:cs="Times New Roman"/>
          <w:b/>
          <w:bCs/>
          <w:kern w:val="0"/>
          <w:sz w:val="32"/>
          <w:szCs w:val="32"/>
          <w:lang w:eastAsia="zh-CN"/>
        </w:rPr>
        <w:t>三是事前绩效评估结果（如有，一级预算部门填写）。</w:t>
      </w:r>
      <w:r>
        <w:rPr>
          <w:rFonts w:hint="default" w:ascii="Times New Roman" w:hAnsi="Times New Roman" w:cs="Times New Roman"/>
          <w:kern w:val="0"/>
          <w:sz w:val="32"/>
          <w:szCs w:val="32"/>
          <w:lang w:eastAsia="zh-CN"/>
        </w:rPr>
        <w:t>2024年度</w:t>
      </w:r>
      <w:r>
        <w:rPr>
          <w:rFonts w:hint="default" w:ascii="Times New Roman" w:hAnsi="Times New Roman" w:cs="Times New Roman"/>
          <w:kern w:val="0"/>
          <w:sz w:val="32"/>
          <w:szCs w:val="32"/>
          <w:lang w:eastAsia="zh-CN"/>
        </w:rPr>
        <w:t>1</w:t>
      </w:r>
      <w:r>
        <w:rPr>
          <w:rFonts w:hint="default" w:ascii="Times New Roman" w:hAnsi="Times New Roman" w:cs="Times New Roman"/>
          <w:kern w:val="0"/>
          <w:sz w:val="32"/>
          <w:szCs w:val="32"/>
          <w:lang w:eastAsia="zh-CN"/>
        </w:rPr>
        <w:t>个重大项目事前绩效评估，其中，</w:t>
      </w:r>
      <w:r>
        <w:rPr>
          <w:rFonts w:hint="default" w:ascii="Times New Roman" w:hAnsi="Times New Roman" w:cs="Times New Roman"/>
          <w:kern w:val="0"/>
          <w:sz w:val="32"/>
          <w:szCs w:val="32"/>
          <w:lang w:eastAsia="zh-CN"/>
        </w:rPr>
        <w:t>1</w:t>
      </w:r>
      <w:r>
        <w:rPr>
          <w:rFonts w:hint="default" w:ascii="Times New Roman" w:hAnsi="Times New Roman" w:cs="Times New Roman"/>
          <w:kern w:val="0"/>
          <w:sz w:val="32"/>
          <w:szCs w:val="32"/>
          <w:lang w:eastAsia="zh-CN"/>
        </w:rPr>
        <w:t>个项目评估通过，涉及资金</w:t>
      </w:r>
      <w:r>
        <w:rPr>
          <w:rFonts w:hint="default" w:ascii="Times New Roman" w:hAnsi="Times New Roman" w:cs="Times New Roman"/>
          <w:kern w:val="0"/>
          <w:sz w:val="32"/>
          <w:szCs w:val="32"/>
          <w:lang w:eastAsia="zh-CN"/>
        </w:rPr>
        <w:t>190</w:t>
      </w:r>
      <w:r>
        <w:rPr>
          <w:rFonts w:hint="default" w:ascii="Times New Roman" w:hAnsi="Times New Roman" w:cs="Times New Roman"/>
          <w:kern w:val="0"/>
          <w:sz w:val="32"/>
          <w:szCs w:val="32"/>
          <w:lang w:eastAsia="zh-CN"/>
        </w:rPr>
        <w:t>万元，</w:t>
      </w:r>
      <w:r>
        <w:rPr>
          <w:rFonts w:hint="default" w:ascii="Times New Roman" w:hAnsi="Times New Roman" w:cs="Times New Roman"/>
          <w:kern w:val="0"/>
          <w:sz w:val="32"/>
          <w:szCs w:val="32"/>
          <w:lang w:eastAsia="zh-CN"/>
        </w:rPr>
        <w:t>0</w:t>
      </w:r>
      <w:r>
        <w:rPr>
          <w:rFonts w:hint="default" w:ascii="Times New Roman" w:hAnsi="Times New Roman" w:cs="Times New Roman"/>
          <w:kern w:val="0"/>
          <w:sz w:val="32"/>
          <w:szCs w:val="32"/>
          <w:lang w:eastAsia="zh-CN"/>
        </w:rPr>
        <w:t>个项目评估不通过，涉及资金</w:t>
      </w:r>
      <w:r>
        <w:rPr>
          <w:rFonts w:hint="default" w:ascii="Times New Roman" w:hAnsi="Times New Roman" w:cs="Times New Roman"/>
          <w:kern w:val="0"/>
          <w:sz w:val="32"/>
          <w:szCs w:val="32"/>
          <w:lang w:eastAsia="zh-CN"/>
        </w:rPr>
        <w:t>0</w:t>
      </w:r>
      <w:r>
        <w:rPr>
          <w:rFonts w:hint="default" w:ascii="Times New Roman" w:hAnsi="Times New Roman" w:cs="Times New Roman"/>
          <w:kern w:val="0"/>
          <w:sz w:val="32"/>
          <w:szCs w:val="32"/>
          <w:lang w:eastAsia="zh-CN"/>
        </w:rPr>
        <w:t>万元。</w:t>
      </w:r>
    </w:p>
    <w:p w14:paraId="1FDF283A">
      <w:pPr>
        <w:pStyle w:val="13"/>
        <w:keepNext w:val="0"/>
        <w:keepLines w:val="0"/>
        <w:pageBreakBefore w:val="0"/>
        <w:wordWrap/>
        <w:overflowPunct w:val="0"/>
        <w:topLinePunct w:val="0"/>
        <w:autoSpaceDE/>
        <w:autoSpaceDN/>
        <w:bidi w:val="0"/>
        <w:spacing w:line="600" w:lineRule="exact"/>
        <w:ind w:right="0" w:firstLine="643" w:firstLineChars="200"/>
        <w:jc w:val="both"/>
        <w:rPr>
          <w:rFonts w:hint="default" w:ascii="Times New Roman" w:hAnsi="Times New Roman" w:eastAsia="楷体" w:cs="Times New Roman"/>
          <w:b/>
          <w:bCs/>
          <w:color w:val="auto"/>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（三）评价结果应用情况。</w:t>
      </w:r>
    </w:p>
    <w:p w14:paraId="6CE2C98B">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现围绕2024年度绩效自评结果、项目评价结果从支出结构调整，资金管理，制度建设四方面说明2025年度结果运用方向。</w:t>
      </w:r>
    </w:p>
    <w:p w14:paraId="3CAD93D0">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一、预算安排：优先保障优质项目，对评价结果为优秀的项目，结合2025年需求与财力状况优先安排预算。</w:t>
      </w:r>
    </w:p>
    <w:p w14:paraId="31E1E1CD">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二、支出结构调整：重点倾斜核心高效领域及重点任务，严控无效支出。</w:t>
      </w:r>
    </w:p>
    <w:p w14:paraId="03D6E36E">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三、资金管理：精准监控重点项目，2025年纳入重点绩效监控，强化过程监管，确保资金安全高效。</w:t>
      </w:r>
    </w:p>
    <w:p w14:paraId="0BF3CCCA">
      <w:pPr>
        <w:pStyle w:val="13"/>
        <w:keepNext w:val="0"/>
        <w:keepLines w:val="0"/>
        <w:pageBreakBefore w:val="0"/>
        <w:wordWrap/>
        <w:overflowPunct w:val="0"/>
        <w:topLinePunct w:val="0"/>
        <w:autoSpaceDE/>
        <w:autoSpaceDN/>
        <w:bidi w:val="0"/>
        <w:spacing w:line="600" w:lineRule="exact"/>
        <w:ind w:right="0"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四、制度建设：细化2025年绩效目标编制标准，侧重社会效益，建立长效考核机制，形成“重绩效、讲实效”的管理氛围。</w:t>
      </w:r>
    </w:p>
    <w:p w14:paraId="1BF3E6C1">
      <w:pPr>
        <w:pStyle w:val="13"/>
        <w:keepNext w:val="0"/>
        <w:keepLines w:val="0"/>
        <w:pageBreakBefore w:val="0"/>
        <w:wordWrap/>
        <w:topLinePunct w:val="0"/>
        <w:bidi w:val="0"/>
        <w:spacing w:line="600" w:lineRule="exact"/>
        <w:ind w:right="0"/>
        <w:jc w:val="center"/>
        <w:rPr>
          <w:rFonts w:hint="default" w:ascii="Times New Roman" w:hAnsi="Times New Roman" w:eastAsia="方正公文小标宋" w:cs="Times New Roman"/>
          <w:b w:val="0"/>
          <w:bCs w:val="0"/>
          <w:sz w:val="44"/>
          <w:szCs w:val="44"/>
        </w:rPr>
      </w:pPr>
    </w:p>
    <w:p w14:paraId="17C38128">
      <w:pPr>
        <w:pStyle w:val="13"/>
        <w:keepNext w:val="0"/>
        <w:keepLines w:val="0"/>
        <w:pageBreakBefore w:val="0"/>
        <w:wordWrap/>
        <w:topLinePunct w:val="0"/>
        <w:bidi w:val="0"/>
        <w:spacing w:line="600" w:lineRule="exact"/>
        <w:ind w:right="0"/>
        <w:jc w:val="center"/>
        <w:rPr>
          <w:rFonts w:hint="default" w:ascii="Times New Roman" w:hAnsi="Times New Roman" w:eastAsia="方正公文小标宋" w:cs="Times New Roman"/>
          <w:b w:val="0"/>
          <w:bCs w:val="0"/>
          <w:sz w:val="44"/>
          <w:szCs w:val="44"/>
        </w:rPr>
      </w:pPr>
      <w:r>
        <w:rPr>
          <w:rFonts w:hint="default" w:ascii="Times New Roman" w:hAnsi="Times New Roman" w:eastAsia="方正公文小标宋" w:cs="Times New Roman"/>
          <w:b w:val="0"/>
          <w:bCs w:val="0"/>
          <w:sz w:val="44"/>
          <w:szCs w:val="44"/>
        </w:rPr>
        <w:t>第四部分</w:t>
      </w:r>
    </w:p>
    <w:p w14:paraId="18F604CA">
      <w:pPr>
        <w:pStyle w:val="13"/>
        <w:keepNext w:val="0"/>
        <w:keepLines w:val="0"/>
        <w:pageBreakBefore w:val="0"/>
        <w:wordWrap/>
        <w:topLinePunct w:val="0"/>
        <w:bidi w:val="0"/>
        <w:spacing w:line="600" w:lineRule="exact"/>
        <w:ind w:right="0"/>
        <w:jc w:val="center"/>
        <w:rPr>
          <w:rFonts w:hint="default" w:ascii="Times New Roman" w:hAnsi="Times New Roman" w:eastAsia="仿宋" w:cs="Times New Roman"/>
          <w:b w:val="0"/>
          <w:bCs w:val="0"/>
          <w:color w:val="000000"/>
          <w:kern w:val="0"/>
          <w:sz w:val="32"/>
          <w:szCs w:val="32"/>
        </w:rPr>
      </w:pPr>
      <w:r>
        <w:rPr>
          <w:rFonts w:hint="default" w:ascii="Times New Roman" w:hAnsi="Times New Roman" w:eastAsia="方正公文小标宋" w:cs="Times New Roman"/>
          <w:b w:val="0"/>
          <w:bCs w:val="0"/>
          <w:sz w:val="44"/>
          <w:szCs w:val="44"/>
        </w:rPr>
        <w:t>名词解释</w:t>
      </w:r>
    </w:p>
    <w:p w14:paraId="790558CE">
      <w:pPr>
        <w:keepNext w:val="0"/>
        <w:keepLines w:val="0"/>
        <w:pageBreakBefore w:val="0"/>
        <w:widowControl/>
        <w:wordWrap/>
        <w:topLinePunct w:val="0"/>
        <w:bidi w:val="0"/>
        <w:spacing w:line="600" w:lineRule="exact"/>
        <w:ind w:right="0" w:firstLine="640" w:firstLineChars="200"/>
        <w:jc w:val="left"/>
        <w:rPr>
          <w:rFonts w:hint="default" w:ascii="Times New Roman" w:hAnsi="Times New Roman" w:eastAsia="仿宋" w:cs="Times New Roman"/>
          <w:sz w:val="32"/>
          <w:szCs w:val="32"/>
        </w:rPr>
      </w:pPr>
    </w:p>
    <w:p w14:paraId="01A1C6CA">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财政拨款收入：指单位本年度从同级财政部门取得的各类</w:t>
      </w:r>
      <w:r>
        <w:rPr>
          <w:rFonts w:hint="default" w:ascii="Times New Roman" w:hAnsi="Times New Roman" w:eastAsia="仿宋" w:cs="Times New Roman"/>
          <w:sz w:val="32"/>
          <w:szCs w:val="32"/>
        </w:rPr>
        <w:t>财</w:t>
      </w:r>
      <w:r>
        <w:rPr>
          <w:rFonts w:hint="default" w:ascii="Times New Roman" w:hAnsi="Times New Roman" w:eastAsia="仿宋" w:cs="Times New Roman"/>
          <w:sz w:val="32"/>
          <w:szCs w:val="32"/>
        </w:rPr>
        <w:t>政拨款。</w:t>
      </w:r>
    </w:p>
    <w:p w14:paraId="6A09F5F4">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229D8630">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事业收入：指事业单位开展专业业务活动及其辅助活动取得的收入，事业单位收到的财政专户实际核拨的教育收费等资金在此反映。</w:t>
      </w:r>
    </w:p>
    <w:p w14:paraId="634CB832">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经营收入：指事业单位在专业业务活动及其辅助活动之外开展非独立核算经营活动取得的收入。</w:t>
      </w:r>
    </w:p>
    <w:p w14:paraId="346A8480">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附属单位上缴收入：指事业单位附属独立核算单位按照有关规定上缴的收入。</w:t>
      </w:r>
    </w:p>
    <w:p w14:paraId="33AACEE2">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其他收入：指单位取得的除上述“财政拨款收入 ”、“事业收入”、“经营收入”等以外的各项收入。</w:t>
      </w:r>
    </w:p>
    <w:p w14:paraId="5FC68209">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使用非财政拨款结余：指事业单位使用非财政拨款结余（原事业基金）弥补当年收支差额的数额。</w:t>
      </w:r>
    </w:p>
    <w:p w14:paraId="3BF607B6">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年初结转和结余：指单位上年结转本年使用的基本支出结转、项目支出结转和结余和经营结余。</w:t>
      </w:r>
    </w:p>
    <w:p w14:paraId="60661F8D">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结余分配：指事业单位按规定对非财政拨款结余资金提取的专用基金、缴纳的所得税和转入非财政拨款结余等。</w:t>
      </w:r>
    </w:p>
    <w:p w14:paraId="7ED1E926">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年末结转和结余资金：指本年度或以前年度预算安排、因客观条件发生变化无法按原计划实施，需要延迟到以后年度按有关规定继</w:t>
      </w:r>
      <w:r>
        <w:rPr>
          <w:rFonts w:hint="default" w:ascii="Times New Roman" w:hAnsi="Times New Roman" w:eastAsia="仿宋" w:cs="Times New Roman"/>
          <w:sz w:val="32"/>
          <w:szCs w:val="32"/>
        </w:rPr>
        <w:t>续使用的资金。</w:t>
      </w:r>
    </w:p>
    <w:p w14:paraId="04A55800">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11</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基本支出：指为保障机构正常运转、完成日常工作任务而发生的支出，包括人员经费和公用经费。</w:t>
      </w:r>
    </w:p>
    <w:p w14:paraId="1A8CE216">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12</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项目支出：指在为完成特定的工作任务和事业发展目标所发生的支出。</w:t>
      </w:r>
    </w:p>
    <w:p w14:paraId="78F0D622">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13</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上缴上级支出：指事业单位按照财政部门和主管部门的规定上缴上级单位的支出。</w:t>
      </w:r>
    </w:p>
    <w:p w14:paraId="78447257">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14</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经营支出：指事业单位在专业业务活动及其辅助活动之外开展非独立核算经营活动发生的支出。</w:t>
      </w:r>
    </w:p>
    <w:p w14:paraId="3DE3AFBB">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15</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对附属单位补助支出：指事业单位用财政拨款收入之外的收入对附属单位补助发生的支出。</w:t>
      </w:r>
    </w:p>
    <w:p w14:paraId="52580B69">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16</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“三公”经费：指单位用一般公共预算财政拨款安排的因公出 国（境）费、公务用车购置及运行维护费和公务接待费。其中，因公出 国（境）费反映单位公务出国（境）的国际旅费、国外城市间交通费、 住宿费、伙食费、培训费、公杂费等支出；公务用车购置及运行维护费 反映单位公务用车购置支出（含车辆购置税、牌照费）以及按规定保留 的公务用车燃料费、维修费、过路过桥费、保险费、安全奖励费用等支 出；公务接待费反映单位按规定开支的各类公务接待（含外宾接待）费</w:t>
      </w:r>
      <w:r>
        <w:rPr>
          <w:rFonts w:hint="default" w:ascii="Times New Roman" w:hAnsi="Times New Roman" w:eastAsia="仿宋" w:cs="Times New Roman"/>
          <w:sz w:val="32"/>
          <w:szCs w:val="32"/>
        </w:rPr>
        <w:t>用</w:t>
      </w:r>
      <w:bookmarkStart w:id="0" w:name="_GoBack"/>
      <w:bookmarkEnd w:id="0"/>
      <w:r>
        <w:rPr>
          <w:rFonts w:hint="default" w:ascii="Times New Roman" w:hAnsi="Times New Roman" w:eastAsia="仿宋" w:cs="Times New Roman"/>
          <w:sz w:val="32"/>
          <w:szCs w:val="32"/>
        </w:rPr>
        <w:t>。</w:t>
      </w:r>
    </w:p>
    <w:p w14:paraId="3BEA9B59">
      <w:pPr>
        <w:keepNext w:val="0"/>
        <w:keepLines w:val="0"/>
        <w:pageBreakBefore w:val="0"/>
        <w:kinsoku w:val="0"/>
        <w:wordWrap/>
        <w:overflowPunct w:val="0"/>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仿宋" w:cs="Times New Roman"/>
          <w:sz w:val="32"/>
          <w:szCs w:val="32"/>
        </w:rPr>
        <w:sectPr>
          <w:footerReference r:id="rId6" w:type="default"/>
          <w:pgSz w:w="11906" w:h="16839"/>
          <w:pgMar w:top="1701" w:right="1587" w:bottom="1531" w:left="1587" w:header="0" w:footer="990" w:gutter="0"/>
          <w:cols w:space="720" w:num="1"/>
        </w:sectPr>
      </w:pPr>
      <w:r>
        <w:rPr>
          <w:rFonts w:hint="default" w:ascii="Times New Roman" w:hAnsi="Times New Roman" w:eastAsia="仿宋" w:cs="Times New Roman"/>
          <w:sz w:val="32"/>
          <w:szCs w:val="32"/>
        </w:rPr>
        <w:t>17</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上级补助收入：指事业单位从主管部门和上级单位取得的非财政补助收入</w:t>
      </w:r>
      <w:r>
        <w:rPr>
          <w:rFonts w:hint="default" w:ascii="Times New Roman" w:hAnsi="Times New Roman" w:eastAsia="仿宋" w:cs="Times New Roman"/>
          <w:sz w:val="32"/>
          <w:szCs w:val="32"/>
        </w:rPr>
        <w:t>。</w:t>
      </w:r>
    </w:p>
    <w:p w14:paraId="04BF7BA1">
      <w:pPr>
        <w:pStyle w:val="13"/>
        <w:keepNext w:val="0"/>
        <w:keepLines w:val="0"/>
        <w:pageBreakBefore w:val="0"/>
        <w:wordWrap/>
        <w:topLinePunct w:val="0"/>
        <w:bidi w:val="0"/>
        <w:spacing w:line="600" w:lineRule="exact"/>
        <w:ind w:right="0"/>
        <w:jc w:val="center"/>
        <w:rPr>
          <w:rFonts w:hint="default" w:ascii="Times New Roman" w:hAnsi="Times New Roman" w:eastAsia="方正公文小标宋" w:cs="Times New Roman"/>
          <w:b w:val="0"/>
          <w:bCs w:val="0"/>
          <w:sz w:val="44"/>
          <w:szCs w:val="44"/>
        </w:rPr>
      </w:pPr>
      <w:r>
        <w:rPr>
          <w:rFonts w:hint="default" w:ascii="Times New Roman" w:hAnsi="Times New Roman" w:eastAsia="方正公文小标宋" w:cs="Times New Roman"/>
          <w:b w:val="0"/>
          <w:bCs w:val="0"/>
          <w:sz w:val="44"/>
          <w:szCs w:val="44"/>
        </w:rPr>
        <w:t>第五部分   附 件</w:t>
      </w:r>
    </w:p>
    <w:p w14:paraId="1A89DEE3">
      <w:pPr>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sz w:val="32"/>
          <w:szCs w:val="32"/>
        </w:rPr>
      </w:pPr>
    </w:p>
    <w:p w14:paraId="17989535">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一、</w:t>
      </w:r>
      <w:r>
        <w:rPr>
          <w:rFonts w:hint="default" w:ascii="Times New Roman" w:hAnsi="Times New Roman" w:eastAsia="仿宋" w:cs="Times New Roman"/>
          <w:sz w:val="32"/>
          <w:szCs w:val="32"/>
        </w:rPr>
        <w:t>2024年度部门(单位)整体支出绩效自评报告。</w:t>
      </w:r>
    </w:p>
    <w:p w14:paraId="20863176">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二、2024年部门决算表</w:t>
      </w:r>
    </w:p>
    <w:p w14:paraId="6E4842F4">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三、2024年基础数据表</w:t>
      </w:r>
    </w:p>
    <w:p w14:paraId="22754E5B">
      <w:pPr>
        <w:pStyle w:val="13"/>
        <w:keepNext w:val="0"/>
        <w:keepLines w:val="0"/>
        <w:pageBreakBefore w:val="0"/>
        <w:wordWrap/>
        <w:topLinePunct w:val="0"/>
        <w:bidi w:val="0"/>
        <w:spacing w:line="600" w:lineRule="exact"/>
        <w:ind w:right="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四、2024年部门决算情况说明</w:t>
      </w:r>
    </w:p>
    <w:p w14:paraId="616E5450">
      <w:pPr>
        <w:pStyle w:val="13"/>
        <w:keepNext w:val="0"/>
        <w:keepLines w:val="0"/>
        <w:pageBreakBefore w:val="0"/>
        <w:numPr>
          <w:ilvl w:val="0"/>
          <w:numId w:val="1"/>
        </w:numPr>
        <w:wordWrap/>
        <w:topLinePunct w:val="0"/>
        <w:bidi w:val="0"/>
        <w:spacing w:line="600" w:lineRule="exact"/>
        <w:ind w:right="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2024年整体支出自评表</w:t>
      </w:r>
    </w:p>
    <w:p w14:paraId="513ADD88">
      <w:pPr>
        <w:pStyle w:val="13"/>
        <w:keepNext w:val="0"/>
        <w:keepLines w:val="0"/>
        <w:pageBreakBefore w:val="0"/>
        <w:numPr>
          <w:ilvl w:val="0"/>
          <w:numId w:val="1"/>
        </w:numPr>
        <w:wordWrap/>
        <w:topLinePunct w:val="0"/>
        <w:bidi w:val="0"/>
        <w:spacing w:line="600" w:lineRule="exact"/>
        <w:ind w:right="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2024年项目支出自评表</w:t>
      </w:r>
    </w:p>
    <w:p w14:paraId="09AABA9F">
      <w:pPr>
        <w:pStyle w:val="13"/>
        <w:keepNext w:val="0"/>
        <w:keepLines w:val="0"/>
        <w:pageBreakBefore w:val="0"/>
        <w:wordWrap/>
        <w:topLinePunct w:val="0"/>
        <w:bidi w:val="0"/>
        <w:spacing w:line="600" w:lineRule="exact"/>
        <w:ind w:right="0" w:firstLine="640" w:firstLineChars="200"/>
        <w:rPr>
          <w:rFonts w:ascii="仿宋" w:hAnsi="仿宋" w:eastAsia="仿宋" w:cs="Times New Roman"/>
          <w:sz w:val="32"/>
          <w:szCs w:val="32"/>
        </w:rPr>
      </w:pPr>
    </w:p>
    <w:p w14:paraId="7CF0CCFB">
      <w:pPr>
        <w:pStyle w:val="13"/>
        <w:keepNext w:val="0"/>
        <w:keepLines w:val="0"/>
        <w:pageBreakBefore w:val="0"/>
        <w:wordWrap/>
        <w:topLinePunct w:val="0"/>
        <w:bidi w:val="0"/>
        <w:spacing w:line="600" w:lineRule="exact"/>
        <w:ind w:right="0" w:firstLine="640" w:firstLineChars="200"/>
        <w:jc w:val="center"/>
        <w:rPr>
          <w:rFonts w:ascii="仿宋" w:hAnsi="仿宋" w:eastAsia="仿宋" w:cs="Times New Roman"/>
          <w:sz w:val="32"/>
          <w:szCs w:val="32"/>
        </w:rPr>
      </w:pPr>
    </w:p>
    <w:p w14:paraId="7304881C">
      <w:pPr>
        <w:pStyle w:val="13"/>
        <w:keepNext w:val="0"/>
        <w:keepLines w:val="0"/>
        <w:pageBreakBefore w:val="0"/>
        <w:wordWrap/>
        <w:topLinePunct w:val="0"/>
        <w:bidi w:val="0"/>
        <w:spacing w:line="600" w:lineRule="exact"/>
        <w:ind w:right="0" w:firstLine="640" w:firstLineChars="200"/>
        <w:jc w:val="center"/>
        <w:rPr>
          <w:rFonts w:ascii="仿宋" w:hAnsi="仿宋" w:eastAsia="仿宋" w:cs="Times New Roman"/>
          <w:sz w:val="32"/>
          <w:szCs w:val="32"/>
        </w:rPr>
      </w:pPr>
    </w:p>
    <w:p w14:paraId="163DC8E2">
      <w:pPr>
        <w:keepNext w:val="0"/>
        <w:keepLines w:val="0"/>
        <w:pageBreakBefore w:val="0"/>
        <w:wordWrap/>
        <w:topLinePunct w:val="0"/>
        <w:bidi w:val="0"/>
        <w:spacing w:line="600" w:lineRule="exact"/>
        <w:ind w:right="0" w:firstLine="640" w:firstLineChars="200"/>
        <w:jc w:val="left"/>
        <w:rPr>
          <w:rFonts w:ascii="仿宋" w:hAnsi="仿宋" w:eastAsia="仿宋" w:cs="Times New Roman"/>
          <w:color w:val="000000"/>
          <w:kern w:val="0"/>
          <w:sz w:val="32"/>
          <w:szCs w:val="32"/>
        </w:rPr>
      </w:pPr>
    </w:p>
    <w:sectPr>
      <w:pgSz w:w="11906" w:h="16838"/>
      <w:pgMar w:top="1701" w:right="1588" w:bottom="1531"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AE01A9-CFD8-4AD9-A964-D8C5950617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B44F845-A3A8-4A4E-BA56-9C42AADE2CCB}"/>
  </w:font>
  <w:font w:name="方正公文小标宋">
    <w:panose1 w:val="02000500000000000000"/>
    <w:charset w:val="86"/>
    <w:family w:val="auto"/>
    <w:pitch w:val="default"/>
    <w:sig w:usb0="A00002BF" w:usb1="38CF7CFA" w:usb2="00000016" w:usb3="00000000" w:csb0="00040001" w:csb1="00000000"/>
    <w:embedRegular r:id="rId3" w:fontKey="{AD5C8772-AE76-4774-BE5F-49A258164D45}"/>
  </w:font>
  <w:font w:name="楷体">
    <w:panose1 w:val="02010609060101010101"/>
    <w:charset w:val="86"/>
    <w:family w:val="auto"/>
    <w:pitch w:val="default"/>
    <w:sig w:usb0="800002BF" w:usb1="38CF7CFA" w:usb2="00000016" w:usb3="00000000" w:csb0="00040001" w:csb1="00000000"/>
    <w:embedRegular r:id="rId4" w:fontKey="{347C924F-A8AA-4029-8DFF-AB0FFC4F2E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F81A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9E9BF">
    <w:pPr>
      <w:spacing w:line="169" w:lineRule="auto"/>
      <w:ind w:left="4991"/>
      <w:rPr>
        <w:rFonts w:ascii="黑体" w:hAnsi="黑体" w:eastAsia="黑体" w:cs="黑体"/>
        <w:sz w:val="18"/>
        <w:szCs w:val="18"/>
      </w:rPr>
    </w:pPr>
    <w:r>
      <w:rPr>
        <w:rFonts w:ascii="黑体" w:hAnsi="黑体" w:eastAsia="黑体" w:cs="黑体"/>
        <w:spacing w:val="-4"/>
        <w:sz w:val="18"/>
        <w:szCs w:val="18"/>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21CB5">
    <w:pPr>
      <w:pStyle w:val="7"/>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2FF6EACC">
                <w:pPr>
                  <w:pStyle w:val="7"/>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98EB4">
    <w:pPr>
      <w:spacing w:line="172" w:lineRule="auto"/>
      <w:ind w:left="4509"/>
      <w:rPr>
        <w:rFonts w:ascii="黑体" w:hAnsi="黑体" w:eastAsia="黑体" w:cs="黑体"/>
        <w:sz w:val="18"/>
        <w:szCs w:val="18"/>
      </w:rPr>
    </w:pPr>
    <w:r>
      <w:rPr>
        <w:rFonts w:ascii="黑体" w:hAnsi="黑体" w:eastAsia="黑体" w:cs="黑体"/>
        <w:spacing w:val="-5"/>
        <w:sz w:val="18"/>
        <w:szCs w:val="18"/>
      </w:rPr>
      <w:t>-10-</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04D10"/>
    <w:multiLevelType w:val="singleLevel"/>
    <w:tmpl w:val="AEB04D1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Q0NjRhZWI0OTMzY2IyM2U5YmZhZWU2OTUzMWNlNzk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33A78"/>
    <w:rsid w:val="00152C6D"/>
    <w:rsid w:val="00162D39"/>
    <w:rsid w:val="001678BD"/>
    <w:rsid w:val="00182373"/>
    <w:rsid w:val="001A67DB"/>
    <w:rsid w:val="001B67D1"/>
    <w:rsid w:val="001C3C29"/>
    <w:rsid w:val="001D2B79"/>
    <w:rsid w:val="001D51E5"/>
    <w:rsid w:val="001E080D"/>
    <w:rsid w:val="001E1AF4"/>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2F52"/>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1009"/>
    <w:rsid w:val="00595D26"/>
    <w:rsid w:val="005A74E6"/>
    <w:rsid w:val="005B404E"/>
    <w:rsid w:val="005D4D55"/>
    <w:rsid w:val="005E0E6C"/>
    <w:rsid w:val="005E2CFB"/>
    <w:rsid w:val="005F2103"/>
    <w:rsid w:val="005F3D1C"/>
    <w:rsid w:val="005F4189"/>
    <w:rsid w:val="006171EE"/>
    <w:rsid w:val="0062378F"/>
    <w:rsid w:val="00641842"/>
    <w:rsid w:val="00651EEC"/>
    <w:rsid w:val="00655D3F"/>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50F86"/>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97E96"/>
    <w:rsid w:val="00EA2B72"/>
    <w:rsid w:val="00F74360"/>
    <w:rsid w:val="00FB462F"/>
    <w:rsid w:val="00FE16FA"/>
    <w:rsid w:val="00FE328A"/>
    <w:rsid w:val="00FE6269"/>
    <w:rsid w:val="00FF5CD6"/>
    <w:rsid w:val="073267E9"/>
    <w:rsid w:val="07DE52AF"/>
    <w:rsid w:val="0A407DE8"/>
    <w:rsid w:val="0D35493D"/>
    <w:rsid w:val="14072DAB"/>
    <w:rsid w:val="16257519"/>
    <w:rsid w:val="175B7696"/>
    <w:rsid w:val="18A1557C"/>
    <w:rsid w:val="1B544B28"/>
    <w:rsid w:val="1CB3408A"/>
    <w:rsid w:val="1D97DEFF"/>
    <w:rsid w:val="1DFF72E5"/>
    <w:rsid w:val="1EFC6F07"/>
    <w:rsid w:val="1F7666AA"/>
    <w:rsid w:val="26694628"/>
    <w:rsid w:val="2AFB6D6E"/>
    <w:rsid w:val="2C7E3117"/>
    <w:rsid w:val="2FDF85B8"/>
    <w:rsid w:val="2FFFEE04"/>
    <w:rsid w:val="34DF85B0"/>
    <w:rsid w:val="38B11F8A"/>
    <w:rsid w:val="39072D82"/>
    <w:rsid w:val="3B0D09F9"/>
    <w:rsid w:val="3B363858"/>
    <w:rsid w:val="3B8F36BC"/>
    <w:rsid w:val="3F81394B"/>
    <w:rsid w:val="47DA6CEA"/>
    <w:rsid w:val="491FF225"/>
    <w:rsid w:val="49F50D2B"/>
    <w:rsid w:val="4A1946C3"/>
    <w:rsid w:val="4BA36FF8"/>
    <w:rsid w:val="4FFD214C"/>
    <w:rsid w:val="50CB4E96"/>
    <w:rsid w:val="51583D0F"/>
    <w:rsid w:val="53D04EC4"/>
    <w:rsid w:val="575918AE"/>
    <w:rsid w:val="5777D4F5"/>
    <w:rsid w:val="57931F59"/>
    <w:rsid w:val="59DD8326"/>
    <w:rsid w:val="5BA219EB"/>
    <w:rsid w:val="5DEF592A"/>
    <w:rsid w:val="5FC6BB1E"/>
    <w:rsid w:val="5FF720F1"/>
    <w:rsid w:val="60762F2D"/>
    <w:rsid w:val="628B71A8"/>
    <w:rsid w:val="64A666EF"/>
    <w:rsid w:val="64B94A51"/>
    <w:rsid w:val="67FF5C0B"/>
    <w:rsid w:val="6AE0505D"/>
    <w:rsid w:val="6EFC0924"/>
    <w:rsid w:val="6F196D71"/>
    <w:rsid w:val="6FB74722"/>
    <w:rsid w:val="6FEF8B7E"/>
    <w:rsid w:val="70D1135F"/>
    <w:rsid w:val="71A6591B"/>
    <w:rsid w:val="737D59BA"/>
    <w:rsid w:val="77C37683"/>
    <w:rsid w:val="79D19834"/>
    <w:rsid w:val="79FF515B"/>
    <w:rsid w:val="7DBB74C7"/>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semiHidden/>
    <w:qFormat/>
    <w:uiPriority w:val="0"/>
    <w:rPr>
      <w:rFonts w:ascii="仿宋" w:hAnsi="仿宋" w:eastAsia="仿宋" w:cs="仿宋"/>
      <w:sz w:val="31"/>
      <w:szCs w:val="31"/>
      <w:lang w:eastAsia="en-US"/>
    </w:r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50ADB0-C760-4A87-9E87-95B2B36ECD4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8591</Words>
  <Characters>9302</Characters>
  <Lines>68</Lines>
  <Paragraphs>19</Paragraphs>
  <TotalTime>35</TotalTime>
  <ScaleCrop>false</ScaleCrop>
  <LinksUpToDate>false</LinksUpToDate>
  <CharactersWithSpaces>9342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2025-10-17T00:31:00Z</dcterms:created>
  <dc:creator>李航 null</dc:creator>
  <cp:lastModifiedBy>风骨</cp:lastModifiedBy>
  <cp:lastPrinted>2024-08-08T18:20:00Z</cp:lastPrinted>
  <dcterms:modified xsi:type="dcterms:W3CDTF">2025-10-30T09:19:17Z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BB7B6AA21D207914D6FDA268992A22D6</vt:lpwstr>
  </property>
  <property fmtid="{D5CDD505-2E9C-101B-9397-08002B2CF9AE}" pid="4" name="KSOTemplateDocerSaveRecord">
    <vt:lpwstr>eyJoZGlkIjoiOWNhMWFhNWRjN2ZmZGQ5MDI5NWUwYjdlMGJhZjNlZWMiLCJ1c2VySWQiOiIyNDg5MTk4NTAifQ==</vt:lpwstr>
  </property>
</Properties>
</file>