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EA9DF">
      <w:pPr>
        <w:spacing w:line="560" w:lineRule="exact"/>
        <w:rPr>
          <w:rFonts w:ascii="Times New Roman" w:hAnsi="Times New Roman" w:eastAsia="黑体"/>
          <w:kern w:val="2"/>
          <w:sz w:val="32"/>
          <w:szCs w:val="32"/>
        </w:rPr>
      </w:pPr>
      <w:bookmarkStart w:id="0" w:name="_GoBack"/>
      <w:bookmarkEnd w:id="0"/>
      <w:r>
        <w:rPr>
          <w:rFonts w:ascii="Times New Roman" w:hAnsi="Times New Roman" w:eastAsia="黑体"/>
          <w:kern w:val="2"/>
          <w:sz w:val="32"/>
          <w:szCs w:val="32"/>
        </w:rPr>
        <w:t>附件4</w:t>
      </w:r>
    </w:p>
    <w:p w14:paraId="406E73CF">
      <w:pPr>
        <w:spacing w:line="600" w:lineRule="exact"/>
        <w:jc w:val="center"/>
        <w:rPr>
          <w:rFonts w:hint="eastAsia" w:ascii="Times New Roman" w:hAnsi="Times New Roman" w:eastAsia="方正小标宋简体"/>
          <w:kern w:val="2"/>
          <w:sz w:val="44"/>
          <w:szCs w:val="44"/>
        </w:rPr>
      </w:pPr>
      <w:r>
        <w:rPr>
          <w:rFonts w:ascii="Times New Roman" w:hAnsi="Times New Roman" w:eastAsia="方正小标宋简体"/>
          <w:kern w:val="2"/>
          <w:sz w:val="44"/>
          <w:szCs w:val="44"/>
        </w:rPr>
        <w:t>南岳区住房保障服务中心</w:t>
      </w:r>
    </w:p>
    <w:p w14:paraId="42ECAF34">
      <w:pPr>
        <w:spacing w:line="600" w:lineRule="exact"/>
        <w:jc w:val="center"/>
        <w:rPr>
          <w:rFonts w:ascii="Times New Roman" w:hAnsi="Times New Roman" w:eastAsia="方正小标宋简体"/>
          <w:kern w:val="2"/>
          <w:sz w:val="44"/>
          <w:szCs w:val="44"/>
        </w:rPr>
      </w:pPr>
      <w:r>
        <w:rPr>
          <w:rFonts w:ascii="Times New Roman" w:hAnsi="Times New Roman" w:eastAsia="方正小标宋简体"/>
          <w:kern w:val="2"/>
          <w:sz w:val="44"/>
          <w:szCs w:val="44"/>
        </w:rPr>
        <w:t>部门整体支出绩效自评报告</w:t>
      </w:r>
    </w:p>
    <w:p w14:paraId="09D355FC">
      <w:pPr>
        <w:spacing w:line="600" w:lineRule="exact"/>
        <w:jc w:val="center"/>
        <w:rPr>
          <w:rFonts w:ascii="Times New Roman" w:hAnsi="Times New Roman" w:eastAsia="仿宋"/>
          <w:kern w:val="2"/>
          <w:sz w:val="32"/>
          <w:szCs w:val="32"/>
        </w:rPr>
      </w:pPr>
    </w:p>
    <w:p w14:paraId="032ECE11">
      <w:pPr>
        <w:spacing w:line="600" w:lineRule="exact"/>
        <w:ind w:firstLine="640" w:firstLineChars="200"/>
        <w:rPr>
          <w:rFonts w:ascii="Times New Roman" w:hAnsi="Times New Roman" w:eastAsia="仿宋"/>
          <w:kern w:val="2"/>
          <w:sz w:val="32"/>
          <w:szCs w:val="32"/>
        </w:rPr>
      </w:pPr>
    </w:p>
    <w:p w14:paraId="469BADCE">
      <w:pPr>
        <w:numPr>
          <w:ilvl w:val="0"/>
          <w:numId w:val="1"/>
        </w:numPr>
        <w:spacing w:line="600" w:lineRule="exact"/>
        <w:ind w:firstLine="640" w:firstLineChars="200"/>
        <w:rPr>
          <w:rFonts w:ascii="Times New Roman" w:hAnsi="Times New Roman" w:eastAsia="黑体"/>
          <w:kern w:val="2"/>
          <w:sz w:val="32"/>
          <w:szCs w:val="32"/>
        </w:rPr>
      </w:pPr>
      <w:r>
        <w:rPr>
          <w:rFonts w:ascii="Times New Roman" w:hAnsi="Times New Roman" w:eastAsia="黑体"/>
          <w:kern w:val="2"/>
          <w:sz w:val="32"/>
          <w:szCs w:val="32"/>
        </w:rPr>
        <w:t>部门、单位基本情况</w:t>
      </w:r>
    </w:p>
    <w:p w14:paraId="05860C04">
      <w:pPr>
        <w:pStyle w:val="14"/>
        <w:widowControl/>
        <w:wordWrap w:val="0"/>
        <w:spacing w:before="392" w:beforeAutospacing="0" w:after="120" w:afterAutospacing="0" w:line="480" w:lineRule="atLeast"/>
        <w:ind w:firstLine="480"/>
        <w:rPr>
          <w:rFonts w:ascii="宋体" w:hAnsi="宋体" w:cs="宋体"/>
          <w:b/>
          <w:bCs/>
          <w:color w:val="666666"/>
          <w:sz w:val="30"/>
          <w:szCs w:val="30"/>
        </w:rPr>
      </w:pPr>
      <w:r>
        <w:rPr>
          <w:rFonts w:hint="eastAsia" w:ascii="宋体" w:hAnsi="宋体" w:cs="宋体"/>
          <w:b/>
          <w:bCs/>
          <w:color w:val="666666"/>
          <w:sz w:val="30"/>
          <w:szCs w:val="30"/>
          <w:shd w:val="clear" w:color="auto" w:fill="FFFFFF"/>
        </w:rPr>
        <w:t>（一）宣传贯彻住房制度改革、住房保障、房产管理、房地产业、房产市场等相关法律法规和政策，协助拟订相关规划、计划并参与实施。</w:t>
      </w:r>
    </w:p>
    <w:p w14:paraId="3FC1EBE0">
      <w:pPr>
        <w:pStyle w:val="14"/>
        <w:widowControl/>
        <w:wordWrap w:val="0"/>
        <w:spacing w:before="392" w:beforeAutospacing="0" w:after="120" w:afterAutospacing="0" w:line="480" w:lineRule="atLeast"/>
        <w:ind w:firstLine="480"/>
        <w:rPr>
          <w:rFonts w:ascii="宋体" w:hAnsi="宋体" w:cs="宋体"/>
          <w:b/>
          <w:bCs/>
          <w:color w:val="666666"/>
          <w:sz w:val="30"/>
          <w:szCs w:val="30"/>
        </w:rPr>
      </w:pPr>
      <w:r>
        <w:rPr>
          <w:rFonts w:hint="eastAsia" w:ascii="宋体" w:hAnsi="宋体" w:cs="宋体"/>
          <w:b/>
          <w:bCs/>
          <w:color w:val="666666"/>
          <w:sz w:val="30"/>
          <w:szCs w:val="30"/>
          <w:shd w:val="clear" w:color="auto" w:fill="FFFFFF"/>
        </w:rPr>
        <w:t>（二）配合做好全区住房制度改革有关工作。参与拟订并协助实施城区住房制度改革配套方案；协助拟订全区经济适用住房、安居型商品房和公共租赁住房建设规划及年度计划，并参与相关实施工作；协助拟订城市棚户区改造（含国有工矿棚户区改造）规划及年度计划，并参与相关实施工作；协助拟订各类保障性安居工程改造规划、计划，并参与相关实施工作。</w:t>
      </w:r>
    </w:p>
    <w:p w14:paraId="000A8A09">
      <w:pPr>
        <w:pStyle w:val="14"/>
        <w:widowControl/>
        <w:wordWrap w:val="0"/>
        <w:spacing w:before="392" w:beforeAutospacing="0" w:after="120" w:afterAutospacing="0" w:line="480" w:lineRule="atLeast"/>
        <w:ind w:firstLine="480"/>
        <w:rPr>
          <w:rFonts w:ascii="宋体" w:hAnsi="宋体" w:cs="宋体"/>
          <w:b/>
          <w:bCs/>
          <w:color w:val="666666"/>
          <w:sz w:val="30"/>
          <w:szCs w:val="30"/>
          <w:shd w:val="clear" w:color="auto" w:fill="FFFFFF"/>
        </w:rPr>
      </w:pPr>
      <w:r>
        <w:rPr>
          <w:rFonts w:hint="eastAsia" w:ascii="宋体" w:hAnsi="宋体" w:cs="宋体"/>
          <w:b/>
          <w:bCs/>
          <w:color w:val="666666"/>
          <w:sz w:val="30"/>
          <w:szCs w:val="30"/>
          <w:shd w:val="clear" w:color="auto" w:fill="FFFFFF"/>
        </w:rPr>
        <w:t>（三）负责城区保障性住房相关服务工作。负责城区租赁型保障性住房（含直管公房）的分配及管理服务；负责城区保障性</w:t>
      </w:r>
    </w:p>
    <w:p w14:paraId="49C19FFE">
      <w:pPr>
        <w:pStyle w:val="14"/>
        <w:widowControl/>
        <w:wordWrap w:val="0"/>
        <w:spacing w:before="392" w:beforeAutospacing="0" w:after="120" w:afterAutospacing="0" w:line="480" w:lineRule="atLeast"/>
        <w:ind w:firstLine="480"/>
        <w:rPr>
          <w:rFonts w:ascii="宋体" w:hAnsi="宋体" w:cs="宋体"/>
          <w:b/>
          <w:bCs/>
          <w:color w:val="666666"/>
          <w:sz w:val="30"/>
          <w:szCs w:val="30"/>
        </w:rPr>
      </w:pPr>
      <w:r>
        <w:rPr>
          <w:rFonts w:hint="eastAsia" w:ascii="宋体" w:hAnsi="宋体" w:cs="宋体"/>
          <w:b/>
          <w:bCs/>
          <w:color w:val="666666"/>
          <w:sz w:val="30"/>
          <w:szCs w:val="30"/>
          <w:shd w:val="clear" w:color="auto" w:fill="FFFFFF"/>
        </w:rPr>
        <w:t>住房的动态服务管理；参与城区保障性住房房源筹措、储备工作；负责城区保障性住房租金收支、物业管理购买服务及配套用房出租等运营管理服务工作；负责城区政府产权保障性住房及其附属设施的维护和小区设施的配套、维护工作；负责租赁型保障性住房的产权管理服务工作；配合城区保障性住房安全鉴定工作；参与拟定保障性住房出售价格和租金标准；参与区本级企业公共租赁住房管理工作。</w:t>
      </w:r>
    </w:p>
    <w:p w14:paraId="7115A0B8">
      <w:pPr>
        <w:pStyle w:val="14"/>
        <w:widowControl/>
        <w:wordWrap w:val="0"/>
        <w:spacing w:before="392" w:beforeAutospacing="0" w:after="120" w:afterAutospacing="0" w:line="480" w:lineRule="atLeast"/>
        <w:ind w:firstLine="480"/>
        <w:rPr>
          <w:rFonts w:ascii="宋体" w:hAnsi="宋体" w:cs="宋体"/>
          <w:b/>
          <w:bCs/>
          <w:color w:val="666666"/>
          <w:sz w:val="30"/>
          <w:szCs w:val="30"/>
        </w:rPr>
      </w:pPr>
      <w:r>
        <w:rPr>
          <w:rFonts w:hint="eastAsia" w:ascii="宋体" w:hAnsi="宋体" w:cs="宋体"/>
          <w:b/>
          <w:bCs/>
          <w:color w:val="666666"/>
          <w:sz w:val="30"/>
          <w:szCs w:val="30"/>
          <w:shd w:val="clear" w:color="auto" w:fill="FFFFFF"/>
        </w:rPr>
        <w:t>（四）负责房地产开发相关服务工作。负责城区房地产开发项目资本金的收缴和解控工作；负责核发《房地产开发项目手册》；负责落实《住宅质量保证书》、《住宅使用说明书》制度；参与房地产开发企业违法违规行为的查处工作。</w:t>
      </w:r>
    </w:p>
    <w:p w14:paraId="3629CE81">
      <w:pPr>
        <w:pStyle w:val="14"/>
        <w:widowControl/>
        <w:wordWrap w:val="0"/>
        <w:spacing w:before="392" w:beforeAutospacing="0" w:after="120" w:afterAutospacing="0" w:line="480" w:lineRule="atLeast"/>
        <w:ind w:firstLine="480"/>
        <w:rPr>
          <w:rFonts w:ascii="宋体" w:hAnsi="宋体" w:cs="宋体"/>
          <w:b/>
          <w:bCs/>
          <w:color w:val="666666"/>
          <w:sz w:val="30"/>
          <w:szCs w:val="30"/>
        </w:rPr>
      </w:pPr>
      <w:r>
        <w:rPr>
          <w:rFonts w:hint="eastAsia" w:ascii="宋体" w:hAnsi="宋体" w:cs="宋体"/>
          <w:b/>
          <w:bCs/>
          <w:color w:val="666666"/>
          <w:sz w:val="30"/>
          <w:szCs w:val="30"/>
          <w:shd w:val="clear" w:color="auto" w:fill="FFFFFF"/>
        </w:rPr>
        <w:t>（五）负责物业行业管理相关事务性工作。参与拟订物业管理办法和措施。配合有关部门拟订物业服务收费标准；协助室内装饰装修行业管理工作。</w:t>
      </w:r>
    </w:p>
    <w:p w14:paraId="1A39B373">
      <w:pPr>
        <w:pStyle w:val="14"/>
        <w:widowControl/>
        <w:wordWrap w:val="0"/>
        <w:spacing w:before="392" w:beforeAutospacing="0" w:after="120" w:afterAutospacing="0" w:line="480" w:lineRule="atLeast"/>
        <w:ind w:firstLine="480"/>
        <w:rPr>
          <w:rFonts w:ascii="宋体" w:hAnsi="宋体" w:cs="宋体"/>
          <w:b/>
          <w:bCs/>
          <w:color w:val="666666"/>
          <w:sz w:val="30"/>
          <w:szCs w:val="30"/>
        </w:rPr>
      </w:pPr>
      <w:r>
        <w:rPr>
          <w:rFonts w:hint="eastAsia" w:ascii="宋体" w:hAnsi="宋体" w:cs="宋体"/>
          <w:b/>
          <w:bCs/>
          <w:color w:val="666666"/>
          <w:sz w:val="30"/>
          <w:szCs w:val="30"/>
          <w:shd w:val="clear" w:color="auto" w:fill="FFFFFF"/>
        </w:rPr>
        <w:t>（六）负责城区新建商品房预售资金监管服务工作。负责《商品房预售资金监管协议书》备案；负责对预售资金监管账户的建档、入账、拨付、使用、销户的实时监控；协助指导全区新建商品房预售资金监管业务。</w:t>
      </w:r>
    </w:p>
    <w:p w14:paraId="4042BA2C">
      <w:pPr>
        <w:pStyle w:val="14"/>
        <w:widowControl/>
        <w:wordWrap w:val="0"/>
        <w:spacing w:before="392" w:beforeAutospacing="0" w:after="120" w:afterAutospacing="0" w:line="480" w:lineRule="atLeast"/>
        <w:ind w:firstLine="480"/>
        <w:rPr>
          <w:rFonts w:ascii="宋体" w:hAnsi="宋体" w:cs="宋体"/>
          <w:b/>
          <w:bCs/>
          <w:color w:val="666666"/>
          <w:sz w:val="30"/>
          <w:szCs w:val="30"/>
        </w:rPr>
      </w:pPr>
      <w:r>
        <w:rPr>
          <w:rFonts w:hint="eastAsia" w:ascii="宋体" w:hAnsi="宋体" w:cs="宋体"/>
          <w:b/>
          <w:bCs/>
          <w:color w:val="666666"/>
          <w:sz w:val="30"/>
          <w:szCs w:val="30"/>
          <w:shd w:val="clear" w:color="auto" w:fill="FFFFFF"/>
        </w:rPr>
        <w:t>（七）负责房产测绘和城区房屋面积管理工作。负责房产测绘及其成果备案工作；负责城区房屋面积和楼盘表的日常管理工作；协助房地产价格评估工作。</w:t>
      </w:r>
    </w:p>
    <w:p w14:paraId="19BB4854">
      <w:pPr>
        <w:pStyle w:val="14"/>
        <w:widowControl/>
        <w:wordWrap w:val="0"/>
        <w:spacing w:before="392" w:beforeAutospacing="0" w:after="120" w:afterAutospacing="0" w:line="480" w:lineRule="atLeast"/>
        <w:ind w:firstLine="480"/>
        <w:rPr>
          <w:rFonts w:ascii="宋体" w:hAnsi="宋体" w:cs="宋体"/>
          <w:b/>
          <w:bCs/>
          <w:color w:val="666666"/>
          <w:sz w:val="30"/>
          <w:szCs w:val="30"/>
        </w:rPr>
      </w:pPr>
      <w:r>
        <w:rPr>
          <w:rFonts w:hint="eastAsia" w:ascii="宋体" w:hAnsi="宋体" w:cs="宋体"/>
          <w:b/>
          <w:bCs/>
          <w:color w:val="666666"/>
          <w:sz w:val="30"/>
          <w:szCs w:val="30"/>
          <w:shd w:val="clear" w:color="auto" w:fill="FFFFFF"/>
        </w:rPr>
        <w:t>（八）负责商品房交易相关事务性工作。参与拟订商品房交易监管办法和措施；负责城区新建商品房预（现）售合同、存量房（二手房）买卖合同、租赁合同、抵押合同的网签备案工作；负责城区新建商品房现售备案、房源核验和房屋（含二手房）交易资金监管工作。</w:t>
      </w:r>
    </w:p>
    <w:p w14:paraId="34D73523">
      <w:pPr>
        <w:pStyle w:val="14"/>
        <w:widowControl/>
        <w:wordWrap w:val="0"/>
        <w:spacing w:before="392" w:beforeAutospacing="0" w:after="120" w:afterAutospacing="0" w:line="480" w:lineRule="atLeast"/>
        <w:ind w:firstLine="480"/>
        <w:rPr>
          <w:rFonts w:ascii="宋体" w:hAnsi="宋体" w:cs="宋体"/>
          <w:b/>
          <w:bCs/>
          <w:color w:val="666666"/>
          <w:sz w:val="30"/>
          <w:szCs w:val="30"/>
        </w:rPr>
      </w:pPr>
      <w:r>
        <w:rPr>
          <w:rFonts w:hint="eastAsia" w:ascii="宋体" w:hAnsi="宋体" w:cs="宋体"/>
          <w:b/>
          <w:bCs/>
          <w:color w:val="666666"/>
          <w:sz w:val="30"/>
          <w:szCs w:val="30"/>
          <w:shd w:val="clear" w:color="auto" w:fill="FFFFFF"/>
        </w:rPr>
        <w:t>（九）负责物业专项维修资金管理服务工作。指导物业专项维修资金的归集、使用等相关业务工作。</w:t>
      </w:r>
    </w:p>
    <w:p w14:paraId="07369FDA">
      <w:pPr>
        <w:pStyle w:val="14"/>
        <w:widowControl/>
        <w:wordWrap w:val="0"/>
        <w:spacing w:before="392" w:beforeAutospacing="0" w:after="120" w:afterAutospacing="0" w:line="480" w:lineRule="atLeast"/>
        <w:ind w:firstLine="480"/>
        <w:rPr>
          <w:rFonts w:ascii="宋体" w:hAnsi="宋体" w:cs="宋体"/>
          <w:b/>
          <w:bCs/>
          <w:color w:val="666666"/>
          <w:sz w:val="30"/>
          <w:szCs w:val="30"/>
        </w:rPr>
      </w:pPr>
      <w:r>
        <w:rPr>
          <w:rFonts w:hint="eastAsia" w:ascii="宋体" w:hAnsi="宋体" w:cs="宋体"/>
          <w:b/>
          <w:bCs/>
          <w:color w:val="666666"/>
          <w:sz w:val="30"/>
          <w:szCs w:val="30"/>
          <w:shd w:val="clear" w:color="auto" w:fill="FFFFFF"/>
        </w:rPr>
        <w:t>（十）负责白蚁防治管理服务工作。指导城区房屋和园林绿化的白蚁防治、研究等相关业务工作。</w:t>
      </w:r>
    </w:p>
    <w:p w14:paraId="5AFCE026">
      <w:pPr>
        <w:pStyle w:val="14"/>
        <w:widowControl/>
        <w:wordWrap w:val="0"/>
        <w:spacing w:before="392" w:beforeAutospacing="0" w:after="120" w:afterAutospacing="0" w:line="480" w:lineRule="atLeast"/>
        <w:ind w:firstLine="480"/>
        <w:rPr>
          <w:rFonts w:ascii="宋体" w:hAnsi="宋体" w:cs="宋体"/>
          <w:b/>
          <w:bCs/>
          <w:color w:val="666666"/>
          <w:sz w:val="30"/>
          <w:szCs w:val="30"/>
        </w:rPr>
      </w:pPr>
      <w:r>
        <w:rPr>
          <w:rFonts w:hint="eastAsia" w:ascii="宋体" w:hAnsi="宋体" w:cs="宋体"/>
          <w:b/>
          <w:bCs/>
          <w:color w:val="666666"/>
          <w:sz w:val="30"/>
          <w:szCs w:val="30"/>
          <w:shd w:val="clear" w:color="auto" w:fill="FFFFFF"/>
        </w:rPr>
        <w:t>（十一）负责中心信息化建设工作。协助住房保障相关信息的收集、共享、交换和公示等工作。</w:t>
      </w:r>
    </w:p>
    <w:p w14:paraId="7B9F6736">
      <w:pPr>
        <w:pStyle w:val="14"/>
        <w:widowControl/>
        <w:wordWrap w:val="0"/>
        <w:spacing w:before="392" w:beforeAutospacing="0" w:after="120" w:afterAutospacing="0" w:line="480" w:lineRule="atLeast"/>
        <w:ind w:firstLine="480"/>
        <w:rPr>
          <w:rFonts w:ascii="宋体" w:hAnsi="宋体" w:cs="宋体"/>
          <w:b/>
          <w:bCs/>
          <w:color w:val="666666"/>
          <w:sz w:val="30"/>
          <w:szCs w:val="30"/>
        </w:rPr>
      </w:pPr>
      <w:r>
        <w:rPr>
          <w:rFonts w:hint="eastAsia" w:ascii="宋体" w:hAnsi="宋体" w:cs="宋体"/>
          <w:b/>
          <w:bCs/>
          <w:color w:val="666666"/>
          <w:sz w:val="30"/>
          <w:szCs w:val="30"/>
          <w:shd w:val="clear" w:color="auto" w:fill="FFFFFF"/>
        </w:rPr>
        <w:t>（十二）完成区委、区政府及区住房和城乡建设局交办的其他任务。</w:t>
      </w:r>
    </w:p>
    <w:p w14:paraId="0C10C628">
      <w:pPr>
        <w:spacing w:line="600" w:lineRule="exact"/>
        <w:rPr>
          <w:rFonts w:ascii="Times New Roman" w:hAnsi="Times New Roman" w:eastAsia="黑体"/>
          <w:kern w:val="2"/>
          <w:sz w:val="32"/>
          <w:szCs w:val="32"/>
        </w:rPr>
      </w:pPr>
    </w:p>
    <w:p w14:paraId="4D773F40">
      <w:pPr>
        <w:spacing w:line="600" w:lineRule="exact"/>
        <w:ind w:firstLine="640" w:firstLineChars="200"/>
        <w:rPr>
          <w:rFonts w:ascii="Times New Roman" w:hAnsi="Times New Roman" w:eastAsia="黑体"/>
          <w:kern w:val="2"/>
          <w:sz w:val="32"/>
          <w:szCs w:val="32"/>
        </w:rPr>
      </w:pPr>
      <w:r>
        <w:rPr>
          <w:rFonts w:ascii="Times New Roman" w:hAnsi="Times New Roman" w:eastAsia="黑体"/>
          <w:kern w:val="2"/>
          <w:sz w:val="32"/>
          <w:szCs w:val="32"/>
        </w:rPr>
        <w:t>二、一般公共预算支出情况</w:t>
      </w:r>
    </w:p>
    <w:p w14:paraId="0A5D05C4">
      <w:pPr>
        <w:spacing w:line="600" w:lineRule="exact"/>
        <w:ind w:firstLine="640" w:firstLineChars="200"/>
        <w:rPr>
          <w:rFonts w:ascii="Times New Roman" w:hAnsi="Times New Roman" w:eastAsia="仿宋"/>
          <w:kern w:val="2"/>
          <w:sz w:val="32"/>
          <w:szCs w:val="32"/>
        </w:rPr>
      </w:pPr>
      <w:r>
        <w:rPr>
          <w:rFonts w:ascii="Times New Roman" w:hAnsi="Times New Roman" w:eastAsia="仿宋"/>
          <w:kern w:val="2"/>
          <w:sz w:val="32"/>
          <w:szCs w:val="32"/>
        </w:rPr>
        <w:t>（一）基本支出情况</w:t>
      </w:r>
    </w:p>
    <w:p w14:paraId="2A32BEC5">
      <w:pPr>
        <w:spacing w:line="600" w:lineRule="exact"/>
        <w:ind w:firstLine="640" w:firstLineChars="200"/>
        <w:rPr>
          <w:rFonts w:ascii="Times New Roman" w:hAnsi="Times New Roman" w:eastAsia="仿宋"/>
          <w:kern w:val="2"/>
          <w:sz w:val="32"/>
          <w:szCs w:val="32"/>
        </w:rPr>
      </w:pPr>
      <w:r>
        <w:rPr>
          <w:rFonts w:eastAsia="仿宋_GB2312"/>
          <w:sz w:val="32"/>
          <w:szCs w:val="32"/>
        </w:rPr>
        <w:t>基本支出系保障我</w:t>
      </w:r>
      <w:r>
        <w:rPr>
          <w:rFonts w:hint="eastAsia" w:eastAsia="仿宋_GB2312"/>
          <w:sz w:val="32"/>
          <w:szCs w:val="32"/>
        </w:rPr>
        <w:t>中心</w:t>
      </w:r>
      <w:r>
        <w:rPr>
          <w:rFonts w:eastAsia="仿宋_GB2312"/>
          <w:sz w:val="32"/>
          <w:szCs w:val="32"/>
        </w:rPr>
        <w:t>机构正常运转、完成日常工作任务而发生的各项支出，包括用于在职和离退休人员基本工资、津贴补贴等人员经费以及办公费、印刷费、水电费、办公设备购置等日常公用经费。20</w:t>
      </w:r>
      <w:r>
        <w:rPr>
          <w:rFonts w:hint="eastAsia" w:eastAsia="仿宋_GB2312"/>
          <w:sz w:val="32"/>
          <w:szCs w:val="32"/>
        </w:rPr>
        <w:t>24</w:t>
      </w:r>
      <w:r>
        <w:rPr>
          <w:rFonts w:eastAsia="仿宋_GB2312"/>
          <w:sz w:val="32"/>
          <w:szCs w:val="32"/>
        </w:rPr>
        <w:t>年基本支出</w:t>
      </w:r>
      <w:r>
        <w:rPr>
          <w:rFonts w:hint="eastAsia" w:eastAsia="仿宋" w:cs="仿宋"/>
          <w:color w:val="666666"/>
          <w:sz w:val="32"/>
          <w:szCs w:val="32"/>
          <w:shd w:val="clear" w:color="auto" w:fill="FFFFFF"/>
        </w:rPr>
        <w:t>345.75</w:t>
      </w:r>
      <w:r>
        <w:rPr>
          <w:rFonts w:eastAsia="仿宋_GB2312"/>
          <w:sz w:val="32"/>
          <w:szCs w:val="32"/>
        </w:rPr>
        <w:t>万元，较上年</w:t>
      </w:r>
      <w:r>
        <w:rPr>
          <w:rFonts w:hint="eastAsia" w:eastAsia="仿宋_GB2312"/>
          <w:sz w:val="32"/>
          <w:szCs w:val="32"/>
        </w:rPr>
        <w:t>减少了72.4</w:t>
      </w:r>
      <w:r>
        <w:rPr>
          <w:rFonts w:eastAsia="仿宋_GB2312"/>
          <w:sz w:val="32"/>
          <w:szCs w:val="32"/>
        </w:rPr>
        <w:t>万元。</w:t>
      </w:r>
      <w:r>
        <w:rPr>
          <w:rFonts w:eastAsia="仿宋_GB2312"/>
          <w:color w:val="000000"/>
          <w:sz w:val="32"/>
          <w:szCs w:val="32"/>
        </w:rPr>
        <w:t>基本支出中人员经费</w:t>
      </w:r>
      <w:r>
        <w:rPr>
          <w:rFonts w:hint="eastAsia" w:eastAsia="仿宋_GB2312"/>
          <w:color w:val="000000"/>
          <w:sz w:val="32"/>
          <w:szCs w:val="32"/>
        </w:rPr>
        <w:t>324.75</w:t>
      </w:r>
      <w:r>
        <w:rPr>
          <w:rFonts w:eastAsia="仿宋_GB2312"/>
          <w:color w:val="000000"/>
          <w:sz w:val="32"/>
          <w:szCs w:val="32"/>
        </w:rPr>
        <w:t>万元，占基本支出的</w:t>
      </w:r>
      <w:r>
        <w:rPr>
          <w:rFonts w:hint="eastAsia" w:eastAsia="仿宋_GB2312"/>
          <w:color w:val="000000"/>
          <w:sz w:val="32"/>
          <w:szCs w:val="32"/>
        </w:rPr>
        <w:t>94</w:t>
      </w:r>
      <w:r>
        <w:rPr>
          <w:rFonts w:eastAsia="仿宋_GB2312"/>
          <w:color w:val="000000"/>
          <w:sz w:val="32"/>
          <w:szCs w:val="32"/>
        </w:rPr>
        <w:t>%，</w:t>
      </w:r>
      <w:r>
        <w:rPr>
          <w:rFonts w:hint="eastAsia" w:eastAsia="仿宋_GB2312"/>
          <w:color w:val="000000"/>
          <w:sz w:val="32"/>
          <w:szCs w:val="32"/>
        </w:rPr>
        <w:t>与上年持平；</w:t>
      </w:r>
      <w:r>
        <w:rPr>
          <w:rFonts w:eastAsia="仿宋_GB2312"/>
          <w:color w:val="000000"/>
          <w:sz w:val="32"/>
          <w:szCs w:val="32"/>
        </w:rPr>
        <w:t>日常公用经费</w:t>
      </w:r>
      <w:r>
        <w:rPr>
          <w:rFonts w:hint="eastAsia" w:eastAsia="仿宋_GB2312"/>
          <w:color w:val="000000"/>
          <w:sz w:val="32"/>
          <w:szCs w:val="32"/>
        </w:rPr>
        <w:t>20.91</w:t>
      </w:r>
      <w:r>
        <w:rPr>
          <w:rFonts w:eastAsia="仿宋_GB2312"/>
          <w:color w:val="000000"/>
          <w:sz w:val="32"/>
          <w:szCs w:val="32"/>
        </w:rPr>
        <w:t>万元，占基本支出的</w:t>
      </w:r>
      <w:r>
        <w:rPr>
          <w:rFonts w:hint="eastAsia" w:eastAsia="仿宋_GB2312"/>
          <w:color w:val="000000"/>
          <w:sz w:val="32"/>
          <w:szCs w:val="32"/>
        </w:rPr>
        <w:t>6</w:t>
      </w:r>
      <w:r>
        <w:rPr>
          <w:rFonts w:eastAsia="仿宋_GB2312"/>
          <w:color w:val="000000"/>
          <w:sz w:val="32"/>
          <w:szCs w:val="32"/>
        </w:rPr>
        <w:t>%，较上年</w:t>
      </w:r>
      <w:r>
        <w:rPr>
          <w:rFonts w:hint="eastAsia" w:eastAsia="仿宋_GB2312"/>
          <w:color w:val="000000"/>
          <w:sz w:val="32"/>
          <w:szCs w:val="32"/>
        </w:rPr>
        <w:t>减少，主要原因是受疫情影响和压减非重点、刚性支出要求，我单位厉行节约、严格把关，严控三公经费支出，大力压减公用经费支出。</w:t>
      </w:r>
    </w:p>
    <w:p w14:paraId="63B90B07">
      <w:pPr>
        <w:spacing w:line="600" w:lineRule="exact"/>
        <w:ind w:firstLine="640" w:firstLineChars="200"/>
        <w:rPr>
          <w:rFonts w:ascii="Times New Roman" w:hAnsi="Times New Roman" w:eastAsia="仿宋"/>
          <w:kern w:val="2"/>
          <w:sz w:val="32"/>
          <w:szCs w:val="32"/>
        </w:rPr>
      </w:pPr>
      <w:r>
        <w:rPr>
          <w:rFonts w:ascii="Times New Roman" w:hAnsi="Times New Roman" w:eastAsia="仿宋"/>
          <w:kern w:val="2"/>
          <w:sz w:val="32"/>
          <w:szCs w:val="32"/>
        </w:rPr>
        <w:t>（二）项目支出情况</w:t>
      </w:r>
    </w:p>
    <w:p w14:paraId="05EE680C">
      <w:pPr>
        <w:tabs>
          <w:tab w:val="left" w:pos="2296"/>
        </w:tabs>
        <w:spacing w:line="600" w:lineRule="exact"/>
        <w:ind w:firstLine="640" w:firstLineChars="200"/>
        <w:rPr>
          <w:rFonts w:ascii="Times New Roman" w:hAnsi="Times New Roman" w:eastAsia="仿宋_GB2312"/>
          <w:sz w:val="32"/>
          <w:szCs w:val="32"/>
        </w:rPr>
      </w:pPr>
      <w:r>
        <w:rPr>
          <w:rFonts w:eastAsia="仿宋_GB2312"/>
          <w:sz w:val="32"/>
          <w:szCs w:val="32"/>
        </w:rPr>
        <w:t>项目支出系我厅为完成财政财务管理工作而发生的支出，包括行业务工作经费和运行维护经费。业务工作经费支出主要用于部门预决算编制、非税收入稽查、</w:t>
      </w:r>
      <w:r>
        <w:rPr>
          <w:rFonts w:hint="eastAsia" w:eastAsia="仿宋_GB2312"/>
          <w:sz w:val="32"/>
          <w:szCs w:val="32"/>
        </w:rPr>
        <w:t>财政投资评审、政府采购9.7万元，白蚁药品的采购费用</w:t>
      </w:r>
      <w:r>
        <w:rPr>
          <w:rFonts w:eastAsia="仿宋_GB2312"/>
          <w:sz w:val="32"/>
          <w:szCs w:val="32"/>
        </w:rPr>
        <w:t>。20</w:t>
      </w:r>
      <w:r>
        <w:rPr>
          <w:rFonts w:hint="eastAsia" w:eastAsia="仿宋_GB2312"/>
          <w:sz w:val="32"/>
          <w:szCs w:val="32"/>
        </w:rPr>
        <w:t>23</w:t>
      </w:r>
      <w:r>
        <w:rPr>
          <w:rFonts w:eastAsia="仿宋_GB2312"/>
          <w:sz w:val="32"/>
          <w:szCs w:val="32"/>
        </w:rPr>
        <w:t>年项目支出</w:t>
      </w:r>
      <w:r>
        <w:rPr>
          <w:rFonts w:hint="eastAsia" w:eastAsia="仿宋_GB2312"/>
          <w:sz w:val="32"/>
          <w:szCs w:val="32"/>
        </w:rPr>
        <w:t>100.72</w:t>
      </w:r>
      <w:r>
        <w:rPr>
          <w:rFonts w:eastAsia="仿宋_GB2312"/>
          <w:sz w:val="32"/>
          <w:szCs w:val="32"/>
        </w:rPr>
        <w:t>万元，比上年</w:t>
      </w:r>
      <w:r>
        <w:rPr>
          <w:rFonts w:hint="eastAsia" w:eastAsia="仿宋_GB2312"/>
          <w:sz w:val="32"/>
          <w:szCs w:val="32"/>
        </w:rPr>
        <w:t>减少3202.28</w:t>
      </w:r>
      <w:r>
        <w:rPr>
          <w:rFonts w:eastAsia="仿宋_GB2312"/>
          <w:sz w:val="32"/>
          <w:szCs w:val="32"/>
        </w:rPr>
        <w:t>万元</w:t>
      </w:r>
      <w:r>
        <w:rPr>
          <w:rFonts w:hint="eastAsia" w:eastAsia="仿宋_GB2312"/>
          <w:sz w:val="32"/>
          <w:szCs w:val="32"/>
        </w:rPr>
        <w:t>，</w:t>
      </w:r>
      <w:r>
        <w:rPr>
          <w:rFonts w:eastAsia="仿宋_GB2312"/>
          <w:sz w:val="32"/>
          <w:szCs w:val="32"/>
        </w:rPr>
        <w:t>其中</w:t>
      </w:r>
      <w:r>
        <w:rPr>
          <w:rFonts w:hint="eastAsia" w:ascii="宋体" w:hAnsi="宋体" w:cs="宋体"/>
          <w:sz w:val="30"/>
          <w:szCs w:val="30"/>
        </w:rPr>
        <w:t>主要是减少了国有资产划拨文旅局、城建投等相关费用。</w:t>
      </w:r>
      <w:r>
        <w:rPr>
          <w:rFonts w:hint="eastAsia" w:eastAsia="仿宋_GB2312"/>
          <w:sz w:val="32"/>
          <w:szCs w:val="32"/>
        </w:rPr>
        <w:t>2023年未支付电子财政厅项目后续费用。</w:t>
      </w:r>
    </w:p>
    <w:p w14:paraId="7B9C1FB3">
      <w:pPr>
        <w:numPr>
          <w:ilvl w:val="0"/>
          <w:numId w:val="2"/>
        </w:numPr>
        <w:spacing w:line="600" w:lineRule="exact"/>
        <w:ind w:firstLine="640" w:firstLineChars="200"/>
        <w:rPr>
          <w:rFonts w:ascii="黑体" w:hAnsi="黑体" w:eastAsia="黑体" w:cs="黑体"/>
          <w:kern w:val="2"/>
          <w:sz w:val="32"/>
          <w:szCs w:val="32"/>
        </w:rPr>
      </w:pPr>
      <w:r>
        <w:rPr>
          <w:rFonts w:hint="eastAsia" w:ascii="黑体" w:hAnsi="黑体" w:eastAsia="黑体" w:cs="黑体"/>
          <w:kern w:val="2"/>
          <w:sz w:val="32"/>
          <w:szCs w:val="32"/>
        </w:rPr>
        <w:t>政府性基金预算支出情况。</w:t>
      </w:r>
    </w:p>
    <w:p w14:paraId="36457E42">
      <w:pPr>
        <w:spacing w:line="600" w:lineRule="exact"/>
        <w:rPr>
          <w:rFonts w:ascii="黑体" w:hAnsi="黑体" w:eastAsia="黑体" w:cs="黑体"/>
          <w:kern w:val="2"/>
          <w:sz w:val="32"/>
          <w:szCs w:val="32"/>
        </w:rPr>
      </w:pPr>
      <w:r>
        <w:rPr>
          <w:rFonts w:hint="eastAsia" w:ascii="黑体" w:hAnsi="黑体" w:eastAsia="黑体" w:cs="黑体"/>
          <w:kern w:val="2"/>
          <w:sz w:val="32"/>
          <w:szCs w:val="32"/>
        </w:rPr>
        <w:t>无</w:t>
      </w:r>
    </w:p>
    <w:p w14:paraId="5EC4C2E0">
      <w:pPr>
        <w:numPr>
          <w:ilvl w:val="0"/>
          <w:numId w:val="2"/>
        </w:numPr>
        <w:spacing w:line="600" w:lineRule="exact"/>
        <w:ind w:firstLine="640" w:firstLineChars="200"/>
        <w:rPr>
          <w:rFonts w:ascii="Times New Roman" w:hAnsi="Times New Roman" w:eastAsia="黑体"/>
          <w:kern w:val="2"/>
          <w:sz w:val="32"/>
          <w:szCs w:val="32"/>
        </w:rPr>
      </w:pPr>
      <w:r>
        <w:rPr>
          <w:rFonts w:ascii="Times New Roman" w:hAnsi="Times New Roman" w:eastAsia="黑体"/>
          <w:kern w:val="2"/>
          <w:sz w:val="32"/>
          <w:szCs w:val="32"/>
        </w:rPr>
        <w:t>国有资本经营预算支出情况</w:t>
      </w:r>
    </w:p>
    <w:p w14:paraId="05D249FF">
      <w:pPr>
        <w:spacing w:line="600" w:lineRule="exact"/>
        <w:rPr>
          <w:rFonts w:ascii="Times New Roman" w:hAnsi="Times New Roman" w:eastAsia="黑体"/>
          <w:kern w:val="2"/>
          <w:sz w:val="32"/>
          <w:szCs w:val="32"/>
        </w:rPr>
      </w:pPr>
      <w:r>
        <w:rPr>
          <w:rFonts w:hint="eastAsia" w:ascii="Times New Roman" w:hAnsi="Times New Roman" w:eastAsia="黑体"/>
          <w:kern w:val="2"/>
          <w:sz w:val="32"/>
          <w:szCs w:val="32"/>
        </w:rPr>
        <w:t>无</w:t>
      </w:r>
    </w:p>
    <w:p w14:paraId="29F3ED6A">
      <w:pPr>
        <w:numPr>
          <w:ilvl w:val="0"/>
          <w:numId w:val="2"/>
        </w:numPr>
        <w:spacing w:line="600" w:lineRule="exact"/>
        <w:ind w:firstLine="640" w:firstLineChars="200"/>
        <w:rPr>
          <w:rFonts w:ascii="Times New Roman" w:hAnsi="Times New Roman" w:eastAsia="黑体"/>
          <w:kern w:val="2"/>
          <w:sz w:val="32"/>
          <w:szCs w:val="32"/>
        </w:rPr>
      </w:pPr>
      <w:r>
        <w:rPr>
          <w:rFonts w:ascii="Times New Roman" w:hAnsi="Times New Roman" w:eastAsia="黑体"/>
          <w:kern w:val="2"/>
          <w:sz w:val="32"/>
          <w:szCs w:val="32"/>
        </w:rPr>
        <w:t>社会保险基金预算支出情况</w:t>
      </w:r>
    </w:p>
    <w:p w14:paraId="7EC0FC68">
      <w:pPr>
        <w:spacing w:line="600" w:lineRule="exact"/>
        <w:rPr>
          <w:rFonts w:ascii="Times New Roman" w:hAnsi="Times New Roman" w:eastAsia="黑体"/>
          <w:kern w:val="2"/>
          <w:sz w:val="32"/>
          <w:szCs w:val="32"/>
        </w:rPr>
      </w:pPr>
      <w:r>
        <w:rPr>
          <w:rFonts w:hint="eastAsia" w:ascii="Times New Roman" w:hAnsi="Times New Roman" w:eastAsia="黑体"/>
          <w:kern w:val="2"/>
          <w:sz w:val="32"/>
          <w:szCs w:val="32"/>
        </w:rPr>
        <w:t>无</w:t>
      </w:r>
    </w:p>
    <w:p w14:paraId="74072FED">
      <w:pPr>
        <w:spacing w:line="600" w:lineRule="exact"/>
        <w:ind w:firstLine="640" w:firstLineChars="200"/>
        <w:rPr>
          <w:rFonts w:ascii="Times New Roman" w:hAnsi="Times New Roman" w:eastAsia="黑体"/>
          <w:kern w:val="2"/>
          <w:sz w:val="32"/>
          <w:szCs w:val="32"/>
        </w:rPr>
      </w:pPr>
      <w:r>
        <w:rPr>
          <w:rFonts w:ascii="Times New Roman" w:hAnsi="Times New Roman" w:eastAsia="黑体"/>
          <w:kern w:val="2"/>
          <w:sz w:val="32"/>
          <w:szCs w:val="32"/>
        </w:rPr>
        <w:t>六、部门整体支出绩效情况</w:t>
      </w:r>
    </w:p>
    <w:p w14:paraId="10BB7959">
      <w:pPr>
        <w:spacing w:line="700" w:lineRule="exact"/>
        <w:ind w:firstLine="640" w:firstLineChars="200"/>
        <w:rPr>
          <w:rFonts w:eastAsia="仿宋" w:cs="仿宋"/>
          <w:sz w:val="32"/>
          <w:szCs w:val="32"/>
        </w:rPr>
      </w:pPr>
      <w:r>
        <w:rPr>
          <w:rFonts w:hint="eastAsia" w:eastAsia="仿宋" w:cs="仿宋"/>
          <w:sz w:val="32"/>
          <w:szCs w:val="32"/>
        </w:rPr>
        <w:t>1、</w:t>
      </w:r>
      <w:r>
        <w:rPr>
          <w:rFonts w:hint="eastAsia" w:eastAsia="仿宋" w:cs="仿宋"/>
          <w:b/>
          <w:bCs/>
          <w:sz w:val="32"/>
          <w:szCs w:val="32"/>
        </w:rPr>
        <w:t>住房保障服务工作</w:t>
      </w:r>
      <w:r>
        <w:rPr>
          <w:rFonts w:hint="eastAsia" w:eastAsia="仿宋" w:cs="仿宋"/>
          <w:sz w:val="32"/>
          <w:szCs w:val="32"/>
        </w:rPr>
        <w:t>。一是根按照区纪委要求，我中心今年对522户保障性租赁房租户和165户申领租赁补贴人员进行了全面核查，共计查出29户保障性住房租赁户不符合租住条件，目前已清退19户，余下10户正在协调清退中，19套清退出的住房已全部重新配租。共取消申领租赁补贴人员161户（资格申请超期人员与申请资料存疑人员）。二是对全区公职人员申领补贴的41户全部追回，共追回资金149100元，已全额上缴财政（追回40户，一户死亡）。三是2024年度公租房租赁补贴发放对象资料正在审核中，预计发放对象 15户，发放资金3.02万元。新增符合住房保障住房配租条件对象30户。</w:t>
      </w:r>
    </w:p>
    <w:p w14:paraId="62F93828">
      <w:pPr>
        <w:spacing w:line="700" w:lineRule="exact"/>
        <w:ind w:firstLine="643" w:firstLineChars="200"/>
        <w:rPr>
          <w:rFonts w:eastAsia="仿宋" w:cs="仿宋"/>
          <w:sz w:val="32"/>
          <w:szCs w:val="32"/>
        </w:rPr>
      </w:pPr>
      <w:r>
        <w:rPr>
          <w:rFonts w:hint="eastAsia" w:eastAsia="仿宋" w:cs="仿宋"/>
          <w:b/>
          <w:bCs/>
          <w:sz w:val="32"/>
          <w:szCs w:val="32"/>
        </w:rPr>
        <w:t>2、房地产市场开发服务工作。</w:t>
      </w:r>
      <w:r>
        <w:rPr>
          <w:rFonts w:hint="eastAsia" w:eastAsia="仿宋" w:cs="仿宋"/>
          <w:sz w:val="32"/>
          <w:szCs w:val="32"/>
        </w:rPr>
        <w:t>一是</w:t>
      </w:r>
      <w:r>
        <w:rPr>
          <w:rFonts w:hint="eastAsia" w:eastAsia="仿宋" w:cs="方正黑体简体"/>
          <w:sz w:val="32"/>
          <w:szCs w:val="32"/>
        </w:rPr>
        <w:t>加强开发项目手册管理，</w:t>
      </w:r>
      <w:r>
        <w:rPr>
          <w:rFonts w:hint="eastAsia" w:eastAsia="仿宋"/>
          <w:sz w:val="32"/>
          <w:szCs w:val="32"/>
        </w:rPr>
        <w:t>进一步规范市场开发行为。二是</w:t>
      </w:r>
      <w:r>
        <w:rPr>
          <w:rFonts w:hint="eastAsia" w:eastAsia="仿宋" w:cs="方正黑体简体"/>
          <w:sz w:val="32"/>
          <w:szCs w:val="32"/>
        </w:rPr>
        <w:t>加强商品房预售资金管理，</w:t>
      </w:r>
      <w:r>
        <w:rPr>
          <w:rFonts w:hint="eastAsia" w:eastAsia="仿宋"/>
          <w:sz w:val="32"/>
          <w:szCs w:val="32"/>
        </w:rPr>
        <w:t>进一步防范了房地产市场风险。三是</w:t>
      </w:r>
      <w:r>
        <w:rPr>
          <w:rFonts w:hint="eastAsia" w:eastAsia="仿宋" w:cs="方正黑体简体"/>
          <w:sz w:val="32"/>
          <w:szCs w:val="32"/>
        </w:rPr>
        <w:t>做好商品房网签备案管理工作，</w:t>
      </w:r>
      <w:r>
        <w:rPr>
          <w:rFonts w:hint="eastAsia" w:eastAsia="仿宋" w:cs="仿宋"/>
          <w:sz w:val="32"/>
          <w:szCs w:val="32"/>
        </w:rPr>
        <w:t>2024年共完成网签备案203份，销售商品房面积2.83万平方米。四是做好房屋</w:t>
      </w:r>
      <w:r>
        <w:rPr>
          <w:rFonts w:hint="eastAsia" w:eastAsia="仿宋" w:cs="方正黑体简体"/>
          <w:sz w:val="32"/>
          <w:szCs w:val="32"/>
        </w:rPr>
        <w:t>维修资金的归集与使用工作。全年</w:t>
      </w:r>
      <w:r>
        <w:rPr>
          <w:rFonts w:hint="eastAsia" w:eastAsia="仿宋" w:cs="仿宋"/>
          <w:sz w:val="32"/>
          <w:szCs w:val="32"/>
        </w:rPr>
        <w:t>共归集维修资金110万元，维修使用20万元。</w:t>
      </w:r>
    </w:p>
    <w:p w14:paraId="723A85AF">
      <w:pPr>
        <w:spacing w:line="700" w:lineRule="exact"/>
        <w:ind w:firstLine="643" w:firstLineChars="200"/>
        <w:rPr>
          <w:rFonts w:ascii="仿宋_GB2312" w:hAnsi="宋体" w:eastAsia="仿宋_GB2312"/>
          <w:sz w:val="32"/>
          <w:szCs w:val="32"/>
        </w:rPr>
      </w:pPr>
      <w:r>
        <w:rPr>
          <w:rFonts w:hint="eastAsia" w:eastAsia="仿宋" w:cs="仿宋"/>
          <w:b/>
          <w:bCs/>
          <w:sz w:val="32"/>
          <w:szCs w:val="32"/>
        </w:rPr>
        <w:t>3、公房管理服务工作。</w:t>
      </w:r>
      <w:r>
        <w:rPr>
          <w:rFonts w:hint="eastAsia" w:eastAsia="仿宋" w:cs="仿宋"/>
          <w:sz w:val="32"/>
          <w:szCs w:val="32"/>
        </w:rPr>
        <w:t>一是全年预计收取租金约99.6万，其中公租房与廉租房租金93.6万元，门面6万元。二是做好公房房屋维修工作，全年共计</w:t>
      </w:r>
      <w:r>
        <w:rPr>
          <w:rFonts w:hint="eastAsia" w:ascii="仿宋_GB2312" w:hAnsi="宋体" w:eastAsia="仿宋_GB2312"/>
          <w:sz w:val="32"/>
          <w:szCs w:val="32"/>
        </w:rPr>
        <w:t>投入14万余元对东环路公租房小区、和顺小区的屋面漏水和内外墙瓷片脱落进行了维修，同时为保障居民用电安全，在东环路小区安装了电动车充电桩，确保了全年无安全事故发生。</w:t>
      </w:r>
    </w:p>
    <w:p w14:paraId="6479465B">
      <w:pPr>
        <w:spacing w:line="700" w:lineRule="exact"/>
        <w:ind w:firstLine="643" w:firstLineChars="200"/>
        <w:rPr>
          <w:rFonts w:eastAsia="仿宋" w:cs="仿宋"/>
          <w:sz w:val="32"/>
          <w:szCs w:val="32"/>
        </w:rPr>
      </w:pPr>
      <w:r>
        <w:rPr>
          <w:rFonts w:hint="eastAsia" w:eastAsia="仿宋" w:cs="仿宋"/>
          <w:b/>
          <w:bCs/>
          <w:sz w:val="32"/>
          <w:szCs w:val="32"/>
        </w:rPr>
        <w:t>4、白蚁防治工作。</w:t>
      </w:r>
      <w:r>
        <w:rPr>
          <w:rFonts w:hint="eastAsia" w:eastAsia="仿宋" w:cs="仿宋"/>
          <w:sz w:val="32"/>
          <w:szCs w:val="32"/>
        </w:rPr>
        <w:t>2024年共</w:t>
      </w:r>
      <w:r>
        <w:rPr>
          <w:rFonts w:hint="eastAsia" w:ascii="仿宋_GB2312" w:eastAsia="仿宋_GB2312"/>
          <w:sz w:val="32"/>
          <w:szCs w:val="32"/>
        </w:rPr>
        <w:t>办理白蚁预防手续12户，对</w:t>
      </w:r>
      <w:r>
        <w:rPr>
          <w:rFonts w:hint="eastAsia" w:eastAsia="仿宋" w:cs="仿宋"/>
          <w:sz w:val="32"/>
          <w:szCs w:val="32"/>
        </w:rPr>
        <w:t>区第二中学教学楼改扩建工程，金桂园幼儿园等项目进行了白蚁预防施工，施工面积3.6万平方米。</w:t>
      </w:r>
    </w:p>
    <w:p w14:paraId="5E08752E">
      <w:pPr>
        <w:widowControl/>
        <w:spacing w:line="700" w:lineRule="exact"/>
        <w:ind w:firstLine="640" w:firstLineChars="200"/>
        <w:jc w:val="left"/>
        <w:rPr>
          <w:rFonts w:ascii="Times New Roman" w:hAnsi="Times New Roman" w:eastAsia="仿宋_GB2312"/>
          <w:b/>
          <w:sz w:val="32"/>
          <w:szCs w:val="32"/>
        </w:rPr>
      </w:pPr>
      <w:r>
        <w:rPr>
          <w:rFonts w:ascii="Times New Roman" w:hAnsi="Times New Roman" w:eastAsia="仿宋_GB2312"/>
          <w:sz w:val="32"/>
          <w:szCs w:val="32"/>
        </w:rPr>
        <w:t xml:space="preserve"> </w:t>
      </w:r>
    </w:p>
    <w:p w14:paraId="370DEF16">
      <w:pPr>
        <w:widowControl/>
        <w:spacing w:line="700" w:lineRule="exact"/>
        <w:ind w:firstLine="640" w:firstLineChars="200"/>
        <w:jc w:val="left"/>
        <w:rPr>
          <w:rFonts w:ascii="Times New Roman" w:hAnsi="Times New Roman" w:eastAsia="仿宋_GB2312"/>
          <w:sz w:val="32"/>
          <w:szCs w:val="32"/>
        </w:rPr>
      </w:pPr>
    </w:p>
    <w:p w14:paraId="45A9F0AB">
      <w:pPr>
        <w:pStyle w:val="23"/>
        <w:numPr>
          <w:ilvl w:val="0"/>
          <w:numId w:val="3"/>
        </w:numPr>
        <w:spacing w:line="700" w:lineRule="exact"/>
        <w:ind w:firstLineChars="0"/>
        <w:rPr>
          <w:rFonts w:ascii="Times New Roman" w:hAnsi="Times New Roman" w:eastAsia="黑体"/>
          <w:kern w:val="2"/>
          <w:sz w:val="32"/>
          <w:szCs w:val="32"/>
        </w:rPr>
      </w:pPr>
      <w:r>
        <w:rPr>
          <w:rFonts w:ascii="Times New Roman" w:hAnsi="Times New Roman" w:eastAsia="黑体"/>
          <w:kern w:val="2"/>
          <w:sz w:val="32"/>
          <w:szCs w:val="32"/>
        </w:rPr>
        <w:t>存在的问题及原因分析</w:t>
      </w:r>
    </w:p>
    <w:p w14:paraId="73B8D4C1">
      <w:pPr>
        <w:pStyle w:val="23"/>
        <w:tabs>
          <w:tab w:val="left" w:pos="0"/>
        </w:tabs>
        <w:spacing w:line="700" w:lineRule="exact"/>
        <w:ind w:left="420" w:leftChars="150" w:firstLine="480" w:firstLineChars="150"/>
        <w:rPr>
          <w:rFonts w:ascii="仿宋_GB2312" w:eastAsia="仿宋_GB2312"/>
          <w:bCs/>
          <w:sz w:val="32"/>
          <w:szCs w:val="32"/>
        </w:rPr>
      </w:pPr>
      <w:r>
        <w:rPr>
          <w:rFonts w:hint="eastAsia" w:ascii="仿宋_GB2312" w:eastAsia="仿宋_GB2312"/>
          <w:bCs/>
          <w:sz w:val="32"/>
          <w:szCs w:val="32"/>
        </w:rPr>
        <w:t>（一）保障性住房租赁户（经审核不符合条件）清退工作难度大，因没有条件制约，一旦入住很难清退。而另一面保障性住房轮候分配工作难度大，仅靠每年清退的住房进行轮候分配无法满足当前符合条件的保障对象，房源紧张，而目前购买的盛世华府14套公寓公租房无法交房进行配租。</w:t>
      </w:r>
    </w:p>
    <w:p w14:paraId="32A92EC6">
      <w:pPr>
        <w:pStyle w:val="23"/>
        <w:widowControl/>
        <w:shd w:val="clear" w:color="auto" w:fill="FFFFFF"/>
        <w:spacing w:line="700" w:lineRule="exact"/>
        <w:ind w:left="420" w:leftChars="150" w:firstLine="320" w:firstLineChars="100"/>
        <w:jc w:val="left"/>
        <w:rPr>
          <w:rFonts w:eastAsia="仿宋" w:cs="仿宋"/>
          <w:sz w:val="32"/>
          <w:szCs w:val="32"/>
        </w:rPr>
      </w:pPr>
      <w:r>
        <w:rPr>
          <w:rFonts w:hint="eastAsia" w:eastAsia="仿宋" w:cs="仿宋"/>
          <w:sz w:val="32"/>
          <w:szCs w:val="32"/>
        </w:rPr>
        <w:t>（二）近年来，受金融政策、疫情和经济下行大环境影响，我区房地产市场持续低迷，商品房市场成交量大幅减少，开发商资金回笼压力增大，资金短缺是各开发项目普遍存在现象，因此各开发项目均未在竣工验收环节按照相关规定将未售出和自留物业的首期物业维修资金交存到位，造成大量的物业维修资金未收取到位，严重影响物业的后期维修。</w:t>
      </w:r>
    </w:p>
    <w:p w14:paraId="5496796F">
      <w:pPr>
        <w:pStyle w:val="23"/>
        <w:autoSpaceDN w:val="0"/>
        <w:spacing w:line="700" w:lineRule="exact"/>
        <w:ind w:left="420" w:leftChars="150" w:firstLine="320" w:firstLineChars="100"/>
        <w:rPr>
          <w:rFonts w:eastAsia="仿宋" w:cs="仿宋"/>
          <w:sz w:val="32"/>
          <w:szCs w:val="32"/>
        </w:rPr>
      </w:pPr>
      <w:r>
        <w:rPr>
          <w:rFonts w:hint="eastAsia" w:eastAsia="仿宋" w:cs="仿宋"/>
          <w:sz w:val="32"/>
          <w:szCs w:val="32"/>
        </w:rPr>
        <w:t>（三）公房维修项目多，经费不足，压力大。目前仍未解决的安全隐患。一是和顺小区三栋屋面皆有不同程度的漏水，未维修；二是和顺小区室内厨房、卫生间及阳台的瓷片松动，掉落造成安全隐患。三是和顺小区1栋和3栋主供水管道出现了沙眼，存在造成暴管安全隐患。全部更换需要资金40多万元。四是和顺小区六台电梯钢索老化需要更换，预估费用需8万多元。</w:t>
      </w:r>
    </w:p>
    <w:p w14:paraId="0EE708A6">
      <w:pPr>
        <w:pStyle w:val="23"/>
        <w:spacing w:line="700" w:lineRule="exact"/>
        <w:ind w:left="420" w:leftChars="150" w:firstLine="320" w:firstLineChars="100"/>
        <w:rPr>
          <w:rFonts w:eastAsia="仿宋" w:cs="仿宋"/>
          <w:sz w:val="32"/>
          <w:szCs w:val="32"/>
        </w:rPr>
      </w:pPr>
      <w:r>
        <w:rPr>
          <w:rFonts w:hint="eastAsia" w:eastAsia="仿宋" w:cs="仿宋"/>
          <w:sz w:val="32"/>
          <w:szCs w:val="32"/>
        </w:rPr>
        <w:t>（四）公房管理项目财政预算经费不足。随着房屋使用年限的延长，房屋日益老化，房屋维修费用在逐年增加（经财务查实），而财政预算公房管理项目经费却在逐年减少，另我中心4个子弟（编外人员）的人员经费全部在该项目经费中支付，致使我中心财政经费越来越紧张，今已经难以维持正常开支了。</w:t>
      </w:r>
    </w:p>
    <w:p w14:paraId="27288CC8">
      <w:pPr>
        <w:numPr>
          <w:ilvl w:val="0"/>
          <w:numId w:val="4"/>
        </w:numPr>
        <w:spacing w:line="700" w:lineRule="exact"/>
        <w:ind w:firstLine="640" w:firstLineChars="200"/>
        <w:rPr>
          <w:rFonts w:ascii="Times New Roman" w:hAnsi="Times New Roman" w:eastAsia="黑体"/>
          <w:kern w:val="2"/>
          <w:sz w:val="32"/>
          <w:szCs w:val="32"/>
        </w:rPr>
      </w:pPr>
      <w:r>
        <w:rPr>
          <w:rFonts w:ascii="Times New Roman" w:hAnsi="Times New Roman" w:eastAsia="黑体"/>
          <w:kern w:val="2"/>
          <w:sz w:val="32"/>
          <w:szCs w:val="32"/>
        </w:rPr>
        <w:t>下一步改进措施</w:t>
      </w:r>
    </w:p>
    <w:p w14:paraId="3F939552">
      <w:pPr>
        <w:pStyle w:val="23"/>
        <w:autoSpaceDN w:val="0"/>
        <w:spacing w:line="700" w:lineRule="exact"/>
        <w:ind w:left="420" w:leftChars="150" w:firstLine="320" w:firstLineChars="100"/>
        <w:rPr>
          <w:rFonts w:eastAsia="仿宋" w:cs="仿宋"/>
          <w:sz w:val="32"/>
          <w:szCs w:val="32"/>
        </w:rPr>
      </w:pPr>
      <w:r>
        <w:rPr>
          <w:rFonts w:hint="eastAsia" w:eastAsia="仿宋" w:cs="仿宋"/>
          <w:sz w:val="32"/>
          <w:szCs w:val="32"/>
        </w:rPr>
        <w:t>（一）继续做好廉租补贴发放工作，完成公租房配租入住后的相关管理工作，探索研究廉租房、公租房后期动态科学管理模式。</w:t>
      </w:r>
    </w:p>
    <w:p w14:paraId="4245CADE">
      <w:pPr>
        <w:pStyle w:val="23"/>
        <w:spacing w:line="700" w:lineRule="exact"/>
        <w:ind w:left="420" w:leftChars="150" w:firstLine="320" w:firstLineChars="100"/>
        <w:rPr>
          <w:rFonts w:eastAsia="仿宋" w:cs="仿宋"/>
          <w:sz w:val="32"/>
          <w:szCs w:val="32"/>
        </w:rPr>
      </w:pPr>
      <w:r>
        <w:rPr>
          <w:rFonts w:hint="eastAsia" w:eastAsia="仿宋" w:cs="仿宋"/>
          <w:sz w:val="32"/>
          <w:szCs w:val="32"/>
        </w:rPr>
        <w:t>（二）完成维修资金系统分户派息、分摊等工作，进一步规范维修资金管理使用工作。</w:t>
      </w:r>
    </w:p>
    <w:p w14:paraId="1E6EB789">
      <w:pPr>
        <w:pStyle w:val="23"/>
        <w:numPr>
          <w:ilvl w:val="0"/>
          <w:numId w:val="5"/>
        </w:numPr>
        <w:spacing w:line="700" w:lineRule="exact"/>
        <w:ind w:firstLineChars="0"/>
        <w:rPr>
          <w:rFonts w:eastAsia="仿宋" w:cs="仿宋"/>
          <w:sz w:val="32"/>
          <w:szCs w:val="32"/>
        </w:rPr>
      </w:pPr>
      <w:r>
        <w:rPr>
          <w:rFonts w:hint="eastAsia" w:eastAsia="仿宋" w:cs="仿宋"/>
          <w:sz w:val="32"/>
          <w:szCs w:val="32"/>
        </w:rPr>
        <w:t>进一步完善项目手册制度，规范项目资本金管理。</w:t>
      </w:r>
    </w:p>
    <w:p w14:paraId="328F45B2">
      <w:pPr>
        <w:spacing w:line="700" w:lineRule="exact"/>
        <w:ind w:firstLine="800" w:firstLineChars="250"/>
        <w:rPr>
          <w:rFonts w:eastAsia="仿宋" w:cs="仿宋"/>
          <w:sz w:val="32"/>
          <w:szCs w:val="32"/>
        </w:rPr>
      </w:pPr>
      <w:r>
        <w:rPr>
          <w:rFonts w:hint="eastAsia" w:eastAsia="仿宋" w:cs="仿宋"/>
          <w:sz w:val="32"/>
          <w:szCs w:val="32"/>
        </w:rPr>
        <w:t>（四）结合房地产市场低迷的实际情况，全面做好管理服务工作，进一步为企业提振市场信心，提高市场成交量</w:t>
      </w:r>
    </w:p>
    <w:p w14:paraId="1A67C5B5">
      <w:pPr>
        <w:pStyle w:val="23"/>
        <w:spacing w:line="700" w:lineRule="exact"/>
        <w:ind w:left="420" w:leftChars="150" w:firstLine="480" w:firstLineChars="150"/>
        <w:rPr>
          <w:rFonts w:eastAsia="仿宋" w:cs="仿宋"/>
          <w:sz w:val="32"/>
          <w:szCs w:val="32"/>
        </w:rPr>
      </w:pPr>
      <w:r>
        <w:rPr>
          <w:rFonts w:hint="eastAsia" w:eastAsia="仿宋" w:cs="仿宋"/>
          <w:sz w:val="32"/>
          <w:szCs w:val="32"/>
        </w:rPr>
        <w:t>（五）继续加强直管公房、廉租房、公租房的租赁管理与服务工作，认真做好房屋维修，及时排除安全隐患，确保国有资产保值增值的同时不发生安全事故。</w:t>
      </w:r>
    </w:p>
    <w:p w14:paraId="7786D071">
      <w:pPr>
        <w:spacing w:line="600" w:lineRule="exact"/>
        <w:rPr>
          <w:rFonts w:ascii="Times New Roman" w:hAnsi="Times New Roman" w:eastAsia="黑体"/>
          <w:kern w:val="2"/>
          <w:sz w:val="32"/>
          <w:szCs w:val="32"/>
        </w:rPr>
      </w:pPr>
    </w:p>
    <w:p w14:paraId="142B56F5">
      <w:pPr>
        <w:numPr>
          <w:ilvl w:val="0"/>
          <w:numId w:val="4"/>
        </w:numPr>
        <w:spacing w:line="600" w:lineRule="exact"/>
        <w:ind w:firstLine="640" w:firstLineChars="200"/>
        <w:rPr>
          <w:rFonts w:ascii="Times New Roman" w:hAnsi="Times New Roman" w:eastAsia="黑体"/>
          <w:kern w:val="2"/>
          <w:sz w:val="32"/>
          <w:szCs w:val="32"/>
        </w:rPr>
      </w:pPr>
      <w:r>
        <w:rPr>
          <w:rFonts w:ascii="Times New Roman" w:hAnsi="Times New Roman" w:eastAsia="黑体"/>
          <w:kern w:val="2"/>
          <w:sz w:val="32"/>
          <w:szCs w:val="32"/>
        </w:rPr>
        <w:t>其他需要说明的情况</w:t>
      </w:r>
    </w:p>
    <w:p w14:paraId="4CB916F9">
      <w:pPr>
        <w:spacing w:line="600" w:lineRule="exact"/>
        <w:rPr>
          <w:rFonts w:ascii="Times New Roman" w:hAnsi="Times New Roman" w:eastAsia="黑体"/>
          <w:kern w:val="2"/>
          <w:sz w:val="32"/>
          <w:szCs w:val="32"/>
        </w:rPr>
      </w:pPr>
      <w:r>
        <w:rPr>
          <w:rFonts w:hint="eastAsia" w:ascii="Times New Roman" w:hAnsi="Times New Roman" w:eastAsia="黑体"/>
          <w:kern w:val="2"/>
          <w:sz w:val="32"/>
          <w:szCs w:val="32"/>
        </w:rPr>
        <w:t>无</w:t>
      </w:r>
    </w:p>
    <w:p w14:paraId="48A7976D">
      <w:pPr>
        <w:spacing w:line="600" w:lineRule="exact"/>
        <w:ind w:firstLine="640" w:firstLineChars="200"/>
        <w:rPr>
          <w:rFonts w:ascii="Times New Roman" w:hAnsi="Times New Roman" w:eastAsia="仿宋"/>
          <w:kern w:val="2"/>
          <w:sz w:val="32"/>
          <w:szCs w:val="32"/>
        </w:rPr>
      </w:pPr>
    </w:p>
    <w:p w14:paraId="396A2877">
      <w:pPr>
        <w:spacing w:line="600" w:lineRule="exact"/>
        <w:jc w:val="right"/>
        <w:rPr>
          <w:rFonts w:ascii="Times New Roman" w:hAnsi="Times New Roman" w:eastAsia="仿宋"/>
          <w:kern w:val="2"/>
          <w:sz w:val="32"/>
          <w:szCs w:val="32"/>
        </w:rPr>
      </w:pPr>
      <w:r>
        <w:rPr>
          <w:rFonts w:hint="eastAsia" w:ascii="Times New Roman" w:hAnsi="Times New Roman" w:eastAsia="仿宋"/>
          <w:kern w:val="2"/>
          <w:sz w:val="32"/>
          <w:szCs w:val="32"/>
        </w:rPr>
        <w:t>南岳区住房保障服务中心</w:t>
      </w:r>
    </w:p>
    <w:p w14:paraId="75A2953D">
      <w:pPr>
        <w:spacing w:line="600" w:lineRule="exact"/>
        <w:ind w:left="5320" w:leftChars="1900" w:firstLine="640" w:firstLineChars="200"/>
        <w:jc w:val="center"/>
        <w:rPr>
          <w:rFonts w:ascii="Times New Roman" w:hAnsi="Times New Roman" w:eastAsia="仿宋"/>
          <w:kern w:val="2"/>
          <w:sz w:val="32"/>
          <w:szCs w:val="32"/>
        </w:rPr>
      </w:pPr>
      <w:r>
        <w:rPr>
          <w:rFonts w:ascii="Times New Roman" w:hAnsi="Times New Roman" w:eastAsia="仿宋"/>
          <w:kern w:val="2"/>
          <w:sz w:val="32"/>
          <w:szCs w:val="32"/>
        </w:rPr>
        <w:t xml:space="preserve">2025年 </w:t>
      </w:r>
      <w:r>
        <w:rPr>
          <w:rFonts w:hint="eastAsia" w:ascii="Times New Roman" w:hAnsi="Times New Roman" w:eastAsia="仿宋"/>
          <w:kern w:val="2"/>
          <w:sz w:val="32"/>
          <w:szCs w:val="32"/>
        </w:rPr>
        <w:t>6</w:t>
      </w:r>
      <w:r>
        <w:rPr>
          <w:rFonts w:ascii="Times New Roman" w:hAnsi="Times New Roman" w:eastAsia="仿宋"/>
          <w:kern w:val="2"/>
          <w:sz w:val="32"/>
          <w:szCs w:val="32"/>
        </w:rPr>
        <w:t>月</w:t>
      </w:r>
      <w:r>
        <w:rPr>
          <w:rFonts w:hint="eastAsia" w:ascii="Times New Roman" w:hAnsi="Times New Roman" w:eastAsia="仿宋"/>
          <w:kern w:val="2"/>
          <w:sz w:val="32"/>
          <w:szCs w:val="32"/>
        </w:rPr>
        <w:t>6</w:t>
      </w:r>
      <w:r>
        <w:rPr>
          <w:rFonts w:ascii="Times New Roman" w:hAnsi="Times New Roman" w:eastAsia="仿宋"/>
          <w:kern w:val="2"/>
          <w:sz w:val="32"/>
          <w:szCs w:val="32"/>
        </w:rPr>
        <w:t>日</w:t>
      </w:r>
    </w:p>
    <w:p w14:paraId="1E92FE3C">
      <w:pPr>
        <w:spacing w:line="560" w:lineRule="exact"/>
        <w:ind w:firstLine="640" w:firstLineChars="200"/>
        <w:rPr>
          <w:rFonts w:ascii="Times New Roman" w:hAnsi="Times New Roman" w:eastAsia="仿宋"/>
          <w:kern w:val="2"/>
          <w:sz w:val="32"/>
          <w:szCs w:val="32"/>
        </w:rPr>
      </w:pPr>
      <w:r>
        <w:rPr>
          <w:rFonts w:ascii="Times New Roman" w:hAnsi="Times New Roman" w:eastAsia="仿宋"/>
          <w:kern w:val="2"/>
          <w:sz w:val="32"/>
          <w:szCs w:val="32"/>
        </w:rPr>
        <w:br w:type="page"/>
      </w:r>
    </w:p>
    <w:sectPr>
      <w:headerReference r:id="rId3" w:type="default"/>
      <w:footerReference r:id="rId4" w:type="default"/>
      <w:pgSz w:w="11905" w:h="16837"/>
      <w:pgMar w:top="1871" w:right="1588" w:bottom="1531" w:left="1588" w:header="720" w:footer="1191" w:gutter="0"/>
      <w:pgNumType w:fmt="numberInDash"/>
      <w:cols w:space="0" w:num="1"/>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250AE">
    <w:pPr>
      <w:pStyle w:val="1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7F64D9">
                          <w:pPr>
                            <w:pStyle w:val="12"/>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- 1 -</w:t>
                          </w:r>
                          <w:r>
                            <w:rPr>
                              <w:rFonts w:ascii="Times New Roman" w:hAnsi="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5F7F64D9">
                    <w:pPr>
                      <w:pStyle w:val="12"/>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- 1 -</w:t>
                    </w:r>
                    <w:r>
                      <w:rPr>
                        <w:rFonts w:ascii="Times New Roman" w:hAnsi="Times New Roman"/>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9707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A02ED"/>
    <w:multiLevelType w:val="singleLevel"/>
    <w:tmpl w:val="CFFA02ED"/>
    <w:lvl w:ilvl="0" w:tentative="0">
      <w:start w:val="8"/>
      <w:numFmt w:val="chineseCounting"/>
      <w:suff w:val="nothing"/>
      <w:lvlText w:val="%1、"/>
      <w:lvlJc w:val="left"/>
      <w:rPr>
        <w:rFonts w:hint="eastAsia"/>
      </w:rPr>
    </w:lvl>
  </w:abstractNum>
  <w:abstractNum w:abstractNumId="1">
    <w:nsid w:val="09605A1F"/>
    <w:multiLevelType w:val="multilevel"/>
    <w:tmpl w:val="09605A1F"/>
    <w:lvl w:ilvl="0" w:tentative="0">
      <w:start w:val="7"/>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A7D1CD0"/>
    <w:multiLevelType w:val="multilevel"/>
    <w:tmpl w:val="3A7D1CD0"/>
    <w:lvl w:ilvl="0" w:tentative="0">
      <w:start w:val="3"/>
      <w:numFmt w:val="japaneseCounting"/>
      <w:lvlText w:val="（%1）"/>
      <w:lvlJc w:val="left"/>
      <w:pPr>
        <w:ind w:left="1820" w:hanging="1080"/>
      </w:pPr>
      <w:rPr>
        <w:rFonts w:hint="default"/>
      </w:rPr>
    </w:lvl>
    <w:lvl w:ilvl="1" w:tentative="0">
      <w:start w:val="1"/>
      <w:numFmt w:val="lowerLetter"/>
      <w:lvlText w:val="%2)"/>
      <w:lvlJc w:val="left"/>
      <w:pPr>
        <w:ind w:left="1580" w:hanging="420"/>
      </w:pPr>
    </w:lvl>
    <w:lvl w:ilvl="2" w:tentative="0">
      <w:start w:val="1"/>
      <w:numFmt w:val="lowerRoman"/>
      <w:lvlText w:val="%3."/>
      <w:lvlJc w:val="right"/>
      <w:pPr>
        <w:ind w:left="2000" w:hanging="420"/>
      </w:pPr>
    </w:lvl>
    <w:lvl w:ilvl="3" w:tentative="0">
      <w:start w:val="1"/>
      <w:numFmt w:val="decimal"/>
      <w:lvlText w:val="%4."/>
      <w:lvlJc w:val="left"/>
      <w:pPr>
        <w:ind w:left="2420" w:hanging="420"/>
      </w:pPr>
    </w:lvl>
    <w:lvl w:ilvl="4" w:tentative="0">
      <w:start w:val="1"/>
      <w:numFmt w:val="lowerLetter"/>
      <w:lvlText w:val="%5)"/>
      <w:lvlJc w:val="left"/>
      <w:pPr>
        <w:ind w:left="2840" w:hanging="420"/>
      </w:pPr>
    </w:lvl>
    <w:lvl w:ilvl="5" w:tentative="0">
      <w:start w:val="1"/>
      <w:numFmt w:val="lowerRoman"/>
      <w:lvlText w:val="%6."/>
      <w:lvlJc w:val="right"/>
      <w:pPr>
        <w:ind w:left="3260" w:hanging="420"/>
      </w:pPr>
    </w:lvl>
    <w:lvl w:ilvl="6" w:tentative="0">
      <w:start w:val="1"/>
      <w:numFmt w:val="decimal"/>
      <w:lvlText w:val="%7."/>
      <w:lvlJc w:val="left"/>
      <w:pPr>
        <w:ind w:left="3680" w:hanging="420"/>
      </w:pPr>
    </w:lvl>
    <w:lvl w:ilvl="7" w:tentative="0">
      <w:start w:val="1"/>
      <w:numFmt w:val="lowerLetter"/>
      <w:lvlText w:val="%8)"/>
      <w:lvlJc w:val="left"/>
      <w:pPr>
        <w:ind w:left="4100" w:hanging="420"/>
      </w:pPr>
    </w:lvl>
    <w:lvl w:ilvl="8" w:tentative="0">
      <w:start w:val="1"/>
      <w:numFmt w:val="lowerRoman"/>
      <w:lvlText w:val="%9."/>
      <w:lvlJc w:val="right"/>
      <w:pPr>
        <w:ind w:left="4520" w:hanging="420"/>
      </w:pPr>
    </w:lvl>
  </w:abstractNum>
  <w:abstractNum w:abstractNumId="3">
    <w:nsid w:val="71CFFA45"/>
    <w:multiLevelType w:val="singleLevel"/>
    <w:tmpl w:val="71CFFA45"/>
    <w:lvl w:ilvl="0" w:tentative="0">
      <w:start w:val="1"/>
      <w:numFmt w:val="chineseCounting"/>
      <w:suff w:val="nothing"/>
      <w:lvlText w:val="%1、"/>
      <w:lvlJc w:val="left"/>
      <w:rPr>
        <w:rFonts w:hint="eastAsia"/>
      </w:rPr>
    </w:lvl>
  </w:abstractNum>
  <w:abstractNum w:abstractNumId="4">
    <w:nsid w:val="7696ABA6"/>
    <w:multiLevelType w:val="singleLevel"/>
    <w:tmpl w:val="7696ABA6"/>
    <w:lvl w:ilvl="0" w:tentative="0">
      <w:start w:val="3"/>
      <w:numFmt w:val="chineseCounting"/>
      <w:suff w:val="nothing"/>
      <w:lvlText w:val="%1、"/>
      <w:lvlJc w:val="left"/>
      <w:rPr>
        <w:rFonts w:hint="eastAsia"/>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B545E"/>
    <w:rsid w:val="00B1666C"/>
    <w:rsid w:val="00F76394"/>
    <w:rsid w:val="082F4AD6"/>
    <w:rsid w:val="08F6027E"/>
    <w:rsid w:val="105E5F09"/>
    <w:rsid w:val="175E218A"/>
    <w:rsid w:val="17954095"/>
    <w:rsid w:val="17CE2D4A"/>
    <w:rsid w:val="1B943177"/>
    <w:rsid w:val="1C237A59"/>
    <w:rsid w:val="1CEB5018"/>
    <w:rsid w:val="1EF3397A"/>
    <w:rsid w:val="22EE038F"/>
    <w:rsid w:val="23C10FDE"/>
    <w:rsid w:val="23E54318"/>
    <w:rsid w:val="256B05AF"/>
    <w:rsid w:val="28D94728"/>
    <w:rsid w:val="2984093F"/>
    <w:rsid w:val="2B1D0FDD"/>
    <w:rsid w:val="2C100483"/>
    <w:rsid w:val="314B545E"/>
    <w:rsid w:val="31645D95"/>
    <w:rsid w:val="356154A3"/>
    <w:rsid w:val="358F20AD"/>
    <w:rsid w:val="37070034"/>
    <w:rsid w:val="403502B5"/>
    <w:rsid w:val="40785C73"/>
    <w:rsid w:val="44BE7D05"/>
    <w:rsid w:val="45292760"/>
    <w:rsid w:val="483D0689"/>
    <w:rsid w:val="48A44149"/>
    <w:rsid w:val="4AFE704D"/>
    <w:rsid w:val="4F8577BA"/>
    <w:rsid w:val="53F62BA1"/>
    <w:rsid w:val="5D2255F5"/>
    <w:rsid w:val="62A14363"/>
    <w:rsid w:val="6D9E2ED7"/>
    <w:rsid w:val="73653831"/>
    <w:rsid w:val="74F81E6F"/>
    <w:rsid w:val="76852160"/>
    <w:rsid w:val="7CD817E9"/>
    <w:rsid w:val="7D2B0F65"/>
    <w:rsid w:val="7E011A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paragraph" w:styleId="2">
    <w:name w:val="heading 1"/>
    <w:basedOn w:val="1"/>
    <w:next w:val="1"/>
    <w:qFormat/>
    <w:uiPriority w:val="0"/>
    <w:pPr>
      <w:spacing w:line="600" w:lineRule="exact"/>
      <w:ind w:firstLine="200" w:firstLineChars="200"/>
      <w:outlineLvl w:val="0"/>
    </w:pPr>
    <w:rPr>
      <w:rFonts w:eastAsia="黑体"/>
      <w:kern w:val="44"/>
      <w:sz w:val="32"/>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sz w:val="24"/>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index 5"/>
    <w:basedOn w:val="1"/>
    <w:next w:val="1"/>
    <w:unhideWhenUsed/>
    <w:qFormat/>
    <w:uiPriority w:val="99"/>
    <w:pPr>
      <w:ind w:left="1680"/>
    </w:pPr>
    <w:rPr>
      <w:rFonts w:ascii="Calibri" w:hAnsi="Calibri"/>
      <w:szCs w:val="22"/>
    </w:rPr>
  </w:style>
  <w:style w:type="paragraph" w:styleId="7">
    <w:name w:val="Body Text"/>
    <w:basedOn w:val="1"/>
    <w:qFormat/>
    <w:uiPriority w:val="0"/>
  </w:style>
  <w:style w:type="paragraph" w:styleId="8">
    <w:name w:val="Body Text Indent"/>
    <w:basedOn w:val="1"/>
    <w:qFormat/>
    <w:uiPriority w:val="0"/>
    <w:pPr>
      <w:spacing w:after="120"/>
      <w:ind w:left="200" w:leftChars="200"/>
    </w:pPr>
  </w:style>
  <w:style w:type="paragraph" w:styleId="9">
    <w:name w:val="Body Text Indent 2"/>
    <w:basedOn w:val="1"/>
    <w:next w:val="10"/>
    <w:unhideWhenUsed/>
    <w:qFormat/>
    <w:uiPriority w:val="99"/>
    <w:pPr>
      <w:spacing w:after="120" w:line="480" w:lineRule="auto"/>
      <w:ind w:left="420" w:leftChars="200"/>
    </w:pPr>
  </w:style>
  <w:style w:type="paragraph" w:customStyle="1" w:styleId="10">
    <w:name w:val="p0"/>
    <w:next w:val="11"/>
    <w:qFormat/>
    <w:uiPriority w:val="0"/>
    <w:pPr>
      <w:spacing w:line="365" w:lineRule="atLeast"/>
      <w:ind w:left="1"/>
    </w:pPr>
    <w:rPr>
      <w:rFonts w:ascii="Times New Roman" w:hAnsi="Times New Roman" w:eastAsia="宋体" w:cs="Times New Roman"/>
      <w:sz w:val="24"/>
      <w:lang w:val="en-US" w:eastAsia="zh-CN" w:bidi="ar-SA"/>
    </w:rPr>
  </w:style>
  <w:style w:type="paragraph" w:styleId="11">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footnote text"/>
    <w:basedOn w:val="1"/>
    <w:next w:val="1"/>
    <w:qFormat/>
    <w:uiPriority w:val="0"/>
    <w:pPr>
      <w:snapToGrid w:val="0"/>
      <w:jc w:val="left"/>
    </w:pPr>
    <w:rPr>
      <w:sz w:val="18"/>
      <w:szCs w:val="18"/>
    </w:rPr>
  </w:style>
  <w:style w:type="paragraph" w:styleId="14">
    <w:name w:val="Normal (Web)"/>
    <w:basedOn w:val="1"/>
    <w:qFormat/>
    <w:uiPriority w:val="0"/>
    <w:pPr>
      <w:spacing w:beforeAutospacing="1" w:afterAutospacing="1"/>
      <w:jc w:val="left"/>
    </w:pPr>
    <w:rPr>
      <w:sz w:val="24"/>
    </w:rPr>
  </w:style>
  <w:style w:type="paragraph" w:styleId="15">
    <w:name w:val="Body Text First Indent 2"/>
    <w:basedOn w:val="8"/>
    <w:qFormat/>
    <w:uiPriority w:val="0"/>
    <w:pPr>
      <w:ind w:firstLine="200" w:firstLineChars="200"/>
    </w:pPr>
    <w:rPr>
      <w:rFonts w:ascii="Calibri" w:hAnsi="Calibri"/>
    </w:rPr>
  </w:style>
  <w:style w:type="character" w:styleId="18">
    <w:name w:val="page number"/>
    <w:basedOn w:val="17"/>
    <w:qFormat/>
    <w:uiPriority w:val="0"/>
  </w:style>
  <w:style w:type="character" w:styleId="19">
    <w:name w:val="Hyperlink"/>
    <w:basedOn w:val="17"/>
    <w:qFormat/>
    <w:uiPriority w:val="0"/>
    <w:rPr>
      <w:color w:val="0000FF"/>
      <w:u w:val="single"/>
    </w:rPr>
  </w:style>
  <w:style w:type="paragraph" w:customStyle="1" w:styleId="20">
    <w:name w:val="BodyText"/>
    <w:basedOn w:val="1"/>
    <w:qFormat/>
    <w:uiPriority w:val="0"/>
    <w:pPr>
      <w:widowControl/>
      <w:spacing w:after="120"/>
      <w:textAlignment w:val="baseline"/>
    </w:pPr>
  </w:style>
  <w:style w:type="paragraph" w:customStyle="1" w:styleId="21">
    <w:name w:val="正文首行缩进1"/>
    <w:next w:val="1"/>
    <w:qFormat/>
    <w:uiPriority w:val="0"/>
    <w:pPr>
      <w:widowControl w:val="0"/>
      <w:spacing w:after="120"/>
      <w:ind w:firstLine="420" w:firstLineChars="100"/>
      <w:jc w:val="both"/>
    </w:pPr>
    <w:rPr>
      <w:rFonts w:hint="eastAsia" w:ascii="Calibri" w:hAnsi="Calibri" w:eastAsia="宋体" w:cs="Times New Roman"/>
      <w:kern w:val="2"/>
      <w:sz w:val="21"/>
      <w:lang w:val="en-US" w:eastAsia="zh-CN" w:bidi="ar-SA"/>
    </w:rPr>
  </w:style>
  <w:style w:type="paragraph" w:customStyle="1" w:styleId="22">
    <w:name w:val="列出段落1"/>
    <w:basedOn w:val="1"/>
    <w:qFormat/>
    <w:uiPriority w:val="34"/>
    <w:pPr>
      <w:ind w:firstLine="420" w:firstLineChars="200"/>
    </w:pPr>
  </w:style>
  <w:style w:type="paragraph" w:styleId="23">
    <w:name w:val="List Paragraph"/>
    <w:basedOn w:val="1"/>
    <w:qFormat/>
    <w:uiPriority w:val="99"/>
    <w:pPr>
      <w:ind w:firstLine="420" w:firstLineChars="200"/>
    </w:pPr>
    <w:rPr>
      <w:rFonts w:ascii="Calibri" w:hAnsi="Calibri"/>
      <w:szCs w:val="22"/>
    </w:rPr>
  </w:style>
  <w:style w:type="paragraph" w:customStyle="1" w:styleId="24">
    <w:name w:val="Table Paragraph"/>
    <w:basedOn w:val="1"/>
    <w:unhideWhenUsed/>
    <w:qFormat/>
    <w:uiPriority w:val="1"/>
    <w:rPr>
      <w:rFonts w:hint="eastAsi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3019</Words>
  <Characters>3115</Characters>
  <Lines>1</Lines>
  <Paragraphs>6</Paragraphs>
  <TotalTime>3</TotalTime>
  <ScaleCrop>false</ScaleCrop>
  <LinksUpToDate>false</LinksUpToDate>
  <CharactersWithSpaces>3118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2025-06-27T02:19:00Z</dcterms:created>
  <dc:creator>丞相府</dc:creator>
  <cp:lastModifiedBy>佳_小妞°</cp:lastModifiedBy>
  <cp:lastPrinted>2025-05-09T09:52:00Z</cp:lastPrinted>
  <dcterms:modified xsi:type="dcterms:W3CDTF">2025-10-28T08:00:45Z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C3E3DF4D52F34A15A30345243A02690E_13</vt:lpwstr>
  </property>
  <property fmtid="{D5CDD505-2E9C-101B-9397-08002B2CF9AE}" pid="4" name="KSOTemplateDocerSaveRecord">
    <vt:lpwstr>eyJoZGlkIjoiYTJhNDkxYjcxY2E2YWQxMjMyMGM4MDY2OWRjZjAzOGMiLCJ1c2VySWQiOiIxMDIzMDI1NzcyIn0=</vt:lpwstr>
  </property>
</Properties>
</file>