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A25C"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南岳区寿岳乡中心卫生院202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</w:t>
      </w:r>
    </w:p>
    <w:p w14:paraId="2D63693C">
      <w:pPr>
        <w:widowControl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绩效评价报告</w:t>
      </w:r>
    </w:p>
    <w:p w14:paraId="62D28504">
      <w:pPr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根据《中共中央国务院关于全面实施预算绩效管理的意见》的文件精神，南岳区寿岳乡中心卫生院部门整体支出进行了绩效评价，现报告如下：</w:t>
      </w:r>
    </w:p>
    <w:p w14:paraId="64D7C15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一、部门（单位）基本情况</w:t>
      </w:r>
    </w:p>
    <w:p w14:paraId="057DB420">
      <w:pPr>
        <w:widowControl/>
        <w:spacing w:line="600" w:lineRule="exact"/>
        <w:ind w:firstLine="630" w:firstLineChars="196"/>
        <w:jc w:val="left"/>
        <w:rPr>
          <w:rFonts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（一）部门职能职责</w:t>
      </w:r>
    </w:p>
    <w:p w14:paraId="6CEC37DD">
      <w:pPr>
        <w:widowControl/>
        <w:spacing w:line="600" w:lineRule="exact"/>
        <w:ind w:firstLine="627" w:firstLineChars="196"/>
        <w:jc w:val="lef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南岳区寿岳乡中心卫生院是南岳区卫生健康局的一个二级单位，单位人员编制总数为14人，现有职工1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人。本院是集医疗、公共卫生服务为一体的综合性卫生院，开设有内科、外科、儿科、中医科、公共卫生科、药剂科等科室。设有病床17张，现有主要医疗设备B超、心电除颤仪、心电图、血压、血糖等各种常规辅助检查，服务人口约7千多人。属财政全额拨款事业单位。</w:t>
      </w:r>
    </w:p>
    <w:p w14:paraId="0CAC4FC7">
      <w:pPr>
        <w:widowControl/>
        <w:spacing w:line="600" w:lineRule="exact"/>
        <w:ind w:firstLine="630" w:firstLineChars="196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（二）机构设置情况</w:t>
      </w:r>
    </w:p>
    <w:p w14:paraId="74EC0FA9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年末，我院内设处室5个，内设处室分别是办公室、护理组、医疗组、公卫组、药剂组。</w:t>
      </w:r>
    </w:p>
    <w:p w14:paraId="7C80F426">
      <w:pPr>
        <w:widowControl/>
        <w:spacing w:line="600" w:lineRule="exact"/>
        <w:ind w:firstLine="630" w:firstLineChars="196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（三）人员编制情况</w:t>
      </w:r>
    </w:p>
    <w:p w14:paraId="442A918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年末，我单位共有编制14人，其中行政编制 0 人，事业编制 14人。年末实有在职人员 9人，临聘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人，离休人员 0人。</w:t>
      </w:r>
    </w:p>
    <w:p w14:paraId="04CDB5AE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一般公共预算支出情况</w:t>
      </w:r>
    </w:p>
    <w:p w14:paraId="4C8EB8CB">
      <w:pPr>
        <w:widowControl/>
        <w:spacing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（一）基本支出情况</w:t>
      </w:r>
    </w:p>
    <w:p w14:paraId="3BC0EA41">
      <w:pPr>
        <w:tabs>
          <w:tab w:val="left" w:pos="2296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基本支出系保障我院机构正常运转、完成日常工作任务而发生的各项支出，包括用于在职和临聘人员基本工资、津贴补贴等人员经费以及办公费、印刷费、水电费、办公设备购置等日常公用经费。202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年基本支出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257.02</w:t>
      </w:r>
      <w:r>
        <w:rPr>
          <w:rFonts w:hint="eastAsia" w:ascii="仿宋" w:hAnsi="仿宋" w:eastAsia="仿宋" w:cs="仿宋"/>
          <w:sz w:val="32"/>
          <w:szCs w:val="32"/>
        </w:rPr>
        <w:t>万元，较上年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减少8.75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基本支出中人员经费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175.31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万元，占基本支出的6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</w:t>
      </w:r>
      <w:r>
        <w:rPr>
          <w:rFonts w:hint="eastAsia" w:ascii="仿宋" w:hAnsi="仿宋" w:eastAsia="仿宋" w:cs="仿宋"/>
          <w:sz w:val="32"/>
          <w:szCs w:val="32"/>
        </w:rPr>
        <w:t>较上年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增加1.92</w:t>
      </w:r>
      <w:r>
        <w:rPr>
          <w:rFonts w:hint="eastAsia" w:ascii="仿宋" w:hAnsi="仿宋" w:eastAsia="仿宋" w:cs="仿宋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日常公用经费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68.28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26.6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%，较上年增加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17.56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 w14:paraId="34978827">
      <w:pPr>
        <w:widowControl/>
        <w:spacing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（二）项目支出情况</w:t>
      </w:r>
    </w:p>
    <w:p w14:paraId="3FB5BD2E">
      <w:pPr>
        <w:pStyle w:val="4"/>
        <w:shd w:val="clear" w:color="auto" w:fill="FFFFFF"/>
        <w:spacing w:before="210" w:beforeAutospacing="0" w:after="210" w:afterAutospacing="0"/>
        <w:ind w:left="150" w:firstLine="960" w:firstLineChars="3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年度项目预算金额为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万元，项目资金安排主要来源于2023年预算财政拨款，无追加预算。用于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寿岳乡中心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卫生院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及龙凤分院污水处理设施设备的购置和安装，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无其他用途。</w:t>
      </w:r>
    </w:p>
    <w:p w14:paraId="2CE4AC49">
      <w:pPr>
        <w:pStyle w:val="4"/>
        <w:shd w:val="clear" w:color="auto" w:fill="FFFFFF"/>
        <w:spacing w:before="210" w:beforeAutospacing="0" w:after="210" w:afterAutospacing="0"/>
        <w:ind w:left="150" w:firstLine="960" w:firstLineChars="300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项目绩效目标：保证寿岳乡中心卫生院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有效提升环境卫生质量，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推进基层医疗机构健康发展，让病人有更舒适的环境、完善的配套设施。</w:t>
      </w:r>
    </w:p>
    <w:p w14:paraId="6A0855C2">
      <w:pPr>
        <w:pStyle w:val="4"/>
        <w:numPr>
          <w:ilvl w:val="0"/>
          <w:numId w:val="2"/>
        </w:numPr>
        <w:shd w:val="clear" w:color="auto" w:fill="FFFFFF"/>
        <w:spacing w:before="210" w:beforeAutospacing="0" w:after="210" w:afterAutospacing="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项目资金及使用管理情况</w:t>
      </w:r>
    </w:p>
    <w:p w14:paraId="19432F5D">
      <w:pPr>
        <w:pStyle w:val="4"/>
        <w:shd w:val="clear" w:color="auto" w:fill="FFFFFF"/>
        <w:spacing w:before="210" w:beforeAutospacing="0" w:after="210" w:afterAutospacing="0"/>
        <w:ind w:left="15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  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年项目资金用于南岳区寿岳乡中心卫生院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污水处理设施设备的购置和安装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，项目约总投资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万元，项目计划于202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年开始实施，202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年结束，为了加强对项目的管理，确保资金的合理使用，医院成立了专项资金管理领导小组，制定了资金管理办法，项目管理办法，工作方案，工作计划，工程款严格按照项目工程进度、合同规定付款。202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4年预算支付3万元，实际支付2.1万元。</w:t>
      </w:r>
    </w:p>
    <w:p w14:paraId="0F5DA5C4">
      <w:pPr>
        <w:pStyle w:val="4"/>
        <w:numPr>
          <w:ilvl w:val="0"/>
          <w:numId w:val="2"/>
        </w:numPr>
        <w:shd w:val="clear" w:color="auto" w:fill="FFFFFF"/>
        <w:spacing w:before="210" w:beforeAutospacing="0" w:after="210" w:afterAutospacing="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项目实施情况</w:t>
      </w:r>
    </w:p>
    <w:p w14:paraId="782396C2">
      <w:pPr>
        <w:pStyle w:val="4"/>
        <w:shd w:val="clear" w:color="auto" w:fill="FFFFFF"/>
        <w:spacing w:before="210" w:beforeAutospacing="0" w:after="210" w:afterAutospacing="0"/>
        <w:ind w:left="150" w:firstLine="960" w:firstLineChars="3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在寿岳乡中心卫生院、龙凤分院新建两处污水处理设施设备购置及安装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，总投资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万元，包括：</w:t>
      </w:r>
    </w:p>
    <w:p w14:paraId="0BFA033E">
      <w:pPr>
        <w:pStyle w:val="4"/>
        <w:shd w:val="clear" w:color="auto" w:fill="FFFFFF"/>
        <w:spacing w:before="210" w:beforeAutospacing="0" w:after="210" w:afterAutospacing="0"/>
        <w:ind w:firstLine="960" w:firstLineChars="3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1. 设施建设：新建污水处理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设施设备2处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；</w:t>
      </w:r>
    </w:p>
    <w:p w14:paraId="48259CB0">
      <w:pPr>
        <w:pStyle w:val="4"/>
        <w:shd w:val="clear" w:color="auto" w:fill="FFFFFF"/>
        <w:spacing w:before="210" w:beforeAutospacing="0" w:after="210" w:afterAutospacing="0"/>
        <w:ind w:firstLine="960" w:firstLineChars="3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2. 设备配置：配备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滤网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沉定池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、紫外线消毒器等处理设备；</w:t>
      </w:r>
    </w:p>
    <w:p w14:paraId="37201F1C">
      <w:pPr>
        <w:pStyle w:val="4"/>
        <w:shd w:val="clear" w:color="auto" w:fill="FFFFFF"/>
        <w:spacing w:before="210" w:beforeAutospacing="0" w:after="210" w:afterAutospacing="0"/>
        <w:ind w:left="150" w:firstLine="960" w:firstLineChars="3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3. 智慧监管：搭建医疗污水在线监测平台，实现水质数据实时传输与预警。</w:t>
      </w:r>
    </w:p>
    <w:p w14:paraId="00C851EF">
      <w:pPr>
        <w:pStyle w:val="4"/>
        <w:shd w:val="clear" w:color="auto" w:fill="FFFFFF"/>
        <w:spacing w:before="210" w:beforeAutospacing="0" w:after="210" w:afterAutospacing="0"/>
        <w:ind w:left="150" w:firstLine="960" w:firstLineChars="3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南岳区寿岳乡中心卫生院由专人负责工程进度管理监督，所有程序均按规定进行。</w:t>
      </w:r>
    </w:p>
    <w:p w14:paraId="06093D83">
      <w:pPr>
        <w:pStyle w:val="4"/>
        <w:numPr>
          <w:ilvl w:val="0"/>
          <w:numId w:val="2"/>
        </w:numPr>
        <w:shd w:val="clear" w:color="auto" w:fill="FFFFFF"/>
        <w:spacing w:before="210" w:beforeAutospacing="0" w:after="210" w:afterAutospacing="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项目绩效及评价方法</w:t>
      </w:r>
    </w:p>
    <w:p w14:paraId="118F30F4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firstLine="640" w:firstLineChars="200"/>
        <w:rPr>
          <w:rFonts w:hint="default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（一）项目绩效</w:t>
      </w:r>
    </w:p>
    <w:p w14:paraId="68BE0196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1. 产出指标：</w:t>
      </w:r>
    </w:p>
    <w:p w14:paraId="510696E9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设施覆盖率：两处医疗机构完成污水处理设施建设，覆盖率100%；</w:t>
      </w:r>
    </w:p>
    <w:p w14:paraId="25F86804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处理能力：年均处理量达10吨，设备正常运行率98%，出水达标率96.5%；</w:t>
      </w:r>
    </w:p>
    <w:p w14:paraId="0D8EE0DF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智慧监管：在线监测平台接入率100%，数据实时传输准确率99%。</w:t>
      </w:r>
    </w:p>
    <w:p w14:paraId="2A619779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2. 效益指标：</w:t>
      </w:r>
    </w:p>
    <w:p w14:paraId="497DDD5F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环境效益：减少污水排放10吨/年，周边水体粪大肠菌群浓度下降85%；</w:t>
      </w:r>
    </w:p>
    <w:p w14:paraId="145C1E4E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社会效益：居民对医疗废水处理满意度达93%，公共卫生风险预警响应效率提升40%；</w:t>
      </w:r>
    </w:p>
    <w:p w14:paraId="563675DB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管理效益：卫健系统通过项目建立标准化运维管理流程，监管效率显著提高。</w:t>
      </w:r>
    </w:p>
    <w:p w14:paraId="2161D00A">
      <w:pPr>
        <w:pStyle w:val="4"/>
        <w:numPr>
          <w:numId w:val="0"/>
        </w:numPr>
        <w:shd w:val="clear" w:color="auto" w:fill="FFFFFF"/>
        <w:spacing w:before="210" w:beforeAutospacing="0" w:after="210" w:afterAutospacing="0"/>
        <w:ind w:left="150" w:leftChars="0" w:firstLine="640" w:firstLineChars="200"/>
        <w:rPr>
          <w:rFonts w:hint="default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（二）评价方法</w:t>
      </w:r>
    </w:p>
    <w:p w14:paraId="4AD5888A">
      <w:pPr>
        <w:pStyle w:val="4"/>
        <w:shd w:val="clear" w:color="auto" w:fill="FFFFFF"/>
        <w:spacing w:before="210" w:beforeAutospacing="0" w:after="210" w:afterAutospacing="0"/>
        <w:ind w:left="15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资料核验：核查项目立项文件、资金拨付凭证、运维记录等资料；</w:t>
      </w:r>
    </w:p>
    <w:p w14:paraId="1AB93EF3">
      <w:pPr>
        <w:pStyle w:val="4"/>
        <w:shd w:val="clear" w:color="auto" w:fill="FFFFFF"/>
        <w:spacing w:before="210" w:beforeAutospacing="0" w:after="210" w:afterAutospacing="0"/>
        <w:ind w:left="15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实地检测：委托第三方检测机构对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个站点出水水质进行抽样检测；</w:t>
      </w:r>
    </w:p>
    <w:p w14:paraId="280F5532">
      <w:pPr>
        <w:pStyle w:val="4"/>
        <w:shd w:val="clear" w:color="auto" w:fill="FFFFFF"/>
        <w:spacing w:before="210" w:beforeAutospacing="0" w:after="210" w:afterAutospacing="0"/>
        <w:ind w:left="150" w:firstLine="640" w:firstLineChars="200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满意度调查：对医疗机构工作人员、周边居民发放问卷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份，回收有效问卷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份。</w:t>
      </w:r>
    </w:p>
    <w:p w14:paraId="0649D261"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四、存在的问题及原因分析</w:t>
      </w:r>
    </w:p>
    <w:p w14:paraId="511D0FA3">
      <w:pPr>
        <w:pStyle w:val="4"/>
        <w:shd w:val="clear" w:color="auto" w:fill="FFFFFF"/>
        <w:spacing w:before="210" w:beforeAutospacing="0" w:after="210" w:afterAutospacing="0"/>
        <w:ind w:left="150" w:firstLine="640" w:firstLineChars="2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下一步我们将继续规范和加强专项资金的管理，保障专项资金安全，提高资金使用效率，更好地为广大群众服务。                       </w:t>
      </w:r>
    </w:p>
    <w:p w14:paraId="25FB53CF">
      <w:pPr>
        <w:pStyle w:val="4"/>
        <w:shd w:val="clear" w:color="auto" w:fill="FFFFFF"/>
        <w:spacing w:before="210" w:beforeAutospacing="0" w:after="210" w:afterAutospacing="0"/>
        <w:ind w:left="150" w:firstLine="4480" w:firstLineChars="14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南岳区寿岳乡中心卫生院</w:t>
      </w:r>
    </w:p>
    <w:p w14:paraId="61F3D888">
      <w:pPr>
        <w:pStyle w:val="4"/>
        <w:shd w:val="clear" w:color="auto" w:fill="FFFFFF"/>
        <w:spacing w:before="210" w:beforeAutospacing="0" w:after="210" w:afterAutospacing="0"/>
        <w:ind w:firstLine="4480" w:firstLineChars="14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   202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日</w:t>
      </w:r>
    </w:p>
    <w:p w14:paraId="3676228C">
      <w:pPr>
        <w:widowControl/>
        <w:spacing w:line="600" w:lineRule="exact"/>
        <w:jc w:val="left"/>
        <w:rPr>
          <w:rFonts w:ascii="宋体" w:hAnsi="宋体" w:eastAsia="宋体" w:cs="宋体"/>
          <w:sz w:val="30"/>
          <w:szCs w:val="30"/>
        </w:rPr>
      </w:pPr>
    </w:p>
    <w:p w14:paraId="5ABB8B52">
      <w:pPr>
        <w:widowControl/>
        <w:spacing w:line="600" w:lineRule="exact"/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6DF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8CCC8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CCC8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E47135"/>
    <w:multiLevelType w:val="singleLevel"/>
    <w:tmpl w:val="64E47135"/>
    <w:lvl w:ilvl="0" w:tentative="0">
      <w:start w:val="1"/>
      <w:numFmt w:val="chineseCounting"/>
      <w:suff w:val="nothing"/>
      <w:lvlText w:val="%1、"/>
      <w:lvlJc w:val="left"/>
      <w:pPr>
        <w:ind w:left="15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jRhZWI0OTMzY2IyM2U5YmZhZWU2OTUzMWNlNzkifQ=="/>
  </w:docVars>
  <w:rsids>
    <w:rsidRoot w:val="58E06247"/>
    <w:rsid w:val="00103224"/>
    <w:rsid w:val="00150FE2"/>
    <w:rsid w:val="003D0099"/>
    <w:rsid w:val="00565FB9"/>
    <w:rsid w:val="00706C1E"/>
    <w:rsid w:val="00881676"/>
    <w:rsid w:val="00AC1318"/>
    <w:rsid w:val="00BE1B68"/>
    <w:rsid w:val="00D2192C"/>
    <w:rsid w:val="00DC4F32"/>
    <w:rsid w:val="00E021BB"/>
    <w:rsid w:val="00E03154"/>
    <w:rsid w:val="073950D7"/>
    <w:rsid w:val="08025F66"/>
    <w:rsid w:val="0B1D4359"/>
    <w:rsid w:val="1231425B"/>
    <w:rsid w:val="149B2A0B"/>
    <w:rsid w:val="20E67351"/>
    <w:rsid w:val="21812E03"/>
    <w:rsid w:val="28606852"/>
    <w:rsid w:val="28F271DD"/>
    <w:rsid w:val="29EF7861"/>
    <w:rsid w:val="30BE2A8F"/>
    <w:rsid w:val="429F3322"/>
    <w:rsid w:val="43102595"/>
    <w:rsid w:val="4A1504A0"/>
    <w:rsid w:val="4BB05A5B"/>
    <w:rsid w:val="4EB96A9A"/>
    <w:rsid w:val="4F28489C"/>
    <w:rsid w:val="52C14B04"/>
    <w:rsid w:val="55A02E49"/>
    <w:rsid w:val="58E06247"/>
    <w:rsid w:val="613B00C2"/>
    <w:rsid w:val="64A2122F"/>
    <w:rsid w:val="6713109A"/>
    <w:rsid w:val="67B42849"/>
    <w:rsid w:val="695D4897"/>
    <w:rsid w:val="6C586638"/>
    <w:rsid w:val="6ED84A76"/>
    <w:rsid w:val="6F615772"/>
    <w:rsid w:val="71BD756A"/>
    <w:rsid w:val="751B6785"/>
    <w:rsid w:val="76FD1791"/>
    <w:rsid w:val="77CB6225"/>
    <w:rsid w:val="7BD42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样式3"/>
    <w:basedOn w:val="1"/>
    <w:qFormat/>
    <w:uiPriority w:val="0"/>
    <w:rPr>
      <w:rFonts w:ascii="Times New Roman" w:hAnsi="Times New Roman" w:eastAsia="仿宋_GB2312" w:cs="Times New Roman"/>
      <w:spacing w:val="113"/>
      <w:sz w:val="32"/>
    </w:rPr>
  </w:style>
  <w:style w:type="paragraph" w:customStyle="1" w:styleId="8">
    <w:name w:val="样式4"/>
    <w:basedOn w:val="1"/>
    <w:qFormat/>
    <w:uiPriority w:val="0"/>
    <w:rPr>
      <w:rFonts w:ascii="Times New Roman" w:hAnsi="Times New Roman" w:eastAsia="仿宋_GB2312" w:cs="Times New Roman"/>
      <w:snapToGrid w:val="0"/>
      <w:spacing w:val="79"/>
      <w:sz w:val="32"/>
    </w:rPr>
  </w:style>
  <w:style w:type="paragraph" w:customStyle="1" w:styleId="9">
    <w:name w:val="样式6"/>
    <w:basedOn w:val="1"/>
    <w:qFormat/>
    <w:uiPriority w:val="0"/>
    <w:rPr>
      <w:rFonts w:ascii="Times New Roman" w:hAnsi="Times New Roman" w:eastAsia="仿宋_GB2312" w:cs="Times New Roman"/>
      <w:spacing w:val="57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96E89-C9FD-4D94-AD88-0295C8FA5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1500</Words>
  <Characters>1595</Characters>
  <Lines>1</Lines>
  <Paragraphs>3</Paragraphs>
  <TotalTime>91</TotalTime>
  <ScaleCrop>false</ScaleCrop>
  <LinksUpToDate>false</LinksUpToDate>
  <CharactersWithSpaces>1635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2024-04-28T03:17:00Z</dcterms:created>
  <dc:creator>Administrator</dc:creator>
  <cp:lastModifiedBy>安吉</cp:lastModifiedBy>
  <cp:lastPrinted>2023-02-10T07:37:00Z</cp:lastPrinted>
  <dcterms:modified xsi:type="dcterms:W3CDTF">2025-06-30T11:12:32Z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70FE70EE56E840A69294753D2E9272EC_13</vt:lpwstr>
  </property>
  <property fmtid="{D5CDD505-2E9C-101B-9397-08002B2CF9AE}" pid="4" name="KSOTemplateDocerSaveRecord">
    <vt:lpwstr>eyJoZGlkIjoiNDdlMDJkMWY0NzMwOTMyNjM3YWM1MjE4YWZjMjliZmIiLCJ1c2VySWQiOiI5MTM5NjA2ODEifQ==</vt:lpwstr>
  </property>
</Properties>
</file>