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部门整体支出基础数据表</w:t>
      </w:r>
    </w:p>
    <w:tbl>
      <w:tblPr>
        <w:tblStyle w:val="17"/>
        <w:tblW w:w="9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969"/>
        <w:gridCol w:w="1157"/>
        <w:gridCol w:w="840"/>
        <w:gridCol w:w="1126"/>
        <w:gridCol w:w="1080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财政供养人员情况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编制数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2024 年实际在职人数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经费控制情况(万元)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2023决算数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(万元)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2024预算数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(万元)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2024决算数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一、三公经费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1.25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1.公务用车购置和维护经费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其中：公车购置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公车运行维护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2.出国经费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3.公务接待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1.25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二、项目支出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9.28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1.业务工作经费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2.运行维护经费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3.专项资金（一个专项一行）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三、公用经费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21.57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14.69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其中：办公经费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2.77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水费、电费、差旅费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0.32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会议费、培训费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1.39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政府采购金额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部门基本支出预算调整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（2024年完工项目）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批复规模（㎡）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规模（㎡）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规模控制率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厉行节约保障措施</w:t>
            </w:r>
          </w:p>
        </w:tc>
        <w:tc>
          <w:tcPr>
            <w:tcW w:w="6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5" w:h="16837"/>
          <w:pgMar w:top="1871" w:right="1588" w:bottom="1531" w:left="1588" w:header="72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636" w:charSpace="0"/>
        </w:sectPr>
      </w:pPr>
    </w:p>
    <w:p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部门整体支出绩效自评表</w:t>
      </w:r>
    </w:p>
    <w:tbl>
      <w:tblPr>
        <w:tblStyle w:val="17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75"/>
        <w:gridCol w:w="923"/>
        <w:gridCol w:w="1631"/>
        <w:gridCol w:w="514"/>
        <w:gridCol w:w="468"/>
        <w:gridCol w:w="867"/>
        <w:gridCol w:w="339"/>
        <w:gridCol w:w="681"/>
        <w:gridCol w:w="870"/>
        <w:gridCol w:w="750"/>
        <w:gridCol w:w="73"/>
        <w:gridCol w:w="596"/>
        <w:gridCol w:w="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预算部门名称</w:t>
            </w:r>
          </w:p>
        </w:tc>
        <w:tc>
          <w:tcPr>
            <w:tcW w:w="75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南岳区文化市场综合执法大队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7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年度预算申请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(万元)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年初预算数(万元)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全年预算数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全年执行数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分值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执行率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年度资金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总额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106.72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133.71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133.71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5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按收入性质分</w:t>
            </w: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一般公共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预算</w:t>
            </w:r>
          </w:p>
        </w:tc>
        <w:tc>
          <w:tcPr>
            <w:tcW w:w="3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129.91</w:t>
            </w:r>
          </w:p>
        </w:tc>
        <w:tc>
          <w:tcPr>
            <w:tcW w:w="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其中:基本支出：</w:t>
            </w:r>
          </w:p>
        </w:tc>
        <w:tc>
          <w:tcPr>
            <w:tcW w:w="13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133.71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政府性基金拨款</w:t>
            </w:r>
          </w:p>
        </w:tc>
        <w:tc>
          <w:tcPr>
            <w:tcW w:w="3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纳入专户管理的非税收入拨款</w:t>
            </w:r>
          </w:p>
        </w:tc>
        <w:tc>
          <w:tcPr>
            <w:tcW w:w="3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项目支出</w:t>
            </w:r>
          </w:p>
        </w:tc>
        <w:tc>
          <w:tcPr>
            <w:tcW w:w="13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2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其他资金</w:t>
            </w:r>
          </w:p>
        </w:tc>
        <w:tc>
          <w:tcPr>
            <w:tcW w:w="3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7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年度总体目标</w:t>
            </w:r>
          </w:p>
        </w:tc>
        <w:tc>
          <w:tcPr>
            <w:tcW w:w="5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预期目标</w:t>
            </w: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5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绩效指标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三级指标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年度指标值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实际完成值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分值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得分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绩效指标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（20 分）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经济成本指标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（40 分）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文化娱乐场所安全生产督查，文旅体市场安全生产排查次数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≥190家次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190家次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文化市场管理执法，文化旅游体育市场专项整治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日常巡查场所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≥460家次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460家次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双随机系统检查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10≥次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文化旅游体育市场排查、巡查任务完成率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 100%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事项完成及时率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 100%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社会效益指标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全区文化旅游体育市场经营环境得到持续优化，市场秩序更加规范，有效促进了全区文化市场的健康、平稳、有序发展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可持续影响指标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营造了公平竞争、守法经营、安全有序的文化旅游体育市场环境，为区域文化繁荣和社会和谐稳定提供了有力保障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有所保障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有所保障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</w:rPr>
              <w:t>满意度指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eastAsia="zh-CN"/>
              </w:rPr>
              <w:t>标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</w:rPr>
              <w:t>10 分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社会群众满意度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</w:rPr>
        <w:sectPr>
          <w:pgSz w:w="11905" w:h="16837"/>
          <w:pgMar w:top="1701" w:right="1588" w:bottom="1531" w:left="1588" w:header="72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636" w:charSpace="0"/>
        </w:sectPr>
      </w:pPr>
    </w:p>
    <w:p>
      <w:pPr>
        <w:spacing w:line="560" w:lineRule="exac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3" w:firstLineChars="200"/>
        <w:jc w:val="center"/>
        <w:textAlignment w:val="auto"/>
        <w:rPr>
          <w:rFonts w:hint="default" w:ascii="Times New Roman" w:hAnsi="Times New Roman" w:eastAsia="方正楷体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44"/>
          <w:szCs w:val="44"/>
          <w:lang w:val="en-US" w:eastAsia="zh-CN"/>
        </w:rPr>
        <w:t>南岳区文化市场综合执法大队2024年</w:t>
      </w:r>
      <w:r>
        <w:rPr>
          <w:rFonts w:hint="default" w:ascii="Times New Roman" w:hAnsi="Times New Roman" w:eastAsia="方正楷体简体" w:cs="Times New Roman"/>
          <w:b/>
          <w:bCs/>
          <w:sz w:val="44"/>
          <w:szCs w:val="44"/>
          <w:lang w:val="en-US" w:eastAsia="zh-CN"/>
        </w:rPr>
        <w:t>部门整体支出绩效自评报告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根据《中共中央国务院关于全面实施预算绩效管理的意见》的文件精神，我部对部门整体支出进行了绩效评价，现报告如下：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（一）部门职能职责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1.贯彻执行党和国家关于文化、旅游市场、广播影视、新闻出版、版权管理的方针政策和法律法规，并组织开展有关宣传活动。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2.负责对全区文化市场、旅游市场实施监督检查，依法行使行政处罚权，以及与行政处罚权相关的行政强制权和行政检查权。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3.负责对演出市场、旅游市场、娱乐市场、出版市场、艺术品市场、经营性文化艺术培训市场、网吧及网络文化市场等经营活动实施监督检查，并查处其违法违规行为。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4.负责对高危体育市场（游泳池、攀岩）的管理。。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（二）机构设置情况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年末，我</w:t>
      </w:r>
      <w:r>
        <w:rPr>
          <w:rFonts w:hint="eastAsia" w:eastAsia="仿宋" w:cs="仿宋"/>
          <w:sz w:val="32"/>
          <w:szCs w:val="32"/>
          <w:lang w:val="en-US" w:eastAsia="zh-CN"/>
        </w:rPr>
        <w:t>队</w:t>
      </w:r>
      <w:r>
        <w:rPr>
          <w:rFonts w:hint="eastAsia" w:ascii="仿宋" w:hAnsi="仿宋" w:eastAsia="仿宋" w:cs="仿宋"/>
          <w:sz w:val="32"/>
          <w:szCs w:val="32"/>
        </w:rPr>
        <w:t>内设股室1个，为办公室。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（三）人员编制情况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</w:rPr>
        <w:t>202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</w:rPr>
        <w:t>年末，我</w:t>
      </w:r>
      <w:r>
        <w:rPr>
          <w:rFonts w:hint="eastAsia" w:eastAsia="仿宋" w:cs="仿宋"/>
          <w:sz w:val="32"/>
          <w:szCs w:val="32"/>
          <w:lang w:val="en-US" w:eastAsia="zh-CN"/>
        </w:rPr>
        <w:t>队</w:t>
      </w:r>
      <w:r>
        <w:rPr>
          <w:rFonts w:hint="default" w:ascii="仿宋" w:hAnsi="仿宋" w:eastAsia="仿宋" w:cs="仿宋"/>
          <w:sz w:val="32"/>
          <w:szCs w:val="32"/>
        </w:rPr>
        <w:t>共有编制</w:t>
      </w:r>
      <w:r>
        <w:rPr>
          <w:rFonts w:hint="eastAsia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</w:rPr>
        <w:t>人，其中行政编制0人，事业编制</w:t>
      </w:r>
      <w:r>
        <w:rPr>
          <w:rFonts w:hint="eastAsia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</w:rPr>
        <w:t>人。年末实有在职人员</w:t>
      </w:r>
      <w:r>
        <w:rPr>
          <w:rFonts w:hint="eastAsia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（一）基本支出情况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年基本支出</w:t>
      </w:r>
      <w:r>
        <w:rPr>
          <w:rFonts w:hint="eastAsia" w:eastAsia="仿宋" w:cs="仿宋"/>
          <w:sz w:val="32"/>
          <w:szCs w:val="32"/>
          <w:lang w:val="en-US" w:eastAsia="zh-CN"/>
        </w:rPr>
        <w:t>133.71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eastAsia="仿宋" w:cs="仿宋"/>
          <w:sz w:val="32"/>
          <w:szCs w:val="32"/>
          <w:lang w:val="en-US" w:eastAsia="zh-CN"/>
        </w:rPr>
        <w:t>27.71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万元，主要原因是人员经费和公用经费增加。具体构成：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人员经费</w:t>
      </w:r>
      <w:r>
        <w:rPr>
          <w:rFonts w:hint="eastAsia" w:eastAsia="仿宋" w:cs="仿宋"/>
          <w:sz w:val="32"/>
          <w:szCs w:val="32"/>
          <w:lang w:val="en-US" w:eastAsia="zh-CN"/>
        </w:rPr>
        <w:t>107.2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万元（占比</w:t>
      </w:r>
      <w:r>
        <w:rPr>
          <w:rFonts w:hint="eastAsia" w:eastAsia="仿宋" w:cs="仿宋"/>
          <w:sz w:val="32"/>
          <w:szCs w:val="32"/>
          <w:lang w:val="en-US" w:eastAsia="zh-CN"/>
        </w:rPr>
        <w:t>80.17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%），较上年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eastAsia="仿宋" w:cs="仿宋"/>
          <w:sz w:val="32"/>
          <w:szCs w:val="32"/>
          <w:lang w:val="en-US" w:eastAsia="zh-CN"/>
        </w:rPr>
        <w:t>22.77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万元，主要原因是新增人员</w:t>
      </w:r>
      <w:r>
        <w:rPr>
          <w:rFonts w:hint="eastAsia" w:eastAsia="仿宋" w:cs="仿宋"/>
          <w:sz w:val="32"/>
          <w:szCs w:val="32"/>
          <w:lang w:val="en-US" w:eastAsia="zh-CN"/>
        </w:rPr>
        <w:t>带来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工资、社保等</w:t>
      </w:r>
      <w:r>
        <w:rPr>
          <w:rFonts w:hint="eastAsia" w:eastAsia="仿宋" w:cs="仿宋"/>
          <w:sz w:val="32"/>
          <w:szCs w:val="32"/>
          <w:lang w:val="en-US" w:eastAsia="zh-CN"/>
        </w:rPr>
        <w:t>费用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日常公用经费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26.51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万元（占比</w:t>
      </w:r>
      <w:r>
        <w:rPr>
          <w:rFonts w:hint="eastAsia" w:eastAsia="仿宋" w:cs="仿宋"/>
          <w:sz w:val="32"/>
          <w:szCs w:val="32"/>
          <w:lang w:val="en-US" w:eastAsia="zh-CN"/>
        </w:rPr>
        <w:t>19.83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%），较上年</w:t>
      </w:r>
      <w:r>
        <w:rPr>
          <w:rFonts w:hint="eastAsia" w:eastAsia="仿宋" w:cs="仿宋"/>
          <w:sz w:val="32"/>
          <w:szCs w:val="32"/>
          <w:lang w:val="en-US" w:eastAsia="zh-CN"/>
        </w:rPr>
        <w:t>增加4.94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万元，主要原因是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eastAsia="仿宋" w:cs="仿宋"/>
          <w:sz w:val="32"/>
          <w:szCs w:val="32"/>
          <w:lang w:val="en-US" w:eastAsia="zh-CN"/>
        </w:rPr>
        <w:t>公用经费增加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（二）项目支出情况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2024年项目支出</w:t>
      </w:r>
      <w:r>
        <w:rPr>
          <w:rFonts w:hint="eastAsia" w:eastAsia="仿宋" w:cs="仿宋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</w:t>
      </w:r>
      <w:r>
        <w:rPr>
          <w:rFonts w:hint="eastAsia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</w:t>
      </w:r>
      <w:r>
        <w:rPr>
          <w:rFonts w:hint="eastAsia" w:eastAsia="仿宋" w:cs="仿宋"/>
          <w:sz w:val="32"/>
          <w:szCs w:val="32"/>
          <w:lang w:val="en-US" w:eastAsia="zh-CN"/>
        </w:rPr>
        <w:t>持平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2"/>
          <w:sz w:val="32"/>
          <w:szCs w:val="32"/>
        </w:rPr>
        <w:t>政府性基金预算支出情况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2024年度未发生政府性基金预算收支。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国有资本经营预算支出情况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2024年度未发生国有资本经营预算收支。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2024年度未发生社会保险基金预算收支。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队在区委、区政府的正确领导下，在上级主管部门的指导下，紧紧围绕部门核心职能职责和年度工作目标，以全面实施预算绩效管理为导向，强化内部控制，科学编制并严格执行预算。全年基本支出有效保障了单位正常运转和履职需要，圆满完成了各项工作任务，取得了显著成效。具体绩效目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完成情况如下: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（一）数量指标：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1.完成日常巡查和重点抽查460家次；完成文化娱乐场所安全生产督查及文旅体市场安全生产排查190家次；检查文化经营场所50家次</w:t>
      </w: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组织开展文化旅游体育市场专项整治行动6次。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办理知识产权侵权案件1起；收缴各类非法出版物200余本；警告和处罚违规经营网吧3家；上缴罚没款8.5万元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完成双随机系统检查任务10次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5.全年累计出动执法车辆20余台次，出动执法人员500余人次。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组织开展执法宣传</w:t>
      </w:r>
      <w:r>
        <w:rPr>
          <w:rFonts w:hint="eastAsia" w:eastAsia="仿宋" w:cs="仿宋"/>
          <w:color w:val="auto"/>
          <w:sz w:val="32"/>
          <w:szCs w:val="32"/>
          <w:highlight w:val="none"/>
          <w:lang w:val="en-US" w:eastAsia="zh-CN"/>
        </w:rPr>
        <w:t>活动4次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（二）质量指标：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文旅体市场排查、巡查、专项检查等各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项任务完成率均达到100%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（三）时效指标：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各项执法检查、案件办理、专项整治等事项均按要求时限完成，及时率达100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社会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效益指标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eastAsia" w:eastAsia="仿宋" w:cs="仿宋"/>
          <w:sz w:val="32"/>
          <w:szCs w:val="32"/>
          <w:lang w:val="en-US" w:eastAsia="zh-CN"/>
        </w:rPr>
        <w:t>通过严格执法和有效监管，全区文化旅游体育市场经营环境得到持续优化，市场秩序更加规范，有效促进了全区文化市场的健康、平稳、有序发展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（五）可持续影响指标：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营造了公平竞争、守法经营、安全有序的文化旅游体育市场环境，为区域文化繁荣和社会和谐稳定提供了有力保障。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（六）社会满意度指标：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社会公众满意度95%以上。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绩效目标的设定与部门职能、年度重点工作的结合度、量化细化程度以及可衡量性方面，仍有提升空间。主要原因在于绩效管理理念与实践的深度融合仍需加强，相关保障机制有待进一步健全</w:t>
      </w:r>
      <w:r>
        <w:rPr>
          <w:rFonts w:hint="eastAsia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细化预算编制工作，认真做好预算的编制。进一步提高预算编制的科学性、严谨性和可控性。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持续加强财务管理，严格执行财经法规和单位内控制度，强化财务审核把关，确保资金使用合规、安全、高效。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进一步完善资产管理制度，严格执行资产配置、采购、使用、处置等各环节规定。严格控制“三公”经费支出，确保只减不增。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九、无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南岳区文化市场综合执法大队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日</w:t>
      </w:r>
    </w:p>
    <w:sectPr>
      <w:headerReference r:id="rId6" w:type="default"/>
      <w:footerReference r:id="rId7" w:type="default"/>
      <w:pgSz w:w="11905" w:h="16837"/>
      <w:pgMar w:top="1871" w:right="1588" w:bottom="1531" w:left="1588" w:header="720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0C630"/>
    <w:multiLevelType w:val="singleLevel"/>
    <w:tmpl w:val="BB50C6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4F8EB1"/>
    <w:multiLevelType w:val="singleLevel"/>
    <w:tmpl w:val="6D4F8E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jA2NzhmNzM1ZjA2OGM1MTM0MzZmZTdkMTczMjUifQ=="/>
  </w:docVars>
  <w:rsids>
    <w:rsidRoot w:val="314B545E"/>
    <w:rsid w:val="00633050"/>
    <w:rsid w:val="02862E31"/>
    <w:rsid w:val="082F4AD6"/>
    <w:rsid w:val="105E5F09"/>
    <w:rsid w:val="119C7EB4"/>
    <w:rsid w:val="174D7861"/>
    <w:rsid w:val="175E218A"/>
    <w:rsid w:val="17954095"/>
    <w:rsid w:val="17CE2D4A"/>
    <w:rsid w:val="1B2030DB"/>
    <w:rsid w:val="1B943177"/>
    <w:rsid w:val="1C177E35"/>
    <w:rsid w:val="1C237A59"/>
    <w:rsid w:val="1CEB5018"/>
    <w:rsid w:val="1EF3397A"/>
    <w:rsid w:val="213A7121"/>
    <w:rsid w:val="21DF6380"/>
    <w:rsid w:val="22EE038F"/>
    <w:rsid w:val="23C10FDE"/>
    <w:rsid w:val="23E54318"/>
    <w:rsid w:val="256B05AF"/>
    <w:rsid w:val="25EA625C"/>
    <w:rsid w:val="28D94728"/>
    <w:rsid w:val="2B1D0FDD"/>
    <w:rsid w:val="2C100483"/>
    <w:rsid w:val="2CA102E2"/>
    <w:rsid w:val="314B545E"/>
    <w:rsid w:val="31645D95"/>
    <w:rsid w:val="32DE78C1"/>
    <w:rsid w:val="33041AAE"/>
    <w:rsid w:val="358F20AD"/>
    <w:rsid w:val="37070034"/>
    <w:rsid w:val="38591E9B"/>
    <w:rsid w:val="397C0F8B"/>
    <w:rsid w:val="3ADC394E"/>
    <w:rsid w:val="3D09191E"/>
    <w:rsid w:val="403502B5"/>
    <w:rsid w:val="44BE7D05"/>
    <w:rsid w:val="45292760"/>
    <w:rsid w:val="453F0512"/>
    <w:rsid w:val="483D0689"/>
    <w:rsid w:val="48A44149"/>
    <w:rsid w:val="4A073578"/>
    <w:rsid w:val="4AFE704D"/>
    <w:rsid w:val="4E0733B8"/>
    <w:rsid w:val="4F8577BA"/>
    <w:rsid w:val="50CA273A"/>
    <w:rsid w:val="53F62BA1"/>
    <w:rsid w:val="55C04CC3"/>
    <w:rsid w:val="57056EE9"/>
    <w:rsid w:val="5D2255F5"/>
    <w:rsid w:val="5F6E0898"/>
    <w:rsid w:val="5FDB55F3"/>
    <w:rsid w:val="62A14363"/>
    <w:rsid w:val="66EB7AA5"/>
    <w:rsid w:val="69677CA2"/>
    <w:rsid w:val="6BD07FC9"/>
    <w:rsid w:val="6D7158FC"/>
    <w:rsid w:val="6E3B0389"/>
    <w:rsid w:val="7012303E"/>
    <w:rsid w:val="712F14A1"/>
    <w:rsid w:val="73653831"/>
    <w:rsid w:val="73792E46"/>
    <w:rsid w:val="74D83EC1"/>
    <w:rsid w:val="74F81E6F"/>
    <w:rsid w:val="752943E7"/>
    <w:rsid w:val="76852160"/>
    <w:rsid w:val="7A6B2388"/>
    <w:rsid w:val="7CD817E9"/>
    <w:rsid w:val="7E011A14"/>
    <w:rsid w:val="7FB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00" w:lineRule="exact"/>
      <w:ind w:firstLine="200" w:firstLineChars="200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8">
    <w:name w:val="Body Text"/>
    <w:basedOn w:val="1"/>
    <w:qFormat/>
    <w:uiPriority w:val="0"/>
    <w:pPr>
      <w:spacing w:after="120" w:afterLines="0"/>
    </w:pPr>
  </w:style>
  <w:style w:type="paragraph" w:styleId="9">
    <w:name w:val="Body Text Indent"/>
    <w:basedOn w:val="1"/>
    <w:qFormat/>
    <w:uiPriority w:val="0"/>
    <w:pPr>
      <w:spacing w:after="120"/>
      <w:ind w:left="200" w:leftChars="200"/>
    </w:pPr>
  </w:style>
  <w:style w:type="paragraph" w:styleId="10">
    <w:name w:val="Body Text Indent 2"/>
    <w:basedOn w:val="1"/>
    <w:next w:val="11"/>
    <w:unhideWhenUsed/>
    <w:qFormat/>
    <w:uiPriority w:val="99"/>
    <w:pPr>
      <w:spacing w:after="120" w:line="480" w:lineRule="auto"/>
      <w:ind w:left="420" w:leftChars="200"/>
    </w:pPr>
  </w:style>
  <w:style w:type="paragraph" w:customStyle="1" w:styleId="11">
    <w:name w:val="p0"/>
    <w:next w:val="12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9"/>
    <w:qFormat/>
    <w:uiPriority w:val="0"/>
    <w:pPr>
      <w:ind w:firstLine="200" w:firstLineChars="200"/>
    </w:pPr>
    <w:rPr>
      <w:rFonts w:ascii="Calibri" w:hAnsi="Calibri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BodyText"/>
    <w:basedOn w:val="1"/>
    <w:qFormat/>
    <w:uiPriority w:val="0"/>
    <w:pPr>
      <w:widowControl/>
      <w:spacing w:after="120"/>
      <w:textAlignment w:val="baseline"/>
    </w:pPr>
  </w:style>
  <w:style w:type="paragraph" w:customStyle="1" w:styleId="23">
    <w:name w:val="正文首行缩进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Table Paragraph"/>
    <w:basedOn w:val="1"/>
    <w:unhideWhenUsed/>
    <w:qFormat/>
    <w:uiPriority w:val="1"/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2369</Words>
  <Characters>2633</Characters>
  <Lines>0</Lines>
  <Paragraphs>0</Paragraphs>
  <TotalTime>0</TotalTime>
  <ScaleCrop>false</ScaleCrop>
  <LinksUpToDate>false</LinksUpToDate>
  <CharactersWithSpaces>2647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2024-11-25T06:49:00Z</dcterms:created>
  <dc:creator>丞相府</dc:creator>
  <cp:lastModifiedBy>Administrator</cp:lastModifiedBy>
  <cp:lastPrinted>2025-05-09T09:52:00Z</cp:lastPrinted>
  <dcterms:modified xsi:type="dcterms:W3CDTF">2025-06-06T08:45:00Z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066AD724BA404E3FABFBBD18291887AD_13</vt:lpwstr>
  </property>
  <property fmtid="{D5CDD505-2E9C-101B-9397-08002B2CF9AE}" pid="4" name="KSOTemplateDocerSaveRecord">
    <vt:lpwstr>eyJoZGlkIjoiMmNiY2NjMDYzNWUyYmQ3ZjliZDQ0YjFjNDE1MTE3NTcifQ==</vt:lpwstr>
  </property>
</Properties>
</file>