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ascii="仿宋" w:hAnsi="仿宋" w:eastAsia="仿宋"/>
          <w:sz w:val="32"/>
          <w:szCs w:val="32"/>
        </w:rPr>
      </w:pPr>
      <w:r>
        <w:rPr>
          <w:rFonts w:hint="eastAsia" w:ascii="仿宋" w:hAnsi="仿宋" w:eastAsia="仿宋"/>
          <w:sz w:val="32"/>
          <w:szCs w:val="32"/>
        </w:rPr>
        <w:t>附件2</w:t>
      </w:r>
    </w:p>
    <w:p>
      <w:pPr>
        <w:pStyle w:val="12"/>
        <w:jc w:val="center"/>
        <w:rPr>
          <w:rFonts w:ascii="仿宋" w:hAnsi="仿宋" w:eastAsia="仿宋" w:cs="Times New Roman"/>
          <w:sz w:val="32"/>
          <w:szCs w:val="32"/>
        </w:rPr>
      </w:pPr>
    </w:p>
    <w:p>
      <w:pPr>
        <w:pStyle w:val="12"/>
        <w:jc w:val="center"/>
        <w:rPr>
          <w:rFonts w:ascii="仿宋" w:hAnsi="仿宋" w:eastAsia="仿宋" w:cs="Times New Roman"/>
          <w:sz w:val="32"/>
          <w:szCs w:val="32"/>
        </w:rPr>
      </w:pPr>
    </w:p>
    <w:p>
      <w:pPr>
        <w:pStyle w:val="12"/>
        <w:jc w:val="center"/>
        <w:rPr>
          <w:rFonts w:ascii="仿宋" w:hAnsi="仿宋" w:eastAsia="仿宋" w:cs="Times New Roman"/>
          <w:sz w:val="32"/>
          <w:szCs w:val="32"/>
        </w:rPr>
      </w:pPr>
    </w:p>
    <w:p>
      <w:pPr>
        <w:pStyle w:val="12"/>
        <w:jc w:val="center"/>
        <w:rPr>
          <w:rFonts w:cs="Times New Roman" w:asciiTheme="majorEastAsia" w:hAnsiTheme="majorEastAsia" w:eastAsiaTheme="majorEastAsia"/>
          <w:b/>
          <w:sz w:val="44"/>
          <w:szCs w:val="44"/>
        </w:rPr>
      </w:pPr>
      <w:r>
        <w:rPr>
          <w:rFonts w:cs="Times New Roman" w:asciiTheme="majorEastAsia" w:hAnsiTheme="majorEastAsia" w:eastAsiaTheme="majorEastAsia"/>
          <w:b/>
          <w:sz w:val="44"/>
          <w:szCs w:val="44"/>
        </w:rPr>
        <w:t>2024年度</w:t>
      </w:r>
    </w:p>
    <w:p>
      <w:pPr>
        <w:pStyle w:val="12"/>
        <w:jc w:val="center"/>
        <w:rPr>
          <w:rFonts w:hint="eastAsia" w:cs="Times New Roman" w:asciiTheme="majorEastAsia" w:hAnsiTheme="majorEastAsia" w:eastAsiaTheme="majorEastAsia"/>
          <w:b/>
          <w:sz w:val="44"/>
          <w:szCs w:val="44"/>
          <w:lang w:val="en-US" w:eastAsia="zh-CN"/>
        </w:rPr>
      </w:pPr>
    </w:p>
    <w:p>
      <w:pPr>
        <w:pStyle w:val="12"/>
        <w:jc w:val="center"/>
        <w:rPr>
          <w:rFonts w:cs="Times New Roman" w:asciiTheme="majorEastAsia" w:hAnsiTheme="majorEastAsia" w:eastAsiaTheme="majorEastAsia"/>
          <w:b/>
          <w:sz w:val="44"/>
          <w:szCs w:val="44"/>
        </w:rPr>
      </w:pPr>
      <w:r>
        <w:rPr>
          <w:rFonts w:hint="eastAsia" w:cs="Times New Roman" w:asciiTheme="majorEastAsia" w:hAnsiTheme="majorEastAsia" w:eastAsiaTheme="majorEastAsia"/>
          <w:b/>
          <w:sz w:val="44"/>
          <w:szCs w:val="44"/>
          <w:lang w:val="en-US" w:eastAsia="zh-CN"/>
        </w:rPr>
        <w:t>南岳区红十字会</w:t>
      </w:r>
      <w:r>
        <w:rPr>
          <w:rFonts w:cs="Times New Roman" w:asciiTheme="majorEastAsia" w:hAnsiTheme="majorEastAsia" w:eastAsiaTheme="majorEastAsia"/>
          <w:b/>
          <w:sz w:val="44"/>
          <w:szCs w:val="44"/>
        </w:rPr>
        <w:t>部门决算</w:t>
      </w:r>
    </w:p>
    <w:p>
      <w:pPr>
        <w:pStyle w:val="12"/>
        <w:jc w:val="center"/>
        <w:rPr>
          <w:rFonts w:ascii="仿宋" w:hAnsi="仿宋" w:eastAsia="仿宋" w:cs="Times New Roman"/>
          <w:sz w:val="32"/>
          <w:szCs w:val="32"/>
        </w:rPr>
      </w:pPr>
    </w:p>
    <w:p>
      <w:pPr>
        <w:pStyle w:val="12"/>
        <w:jc w:val="center"/>
        <w:rPr>
          <w:rFonts w:ascii="仿宋" w:hAnsi="仿宋" w:eastAsia="仿宋" w:cs="Times New Roman"/>
          <w:sz w:val="32"/>
          <w:szCs w:val="32"/>
        </w:rPr>
      </w:pPr>
    </w:p>
    <w:p>
      <w:pPr>
        <w:pStyle w:val="12"/>
        <w:rPr>
          <w:rFonts w:ascii="仿宋" w:hAnsi="仿宋" w:eastAsia="仿宋" w:cs="Times New Roman"/>
          <w:sz w:val="32"/>
          <w:szCs w:val="32"/>
        </w:rPr>
      </w:pPr>
    </w:p>
    <w:p>
      <w:pPr>
        <w:rPr>
          <w:rFonts w:ascii="仿宋" w:hAnsi="仿宋" w:eastAsia="仿宋" w:cs="Times New Roman"/>
          <w:b/>
          <w:sz w:val="32"/>
          <w:szCs w:val="32"/>
        </w:rPr>
        <w:sectPr>
          <w:pgSz w:w="11906" w:h="16838"/>
          <w:pgMar w:top="1417" w:right="1588" w:bottom="1417" w:left="1588" w:header="851" w:footer="992" w:gutter="0"/>
          <w:cols w:space="425" w:num="1"/>
          <w:docGrid w:type="lines" w:linePitch="312" w:charSpace="0"/>
        </w:sectPr>
      </w:pPr>
    </w:p>
    <w:p>
      <w:pPr>
        <w:pStyle w:val="12"/>
        <w:spacing w:line="600" w:lineRule="exact"/>
        <w:ind w:firstLine="3840" w:firstLineChars="1200"/>
        <w:jc w:val="both"/>
        <w:rPr>
          <w:rFonts w:ascii="仿宋" w:hAnsi="仿宋" w:eastAsia="仿宋" w:cs="Times New Roman"/>
          <w:bCs/>
          <w:sz w:val="32"/>
          <w:szCs w:val="32"/>
        </w:rPr>
      </w:pPr>
      <w:r>
        <w:rPr>
          <w:rFonts w:ascii="仿宋" w:hAnsi="仿宋" w:eastAsia="仿宋" w:cs="Times New Roman"/>
          <w:bCs/>
          <w:sz w:val="32"/>
          <w:szCs w:val="32"/>
        </w:rPr>
        <w:t>目  录</w:t>
      </w:r>
    </w:p>
    <w:p>
      <w:pPr>
        <w:pStyle w:val="12"/>
        <w:spacing w:line="600" w:lineRule="exact"/>
        <w:jc w:val="center"/>
        <w:rPr>
          <w:rFonts w:ascii="仿宋" w:hAnsi="仿宋" w:eastAsia="仿宋" w:cs="Times New Roman"/>
          <w:b/>
          <w:sz w:val="32"/>
          <w:szCs w:val="32"/>
        </w:rPr>
      </w:pPr>
    </w:p>
    <w:p>
      <w:pPr>
        <w:pStyle w:val="12"/>
        <w:spacing w:afterLines="50" w:line="600" w:lineRule="exact"/>
        <w:rPr>
          <w:rFonts w:hAnsi="黑体" w:cs="Times New Roman"/>
          <w:bCs/>
          <w:sz w:val="32"/>
          <w:szCs w:val="32"/>
        </w:rPr>
      </w:pPr>
      <w:r>
        <w:rPr>
          <w:rFonts w:hAnsi="黑体" w:cs="Times New Roman"/>
          <w:bCs/>
          <w:sz w:val="32"/>
          <w:szCs w:val="32"/>
        </w:rPr>
        <w:t>第一部分 XX部门（单位）概况</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一、部门职责</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二、机构设置及决算单位构成</w:t>
      </w:r>
    </w:p>
    <w:p>
      <w:pPr>
        <w:pStyle w:val="12"/>
        <w:spacing w:beforeLines="50" w:afterLines="50" w:line="600" w:lineRule="exact"/>
        <w:rPr>
          <w:rFonts w:hAnsi="黑体" w:cs="Times New Roman"/>
          <w:bCs/>
          <w:sz w:val="32"/>
          <w:szCs w:val="32"/>
        </w:rPr>
      </w:pPr>
      <w:r>
        <w:rPr>
          <w:rFonts w:hAnsi="黑体" w:cs="Times New Roman"/>
          <w:bCs/>
          <w:sz w:val="32"/>
          <w:szCs w:val="32"/>
        </w:rPr>
        <w:t>第二部分 部门决算表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一、收入支出决算总表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二、收入决算表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三、支出决算表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四、财政拨款收入支出决算总表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五、一般公共预算财政拨款支出决算表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六、一般公共预算财政拨款基本支出决算明细表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七、政府性基金预算财政拨款收入支出决算表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八、国有资本经营预算财政拨款支出决算表</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九、财政拨款“三公”经费支出决算表</w:t>
      </w:r>
    </w:p>
    <w:p>
      <w:pPr>
        <w:pStyle w:val="12"/>
        <w:spacing w:beforeLines="50" w:afterLines="50" w:line="600" w:lineRule="exact"/>
        <w:rPr>
          <w:rFonts w:hAnsi="黑体" w:cs="Times New Roman"/>
          <w:bCs/>
          <w:sz w:val="32"/>
          <w:szCs w:val="32"/>
        </w:rPr>
      </w:pPr>
      <w:r>
        <w:rPr>
          <w:rFonts w:hAnsi="黑体" w:cs="Times New Roman"/>
          <w:bCs/>
          <w:sz w:val="32"/>
          <w:szCs w:val="32"/>
        </w:rPr>
        <w:t>第三部分 部门决算情况说明</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一、收入支出决算总体情况说明</w:t>
      </w:r>
    </w:p>
    <w:p>
      <w:pPr>
        <w:spacing w:line="600" w:lineRule="exact"/>
        <w:jc w:val="left"/>
        <w:rPr>
          <w:rFonts w:ascii="仿宋" w:hAnsi="仿宋" w:eastAsia="仿宋" w:cs="Times New Roman"/>
          <w:sz w:val="32"/>
          <w:szCs w:val="32"/>
        </w:rPr>
      </w:pPr>
      <w:r>
        <w:rPr>
          <w:rFonts w:ascii="仿宋" w:hAnsi="仿宋" w:eastAsia="仿宋" w:cs="Times New Roman"/>
          <w:sz w:val="32"/>
          <w:szCs w:val="32"/>
        </w:rPr>
        <w:t>二、收入决算情况说明</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三、支出决算情况说明</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四、财政拨款收入支出决算总体情况说明</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仿宋" w:hAnsi="仿宋" w:eastAsia="仿宋"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七、财政拨款“三公”经费支出决算情况说明</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八、政府性基金预算收入支出决算情况</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九、关于机关运行经费支出说明</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十、一般性支出情况说明</w:t>
      </w:r>
    </w:p>
    <w:p>
      <w:pPr>
        <w:autoSpaceDE w:val="0"/>
        <w:autoSpaceDN w:val="0"/>
        <w:adjustRightInd w:val="0"/>
        <w:spacing w:line="600" w:lineRule="exact"/>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十一、关于政府采购支出说明</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十二、关于国有资产占用情况说明</w:t>
      </w:r>
    </w:p>
    <w:p>
      <w:pPr>
        <w:pStyle w:val="12"/>
        <w:spacing w:line="600" w:lineRule="exact"/>
        <w:rPr>
          <w:rFonts w:ascii="仿宋" w:hAnsi="仿宋" w:eastAsia="仿宋" w:cs="Times New Roman"/>
          <w:sz w:val="32"/>
          <w:szCs w:val="32"/>
        </w:rPr>
      </w:pPr>
      <w:r>
        <w:rPr>
          <w:rFonts w:ascii="仿宋" w:hAnsi="仿宋" w:eastAsia="仿宋" w:cs="Times New Roman"/>
          <w:sz w:val="32"/>
          <w:szCs w:val="32"/>
        </w:rPr>
        <w:t>十三、关于2024年度预算绩效管理情况的说明</w:t>
      </w:r>
    </w:p>
    <w:p>
      <w:pPr>
        <w:pStyle w:val="12"/>
        <w:spacing w:beforeLines="50" w:afterLines="50" w:line="600" w:lineRule="exact"/>
        <w:rPr>
          <w:rFonts w:hAnsi="黑体" w:cs="Times New Roman"/>
          <w:bCs/>
          <w:sz w:val="32"/>
          <w:szCs w:val="32"/>
        </w:rPr>
      </w:pPr>
      <w:r>
        <w:rPr>
          <w:rFonts w:hAnsi="黑体" w:cs="Times New Roman"/>
          <w:bCs/>
          <w:sz w:val="32"/>
          <w:szCs w:val="32"/>
        </w:rPr>
        <w:t>第四部分 名词解释</w:t>
      </w:r>
    </w:p>
    <w:p>
      <w:pPr>
        <w:pStyle w:val="12"/>
        <w:spacing w:beforeLines="50" w:afterLines="50" w:line="600" w:lineRule="exact"/>
        <w:rPr>
          <w:rFonts w:hAnsi="黑体" w:cs="Times New Roman"/>
          <w:bCs/>
          <w:sz w:val="32"/>
          <w:szCs w:val="32"/>
        </w:rPr>
      </w:pPr>
      <w:r>
        <w:rPr>
          <w:rFonts w:hAnsi="黑体" w:cs="Times New Roman"/>
          <w:bCs/>
          <w:sz w:val="32"/>
          <w:szCs w:val="32"/>
        </w:rPr>
        <w:t>第五部分 附件</w:t>
      </w:r>
    </w:p>
    <w:p>
      <w:pPr>
        <w:pStyle w:val="12"/>
        <w:spacing w:line="600" w:lineRule="exact"/>
        <w:rPr>
          <w:rFonts w:ascii="仿宋" w:hAnsi="仿宋" w:eastAsia="仿宋" w:cs="Times New Roman"/>
          <w:bCs/>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pStyle w:val="2"/>
        <w:rPr>
          <w:rFonts w:ascii="仿宋" w:hAnsi="仿宋" w:eastAsia="仿宋" w:cs="Times New Roman"/>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pStyle w:val="12"/>
        <w:spacing w:line="360" w:lineRule="auto"/>
        <w:ind w:firstLine="3534" w:firstLineChars="800"/>
        <w:jc w:val="both"/>
        <w:rPr>
          <w:rFonts w:cs="Times New Roman" w:asciiTheme="minorEastAsia" w:hAnsiTheme="minorEastAsia" w:eastAsiaTheme="minorEastAsia"/>
          <w:b/>
          <w:sz w:val="44"/>
          <w:szCs w:val="44"/>
        </w:rPr>
      </w:pPr>
      <w:r>
        <w:rPr>
          <w:rFonts w:cs="Times New Roman" w:asciiTheme="minorEastAsia" w:hAnsiTheme="minorEastAsia" w:eastAsiaTheme="minorEastAsia"/>
          <w:b/>
          <w:sz w:val="44"/>
          <w:szCs w:val="44"/>
        </w:rPr>
        <w:t>第一部分</w:t>
      </w:r>
    </w:p>
    <w:p>
      <w:pPr>
        <w:pStyle w:val="12"/>
        <w:spacing w:line="360" w:lineRule="auto"/>
        <w:jc w:val="center"/>
        <w:rPr>
          <w:rFonts w:cs="Times New Roman" w:asciiTheme="minorEastAsia" w:hAnsiTheme="minorEastAsia" w:eastAsiaTheme="minorEastAsia"/>
          <w:b/>
          <w:sz w:val="44"/>
          <w:szCs w:val="44"/>
        </w:rPr>
      </w:pPr>
      <w:r>
        <w:rPr>
          <w:rFonts w:hint="eastAsia" w:cs="Times New Roman" w:asciiTheme="minorEastAsia" w:hAnsiTheme="minorEastAsia" w:eastAsiaTheme="minorEastAsia"/>
          <w:b/>
          <w:sz w:val="44"/>
          <w:szCs w:val="44"/>
          <w:lang w:val="en-US" w:eastAsia="zh-CN"/>
        </w:rPr>
        <w:t>南岳区红十字会</w:t>
      </w:r>
      <w:r>
        <w:rPr>
          <w:rFonts w:cs="Times New Roman" w:asciiTheme="minorEastAsia" w:hAnsiTheme="minorEastAsia" w:eastAsiaTheme="minorEastAsia"/>
          <w:b/>
          <w:sz w:val="44"/>
          <w:szCs w:val="44"/>
        </w:rPr>
        <w:t>概况</w:t>
      </w:r>
    </w:p>
    <w:p>
      <w:pPr>
        <w:pStyle w:val="3"/>
        <w:ind w:left="0" w:leftChars="0" w:firstLine="0" w:firstLineChars="0"/>
        <w:rPr>
          <w:rFonts w:ascii="仿宋" w:hAnsi="仿宋" w:eastAsia="仿宋" w:cs="Times New Roman"/>
          <w:sz w:val="32"/>
          <w:szCs w:val="32"/>
        </w:rPr>
      </w:pPr>
    </w:p>
    <w:p>
      <w:pPr>
        <w:pStyle w:val="13"/>
        <w:spacing w:line="600" w:lineRule="exact"/>
        <w:ind w:firstLine="0" w:firstLineChars="0"/>
        <w:jc w:val="left"/>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部门职责</w:t>
      </w:r>
    </w:p>
    <w:p>
      <w:pPr>
        <w:spacing w:line="60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南岳区红十字会的主要职责是：</w:t>
      </w:r>
    </w:p>
    <w:p>
      <w:pPr>
        <w:spacing w:line="60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(1)宣传、执行《中华人民共和国红十字会法》等法律法规；</w:t>
      </w:r>
    </w:p>
    <w:p>
      <w:pPr>
        <w:spacing w:line="60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(2)开展救援、救灾的相关工作，在自然灾害、事故灾难、公共卫生事件等突发事件中，对伤病人员和其他受害者提供紧急救援和人道救助;</w:t>
      </w:r>
    </w:p>
    <w:p>
      <w:pPr>
        <w:spacing w:line="60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(3)开展应急救护培训，普及应急救护、防灾避险和卫生健康知识，组织志愿者参与现场救护；</w:t>
      </w:r>
    </w:p>
    <w:p>
      <w:pPr>
        <w:spacing w:line="60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(4)参与、推动无偿献血、遗体和人体器官捐献工作，参与开展造血干细胞捐献的相关工作；</w:t>
      </w:r>
    </w:p>
    <w:p>
      <w:pPr>
        <w:spacing w:line="60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(5)组织开展红十字志愿服务和红十字青少年工作；</w:t>
      </w:r>
    </w:p>
    <w:p>
      <w:pPr>
        <w:spacing w:line="600" w:lineRule="exact"/>
        <w:ind w:firstLine="800" w:firstLineChars="250"/>
        <w:jc w:val="left"/>
        <w:rPr>
          <w:rFonts w:hint="eastAsia" w:ascii="仿宋" w:hAnsi="仿宋" w:eastAsia="仿宋" w:cs="Times New Roman"/>
          <w:sz w:val="32"/>
          <w:szCs w:val="32"/>
        </w:rPr>
      </w:pPr>
      <w:r>
        <w:rPr>
          <w:rFonts w:hint="eastAsia" w:ascii="仿宋" w:hAnsi="仿宋" w:eastAsia="仿宋" w:cs="Times New Roman"/>
          <w:sz w:val="32"/>
          <w:szCs w:val="32"/>
        </w:rPr>
        <w:t>(6)按照国家有关规定开展与国内、境外、国外红十字会组织的交流与合作；</w:t>
      </w:r>
    </w:p>
    <w:p>
      <w:pPr>
        <w:spacing w:line="600" w:lineRule="exact"/>
        <w:ind w:firstLine="800" w:firstLineChars="250"/>
        <w:jc w:val="left"/>
        <w:rPr>
          <w:rFonts w:ascii="仿宋" w:hAnsi="仿宋" w:eastAsia="仿宋" w:cs="Times New Roman"/>
          <w:sz w:val="32"/>
          <w:szCs w:val="32"/>
        </w:rPr>
      </w:pPr>
      <w:r>
        <w:rPr>
          <w:rFonts w:hint="eastAsia" w:ascii="仿宋" w:hAnsi="仿宋" w:eastAsia="仿宋" w:cs="Times New Roman"/>
          <w:sz w:val="32"/>
          <w:szCs w:val="32"/>
        </w:rPr>
        <w:t>(7)完成区委、区人民政府和上级红十字会交办的其他任务。</w:t>
      </w:r>
    </w:p>
    <w:p>
      <w:pPr>
        <w:pStyle w:val="13"/>
        <w:spacing w:line="600" w:lineRule="exact"/>
        <w:ind w:firstLine="0" w:firstLineChars="0"/>
        <w:jc w:val="left"/>
        <w:rPr>
          <w:rFonts w:ascii="黑体" w:hAnsi="黑体" w:eastAsia="黑体" w:cs="Times New Roman"/>
          <w:sz w:val="32"/>
          <w:szCs w:val="32"/>
        </w:rPr>
      </w:pPr>
      <w:r>
        <w:rPr>
          <w:rFonts w:ascii="黑体" w:hAnsi="黑体" w:eastAsia="黑体" w:cs="Times New Roman"/>
          <w:sz w:val="32"/>
          <w:szCs w:val="32"/>
        </w:rPr>
        <w:t>二、机构设置及决算单位构成</w:t>
      </w:r>
    </w:p>
    <w:p>
      <w:pPr>
        <w:widowControl/>
        <w:spacing w:line="600" w:lineRule="exact"/>
        <w:rPr>
          <w:rFonts w:ascii="仿宋" w:hAnsi="仿宋" w:eastAsia="仿宋" w:cs="Times New Roman"/>
          <w:bCs/>
          <w:kern w:val="0"/>
          <w:sz w:val="32"/>
          <w:szCs w:val="32"/>
        </w:rPr>
      </w:pPr>
      <w:r>
        <w:rPr>
          <w:rFonts w:ascii="仿宋" w:hAnsi="仿宋" w:eastAsia="仿宋" w:cs="Times New Roman"/>
          <w:bCs/>
          <w:kern w:val="0"/>
          <w:sz w:val="32"/>
          <w:szCs w:val="32"/>
        </w:rPr>
        <w:t>（一）内设机构设置。</w:t>
      </w:r>
    </w:p>
    <w:p>
      <w:pPr>
        <w:pStyle w:val="2"/>
        <w:rPr>
          <w:sz w:val="32"/>
          <w:szCs w:val="32"/>
        </w:rPr>
      </w:pPr>
      <w:r>
        <w:rPr>
          <w:rFonts w:hint="eastAsia"/>
          <w:sz w:val="32"/>
          <w:szCs w:val="32"/>
        </w:rPr>
        <w:t>202</w:t>
      </w:r>
      <w:r>
        <w:rPr>
          <w:rFonts w:hint="eastAsia"/>
          <w:sz w:val="32"/>
          <w:szCs w:val="32"/>
          <w:lang w:val="en-US" w:eastAsia="zh-CN"/>
        </w:rPr>
        <w:t>4</w:t>
      </w:r>
      <w:r>
        <w:rPr>
          <w:rFonts w:hint="eastAsia"/>
          <w:sz w:val="32"/>
          <w:szCs w:val="32"/>
        </w:rPr>
        <w:t>年末，我会内设股室 1 个，内设股室为办公室。</w:t>
      </w:r>
    </w:p>
    <w:p>
      <w:pPr>
        <w:widowControl/>
        <w:spacing w:line="600" w:lineRule="exact"/>
        <w:rPr>
          <w:rFonts w:ascii="仿宋" w:hAnsi="仿宋" w:eastAsia="仿宋" w:cs="Times New Roman"/>
          <w:bCs/>
          <w:kern w:val="0"/>
          <w:sz w:val="32"/>
          <w:szCs w:val="32"/>
        </w:rPr>
      </w:pPr>
      <w:r>
        <w:rPr>
          <w:rFonts w:ascii="仿宋" w:hAnsi="仿宋" w:eastAsia="仿宋" w:cs="Times New Roman"/>
          <w:bCs/>
          <w:kern w:val="0"/>
          <w:sz w:val="32"/>
          <w:szCs w:val="32"/>
        </w:rPr>
        <w:t>（二）决算单位构成。</w:t>
      </w:r>
    </w:p>
    <w:p>
      <w:pPr>
        <w:jc w:val="left"/>
        <w:rPr>
          <w:rFonts w:ascii="仿宋" w:hAnsi="仿宋" w:eastAsia="仿宋" w:cs="Times New Roman"/>
          <w:sz w:val="32"/>
          <w:szCs w:val="32"/>
        </w:rPr>
      </w:pPr>
      <w:r>
        <w:rPr>
          <w:rFonts w:hint="eastAsia" w:ascii="仿宋" w:hAnsi="仿宋" w:eastAsia="仿宋" w:cs="Times New Roman"/>
          <w:sz w:val="32"/>
          <w:szCs w:val="32"/>
        </w:rPr>
        <w:t>南岳区红十字会 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年部门决算汇总公开单位构成包括：南岳区红十字会本级。</w:t>
      </w: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pStyle w:val="2"/>
        <w:rPr>
          <w:rFonts w:ascii="仿宋" w:hAnsi="仿宋" w:eastAsia="仿宋" w:cs="Times New Roman"/>
          <w:sz w:val="32"/>
          <w:szCs w:val="32"/>
        </w:rPr>
        <w:sectPr>
          <w:footerReference r:id="rId5" w:type="default"/>
          <w:pgSz w:w="11906" w:h="16838"/>
          <w:pgMar w:top="1417" w:right="1588" w:bottom="1417" w:left="1588" w:header="851" w:footer="992" w:gutter="0"/>
          <w:pgNumType w:start="1"/>
          <w:cols w:space="425" w:num="1"/>
          <w:docGrid w:type="lines" w:linePitch="312" w:charSpace="0"/>
        </w:sectPr>
      </w:pPr>
    </w:p>
    <w:p>
      <w:pPr>
        <w:pStyle w:val="12"/>
        <w:spacing w:line="440" w:lineRule="exact"/>
        <w:ind w:firstLine="442" w:firstLineChars="100"/>
        <w:jc w:val="both"/>
        <w:rPr>
          <w:rFonts w:hint="default" w:cs="Times New Roman" w:asciiTheme="majorEastAsia" w:hAnsiTheme="majorEastAsia" w:eastAsiaTheme="majorEastAsia"/>
          <w:b/>
          <w:sz w:val="44"/>
          <w:szCs w:val="44"/>
          <w:lang w:val="en-US" w:eastAsia="zh-CN"/>
        </w:rPr>
      </w:pPr>
      <w:r>
        <w:rPr>
          <w:rFonts w:cs="Times New Roman" w:asciiTheme="majorEastAsia" w:hAnsiTheme="majorEastAsia" w:eastAsiaTheme="majorEastAsia"/>
          <w:b/>
          <w:sz w:val="44"/>
          <w:szCs w:val="44"/>
        </w:rPr>
        <w:t>第二部分    部门决算表</w:t>
      </w:r>
      <w:r>
        <w:rPr>
          <w:rFonts w:hint="eastAsia" w:cs="Times New Roman" w:asciiTheme="majorEastAsia" w:hAnsiTheme="majorEastAsia" w:eastAsiaTheme="majorEastAsia"/>
          <w:b/>
          <w:sz w:val="44"/>
          <w:szCs w:val="44"/>
          <w:lang w:eastAsia="zh-CN"/>
        </w:rPr>
        <w:t>（</w:t>
      </w:r>
      <w:r>
        <w:rPr>
          <w:rFonts w:hint="eastAsia" w:cs="Times New Roman" w:asciiTheme="majorEastAsia" w:hAnsiTheme="majorEastAsia" w:eastAsiaTheme="majorEastAsia"/>
          <w:b/>
          <w:sz w:val="44"/>
          <w:szCs w:val="44"/>
          <w:lang w:val="en-US" w:eastAsia="zh-CN"/>
        </w:rPr>
        <w:t>见附件）</w:t>
      </w:r>
    </w:p>
    <w:p>
      <w:pPr>
        <w:pStyle w:val="12"/>
        <w:rPr>
          <w:rFonts w:ascii="仿宋" w:hAnsi="仿宋" w:eastAsia="仿宋" w:cs="Times New Roman"/>
          <w:sz w:val="32"/>
          <w:szCs w:val="32"/>
        </w:rPr>
      </w:pPr>
    </w:p>
    <w:p>
      <w:pPr>
        <w:pStyle w:val="12"/>
        <w:rPr>
          <w:rFonts w:ascii="仿宋" w:hAnsi="仿宋" w:eastAsia="仿宋" w:cs="Times New Roman"/>
          <w:sz w:val="32"/>
          <w:szCs w:val="32"/>
        </w:rPr>
      </w:pPr>
    </w:p>
    <w:p>
      <w:pPr>
        <w:pStyle w:val="12"/>
        <w:rPr>
          <w:rFonts w:ascii="仿宋" w:hAnsi="仿宋" w:eastAsia="仿宋" w:cs="Times New Roman"/>
          <w:sz w:val="32"/>
          <w:szCs w:val="32"/>
        </w:rPr>
      </w:pPr>
    </w:p>
    <w:p>
      <w:pPr>
        <w:pStyle w:val="12"/>
        <w:jc w:val="center"/>
        <w:rPr>
          <w:rFonts w:ascii="仿宋" w:hAnsi="仿宋" w:eastAsia="仿宋" w:cs="Times New Roman"/>
          <w:sz w:val="32"/>
          <w:szCs w:val="32"/>
        </w:rPr>
      </w:pPr>
    </w:p>
    <w:p>
      <w:pPr>
        <w:pStyle w:val="12"/>
        <w:jc w:val="center"/>
        <w:rPr>
          <w:rFonts w:cs="Times New Roman" w:asciiTheme="majorEastAsia" w:hAnsiTheme="majorEastAsia" w:eastAsiaTheme="majorEastAsia"/>
          <w:b/>
          <w:sz w:val="44"/>
          <w:szCs w:val="44"/>
        </w:rPr>
      </w:pPr>
    </w:p>
    <w:p>
      <w:pPr>
        <w:pStyle w:val="12"/>
        <w:spacing w:line="360" w:lineRule="auto"/>
        <w:jc w:val="center"/>
        <w:rPr>
          <w:rFonts w:cs="Times New Roman" w:asciiTheme="majorEastAsia" w:hAnsiTheme="majorEastAsia" w:eastAsiaTheme="majorEastAsia"/>
          <w:b/>
          <w:sz w:val="44"/>
          <w:szCs w:val="44"/>
        </w:rPr>
      </w:pPr>
      <w:r>
        <w:rPr>
          <w:rFonts w:cs="Times New Roman" w:asciiTheme="majorEastAsia" w:hAnsiTheme="majorEastAsia" w:eastAsiaTheme="majorEastAsia"/>
          <w:b/>
          <w:sz w:val="44"/>
          <w:szCs w:val="44"/>
        </w:rPr>
        <w:t>第三部分</w:t>
      </w:r>
    </w:p>
    <w:p>
      <w:pPr>
        <w:pStyle w:val="12"/>
        <w:spacing w:line="360" w:lineRule="auto"/>
        <w:jc w:val="center"/>
        <w:rPr>
          <w:rFonts w:cs="Times New Roman" w:asciiTheme="majorEastAsia" w:hAnsiTheme="majorEastAsia" w:eastAsiaTheme="majorEastAsia"/>
          <w:b/>
          <w:sz w:val="44"/>
          <w:szCs w:val="44"/>
        </w:rPr>
      </w:pPr>
      <w:r>
        <w:rPr>
          <w:rFonts w:cs="Times New Roman" w:asciiTheme="majorEastAsia" w:hAnsiTheme="majorEastAsia" w:eastAsiaTheme="majorEastAsia"/>
          <w:b/>
          <w:sz w:val="44"/>
          <w:szCs w:val="44"/>
        </w:rPr>
        <w:t>2024年度部门决算情况说明</w:t>
      </w:r>
    </w:p>
    <w:p>
      <w:pPr>
        <w:widowControl/>
        <w:ind w:firstLine="320" w:firstLineChars="100"/>
        <w:jc w:val="left"/>
        <w:rPr>
          <w:rFonts w:hAnsi="黑体" w:cs="Times New Roman"/>
          <w:bCs/>
          <w:sz w:val="32"/>
          <w:szCs w:val="32"/>
        </w:rPr>
      </w:pPr>
      <w:r>
        <w:rPr>
          <w:rFonts w:hAnsi="黑体" w:cs="Times New Roman"/>
          <w:bCs/>
          <w:sz w:val="32"/>
          <w:szCs w:val="32"/>
        </w:rPr>
        <w:t>一、收入支出决算总体情况说明</w:t>
      </w:r>
    </w:p>
    <w:p>
      <w:pPr>
        <w:pStyle w:val="12"/>
        <w:overflowPunct w:val="0"/>
        <w:autoSpaceDE/>
        <w:autoSpaceDN/>
        <w:spacing w:line="600" w:lineRule="exact"/>
        <w:ind w:firstLine="640" w:firstLineChars="200"/>
        <w:jc w:val="both"/>
        <w:rPr>
          <w:rFonts w:hint="default" w:ascii="仿宋" w:hAnsi="仿宋" w:eastAsia="仿宋" w:cs="Times New Roman"/>
          <w:sz w:val="32"/>
          <w:szCs w:val="32"/>
          <w:lang w:val="en-US" w:eastAsia="zh-CN"/>
        </w:rPr>
      </w:pPr>
      <w:r>
        <w:rPr>
          <w:rFonts w:ascii="仿宋" w:hAnsi="仿宋" w:eastAsia="仿宋" w:cs="Times New Roman"/>
          <w:sz w:val="32"/>
          <w:szCs w:val="32"/>
        </w:rPr>
        <w:t>2024年度收、支总计</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万元。与上年相比，减少</w:t>
      </w:r>
      <w:r>
        <w:rPr>
          <w:rFonts w:hint="eastAsia" w:ascii="仿宋" w:hAnsi="仿宋" w:eastAsia="仿宋" w:cs="Times New Roman"/>
          <w:sz w:val="32"/>
          <w:szCs w:val="32"/>
          <w:lang w:val="en-US" w:eastAsia="zh-CN"/>
        </w:rPr>
        <w:t>93.46</w:t>
      </w:r>
      <w:r>
        <w:rPr>
          <w:rFonts w:ascii="仿宋" w:hAnsi="仿宋" w:eastAsia="仿宋" w:cs="Times New Roman"/>
          <w:sz w:val="32"/>
          <w:szCs w:val="32"/>
        </w:rPr>
        <w:t>万元，降低</w:t>
      </w:r>
      <w:r>
        <w:rPr>
          <w:rFonts w:hint="eastAsia" w:ascii="仿宋" w:hAnsi="仿宋" w:eastAsia="仿宋" w:cs="Times New Roman"/>
          <w:sz w:val="32"/>
          <w:szCs w:val="32"/>
          <w:lang w:val="en-US" w:eastAsia="zh-CN"/>
        </w:rPr>
        <w:t>38.06</w:t>
      </w:r>
      <w:r>
        <w:rPr>
          <w:rFonts w:ascii="仿宋" w:hAnsi="仿宋" w:eastAsia="仿宋" w:cs="Times New Roman"/>
          <w:sz w:val="32"/>
          <w:szCs w:val="32"/>
        </w:rPr>
        <w:t>%，主要是因为</w:t>
      </w:r>
      <w:r>
        <w:rPr>
          <w:rFonts w:hint="eastAsia" w:ascii="仿宋" w:hAnsi="仿宋" w:eastAsia="仿宋" w:cs="Times New Roman"/>
          <w:sz w:val="32"/>
          <w:szCs w:val="32"/>
          <w:lang w:val="en-US" w:eastAsia="zh-CN"/>
        </w:rPr>
        <w:t>厉行节约，把有限的经费用在刀刃上。</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二、收入决算情况说明</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2024年度收入合计</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万元，其中：财政拨款收入</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100</w:t>
      </w:r>
      <w:r>
        <w:rPr>
          <w:rFonts w:ascii="仿宋" w:hAnsi="仿宋" w:eastAsia="仿宋" w:cs="Times New Roman"/>
          <w:sz w:val="32"/>
          <w:szCs w:val="32"/>
        </w:rPr>
        <w:t>%；上级补助收入</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%；事业收入</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%；经营收入</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%；附属单位上缴收入</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%；其他收入</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三、支出决算情况说明</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2024年度支出合计</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万元，其中：基本支出</w:t>
      </w:r>
      <w:r>
        <w:rPr>
          <w:rFonts w:hint="eastAsia" w:ascii="仿宋" w:hAnsi="仿宋" w:eastAsia="仿宋" w:cs="Times New Roman"/>
          <w:sz w:val="32"/>
          <w:szCs w:val="32"/>
          <w:lang w:val="en-US" w:eastAsia="zh-CN"/>
        </w:rPr>
        <w:t>148.90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97.88</w:t>
      </w:r>
      <w:r>
        <w:rPr>
          <w:rFonts w:ascii="仿宋" w:hAnsi="仿宋" w:eastAsia="仿宋" w:cs="Times New Roman"/>
          <w:sz w:val="32"/>
          <w:szCs w:val="32"/>
        </w:rPr>
        <w:t>%；项目支出</w:t>
      </w:r>
      <w:r>
        <w:rPr>
          <w:rFonts w:hint="eastAsia" w:ascii="仿宋" w:hAnsi="仿宋" w:eastAsia="仿宋" w:cs="Times New Roman"/>
          <w:sz w:val="32"/>
          <w:szCs w:val="32"/>
          <w:lang w:val="en-US" w:eastAsia="zh-CN"/>
        </w:rPr>
        <w:t>3.23</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2.12</w:t>
      </w:r>
      <w:r>
        <w:rPr>
          <w:rFonts w:ascii="仿宋" w:hAnsi="仿宋" w:eastAsia="仿宋" w:cs="Times New Roman"/>
          <w:sz w:val="32"/>
          <w:szCs w:val="32"/>
        </w:rPr>
        <w:t>%；上缴上级支出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%；经营支出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%；对附属单位补助支出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2024年度财政拨款收、支总计</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万元，与上年相比减少</w:t>
      </w:r>
      <w:r>
        <w:rPr>
          <w:rFonts w:hint="eastAsia" w:ascii="仿宋" w:hAnsi="仿宋" w:eastAsia="仿宋" w:cs="Times New Roman"/>
          <w:sz w:val="32"/>
          <w:szCs w:val="32"/>
          <w:lang w:val="en-US" w:eastAsia="zh-CN"/>
        </w:rPr>
        <w:t>93.46</w:t>
      </w:r>
      <w:r>
        <w:rPr>
          <w:rFonts w:ascii="仿宋" w:hAnsi="仿宋" w:eastAsia="仿宋" w:cs="Times New Roman"/>
          <w:sz w:val="32"/>
          <w:szCs w:val="32"/>
        </w:rPr>
        <w:t>万元,降</w:t>
      </w:r>
      <w:r>
        <w:rPr>
          <w:rFonts w:hint="eastAsia" w:ascii="仿宋" w:hAnsi="仿宋" w:eastAsia="仿宋" w:cs="Times New Roman"/>
          <w:sz w:val="32"/>
          <w:szCs w:val="32"/>
          <w:lang w:val="en-US" w:eastAsia="zh-CN"/>
        </w:rPr>
        <w:t>低38.06</w:t>
      </w:r>
      <w:r>
        <w:rPr>
          <w:rFonts w:ascii="仿宋" w:hAnsi="仿宋" w:eastAsia="仿宋" w:cs="Times New Roman"/>
          <w:sz w:val="32"/>
          <w:szCs w:val="32"/>
        </w:rPr>
        <w:t>%，主要是因为</w:t>
      </w:r>
      <w:r>
        <w:rPr>
          <w:rFonts w:hint="eastAsia" w:ascii="仿宋" w:hAnsi="仿宋" w:eastAsia="仿宋" w:cs="Times New Roman"/>
          <w:sz w:val="32"/>
          <w:szCs w:val="32"/>
          <w:lang w:val="en-US" w:eastAsia="zh-CN"/>
        </w:rPr>
        <w:t>厉行节约，把有限的经费用在刀刃上。</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五、一般公共预算财政拨款支出决算情况说明</w:t>
      </w:r>
    </w:p>
    <w:p>
      <w:pPr>
        <w:pStyle w:val="12"/>
        <w:overflowPunct w:val="0"/>
        <w:autoSpaceDE/>
        <w:autoSpaceDN/>
        <w:spacing w:line="600" w:lineRule="exact"/>
        <w:ind w:firstLine="643" w:firstLineChars="200"/>
        <w:jc w:val="both"/>
        <w:rPr>
          <w:rFonts w:ascii="仿宋" w:hAnsi="仿宋" w:eastAsia="仿宋" w:cs="Times New Roman"/>
          <w:b/>
          <w:sz w:val="32"/>
          <w:szCs w:val="32"/>
        </w:rPr>
      </w:pPr>
      <w:r>
        <w:rPr>
          <w:rFonts w:ascii="仿宋" w:hAnsi="仿宋" w:eastAsia="仿宋"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万元，占本年支出合计的</w:t>
      </w:r>
      <w:r>
        <w:rPr>
          <w:rFonts w:hint="eastAsia" w:ascii="仿宋" w:hAnsi="仿宋" w:eastAsia="仿宋" w:cs="Times New Roman"/>
          <w:sz w:val="32"/>
          <w:szCs w:val="32"/>
          <w:lang w:val="en-US" w:eastAsia="zh-CN"/>
        </w:rPr>
        <w:t>100</w:t>
      </w:r>
      <w:r>
        <w:rPr>
          <w:rFonts w:ascii="仿宋" w:hAnsi="仿宋" w:eastAsia="仿宋" w:cs="Times New Roman"/>
          <w:sz w:val="32"/>
          <w:szCs w:val="32"/>
        </w:rPr>
        <w:t>%，与上年相比，财政拨款支出增加</w:t>
      </w:r>
      <w:r>
        <w:rPr>
          <w:rFonts w:hint="eastAsia" w:ascii="仿宋" w:hAnsi="仿宋" w:eastAsia="仿宋" w:cs="Times New Roman"/>
          <w:sz w:val="32"/>
          <w:szCs w:val="32"/>
          <w:lang w:val="en-US" w:eastAsia="zh-CN"/>
        </w:rPr>
        <w:t>34.3</w:t>
      </w:r>
      <w:r>
        <w:rPr>
          <w:rFonts w:ascii="仿宋" w:hAnsi="仿宋" w:eastAsia="仿宋" w:cs="Times New Roman"/>
          <w:sz w:val="32"/>
          <w:szCs w:val="32"/>
        </w:rPr>
        <w:t>万元，增长</w:t>
      </w:r>
      <w:r>
        <w:rPr>
          <w:rFonts w:hint="eastAsia" w:ascii="仿宋" w:hAnsi="仿宋" w:eastAsia="仿宋" w:cs="Times New Roman"/>
          <w:sz w:val="32"/>
          <w:szCs w:val="32"/>
          <w:lang w:val="en-US" w:eastAsia="zh-CN"/>
        </w:rPr>
        <w:t>29.11</w:t>
      </w:r>
      <w:r>
        <w:rPr>
          <w:rFonts w:ascii="仿宋" w:hAnsi="仿宋" w:eastAsia="仿宋" w:cs="Times New Roman"/>
          <w:sz w:val="32"/>
          <w:szCs w:val="32"/>
        </w:rPr>
        <w:t>%，主要是因为</w:t>
      </w:r>
      <w:r>
        <w:rPr>
          <w:rFonts w:hint="eastAsia" w:ascii="仿宋" w:hAnsi="仿宋" w:eastAsia="仿宋" w:cs="Times New Roman"/>
          <w:sz w:val="32"/>
          <w:szCs w:val="32"/>
          <w:lang w:val="en-US" w:eastAsia="zh-CN"/>
        </w:rPr>
        <w:t>工作任务加大，支出加大。</w:t>
      </w:r>
    </w:p>
    <w:p>
      <w:pPr>
        <w:pStyle w:val="12"/>
        <w:overflowPunct w:val="0"/>
        <w:autoSpaceDE/>
        <w:autoSpaceDN/>
        <w:spacing w:line="600" w:lineRule="exact"/>
        <w:ind w:firstLine="643" w:firstLineChars="200"/>
        <w:jc w:val="both"/>
        <w:rPr>
          <w:rFonts w:ascii="仿宋" w:hAnsi="仿宋" w:eastAsia="仿宋" w:cs="Times New Roman"/>
          <w:b/>
          <w:sz w:val="32"/>
          <w:szCs w:val="32"/>
        </w:rPr>
      </w:pPr>
      <w:r>
        <w:rPr>
          <w:rFonts w:ascii="仿宋" w:hAnsi="仿宋" w:eastAsia="仿宋"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万元，主要用于以下方面：</w:t>
      </w:r>
      <w:r>
        <w:rPr>
          <w:rFonts w:hint="eastAsia" w:ascii="仿宋" w:hAnsi="仿宋" w:eastAsia="仿宋" w:cs="Times New Roman"/>
          <w:sz w:val="32"/>
          <w:szCs w:val="32"/>
          <w:lang w:val="en-US" w:eastAsia="zh-CN"/>
        </w:rPr>
        <w:t>社会保障和就业支出</w:t>
      </w:r>
      <w:r>
        <w:rPr>
          <w:rFonts w:ascii="仿宋" w:hAnsi="仿宋" w:eastAsia="仿宋" w:cs="Times New Roman"/>
          <w:sz w:val="32"/>
          <w:szCs w:val="32"/>
        </w:rPr>
        <w:t>（类）支出</w:t>
      </w:r>
      <w:r>
        <w:rPr>
          <w:rFonts w:hint="eastAsia" w:ascii="仿宋" w:hAnsi="仿宋" w:eastAsia="仿宋" w:cs="Times New Roman"/>
          <w:sz w:val="32"/>
          <w:szCs w:val="32"/>
          <w:lang w:val="en-US" w:eastAsia="zh-CN"/>
        </w:rPr>
        <w:t>127.09</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83.55</w:t>
      </w:r>
      <w:r>
        <w:rPr>
          <w:rFonts w:ascii="仿宋" w:hAnsi="仿宋" w:eastAsia="仿宋" w:cs="Times New Roman"/>
          <w:sz w:val="32"/>
          <w:szCs w:val="32"/>
        </w:rPr>
        <w:t>%；</w:t>
      </w:r>
      <w:r>
        <w:rPr>
          <w:rFonts w:hint="eastAsia" w:ascii="仿宋" w:hAnsi="仿宋" w:eastAsia="仿宋" w:cs="Times New Roman"/>
          <w:sz w:val="32"/>
          <w:szCs w:val="32"/>
          <w:lang w:val="en-US" w:eastAsia="zh-CN"/>
        </w:rPr>
        <w:t>卫生健康支出</w:t>
      </w:r>
      <w:r>
        <w:rPr>
          <w:rFonts w:ascii="仿宋" w:hAnsi="仿宋" w:eastAsia="仿宋" w:cs="Times New Roman"/>
          <w:sz w:val="32"/>
          <w:szCs w:val="32"/>
        </w:rPr>
        <w:t>（类）支出</w:t>
      </w:r>
      <w:r>
        <w:rPr>
          <w:rFonts w:hint="eastAsia" w:ascii="仿宋" w:hAnsi="仿宋" w:eastAsia="仿宋" w:cs="Times New Roman"/>
          <w:sz w:val="32"/>
          <w:szCs w:val="32"/>
          <w:lang w:val="en-US" w:eastAsia="zh-CN"/>
        </w:rPr>
        <w:t>13.95</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9.17</w:t>
      </w:r>
      <w:r>
        <w:rPr>
          <w:rFonts w:ascii="仿宋" w:hAnsi="仿宋" w:eastAsia="仿宋" w:cs="Times New Roman"/>
          <w:sz w:val="32"/>
          <w:szCs w:val="32"/>
        </w:rPr>
        <w:t>%;</w:t>
      </w:r>
      <w:r>
        <w:rPr>
          <w:rFonts w:hint="eastAsia" w:ascii="仿宋" w:hAnsi="仿宋" w:eastAsia="仿宋" w:cs="Times New Roman"/>
          <w:sz w:val="32"/>
          <w:szCs w:val="32"/>
          <w:lang w:val="en-US" w:eastAsia="zh-CN"/>
        </w:rPr>
        <w:t>住房保障支出</w:t>
      </w:r>
      <w:r>
        <w:rPr>
          <w:rFonts w:ascii="仿宋" w:hAnsi="仿宋" w:eastAsia="仿宋" w:cs="Times New Roman"/>
          <w:sz w:val="32"/>
          <w:szCs w:val="32"/>
        </w:rPr>
        <w:t>（类）支出</w:t>
      </w:r>
      <w:r>
        <w:rPr>
          <w:rFonts w:hint="eastAsia" w:ascii="仿宋" w:hAnsi="仿宋" w:eastAsia="仿宋" w:cs="Times New Roman"/>
          <w:sz w:val="32"/>
          <w:szCs w:val="32"/>
          <w:lang w:val="en-US" w:eastAsia="zh-CN"/>
        </w:rPr>
        <w:t>11.08</w:t>
      </w:r>
      <w:r>
        <w:rPr>
          <w:rFonts w:ascii="仿宋" w:hAnsi="仿宋" w:eastAsia="仿宋" w:cs="Times New Roman"/>
          <w:sz w:val="32"/>
          <w:szCs w:val="32"/>
        </w:rPr>
        <w:t>万元，占</w:t>
      </w:r>
      <w:r>
        <w:rPr>
          <w:rFonts w:hint="eastAsia" w:ascii="仿宋" w:hAnsi="仿宋" w:eastAsia="仿宋" w:cs="Times New Roman"/>
          <w:sz w:val="32"/>
          <w:szCs w:val="32"/>
          <w:lang w:val="en-US" w:eastAsia="zh-CN"/>
        </w:rPr>
        <w:t>7.28</w:t>
      </w:r>
      <w:r>
        <w:rPr>
          <w:rFonts w:ascii="仿宋" w:hAnsi="仿宋" w:eastAsia="仿宋" w:cs="Times New Roman"/>
          <w:sz w:val="32"/>
          <w:szCs w:val="32"/>
        </w:rPr>
        <w:t>%;</w:t>
      </w:r>
    </w:p>
    <w:p>
      <w:pPr>
        <w:pStyle w:val="12"/>
        <w:overflowPunct w:val="0"/>
        <w:autoSpaceDE/>
        <w:autoSpaceDN/>
        <w:spacing w:line="600" w:lineRule="exact"/>
        <w:ind w:firstLine="643" w:firstLineChars="200"/>
        <w:jc w:val="both"/>
        <w:rPr>
          <w:rFonts w:ascii="仿宋" w:hAnsi="仿宋" w:eastAsia="仿宋" w:cs="Times New Roman"/>
          <w:b/>
          <w:sz w:val="32"/>
          <w:szCs w:val="32"/>
        </w:rPr>
      </w:pPr>
      <w:r>
        <w:rPr>
          <w:rFonts w:ascii="仿宋" w:hAnsi="仿宋" w:eastAsia="仿宋"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2024年度财政拨款支出年初预算数为</w:t>
      </w:r>
      <w:r>
        <w:rPr>
          <w:rFonts w:hint="eastAsia" w:ascii="仿宋" w:hAnsi="仿宋" w:eastAsia="仿宋" w:cs="Times New Roman"/>
          <w:sz w:val="32"/>
          <w:szCs w:val="32"/>
          <w:lang w:val="en-US" w:eastAsia="zh-CN"/>
        </w:rPr>
        <w:t>117.38</w:t>
      </w:r>
      <w:r>
        <w:rPr>
          <w:rFonts w:ascii="仿宋" w:hAnsi="仿宋" w:eastAsia="仿宋" w:cs="Times New Roman"/>
          <w:sz w:val="32"/>
          <w:szCs w:val="32"/>
        </w:rPr>
        <w:t>万元，支出决算数为</w:t>
      </w:r>
      <w:r>
        <w:rPr>
          <w:rFonts w:hint="eastAsia" w:ascii="仿宋" w:hAnsi="仿宋" w:eastAsia="仿宋" w:cs="Times New Roman"/>
          <w:sz w:val="32"/>
          <w:szCs w:val="32"/>
          <w:lang w:val="en-US" w:eastAsia="zh-CN"/>
        </w:rPr>
        <w:t>152.12</w:t>
      </w:r>
      <w:r>
        <w:rPr>
          <w:rFonts w:ascii="仿宋" w:hAnsi="仿宋" w:eastAsia="仿宋" w:cs="Times New Roman"/>
          <w:sz w:val="32"/>
          <w:szCs w:val="32"/>
        </w:rPr>
        <w:t>万元，完成年初预算的</w:t>
      </w:r>
      <w:r>
        <w:rPr>
          <w:rFonts w:hint="eastAsia" w:ascii="仿宋" w:hAnsi="仿宋" w:eastAsia="仿宋" w:cs="Times New Roman"/>
          <w:sz w:val="32"/>
          <w:szCs w:val="32"/>
          <w:lang w:val="en-US" w:eastAsia="zh-CN"/>
        </w:rPr>
        <w:t>129.60</w:t>
      </w:r>
      <w:r>
        <w:rPr>
          <w:rFonts w:ascii="仿宋" w:hAnsi="仿宋" w:eastAsia="仿宋" w:cs="Times New Roman"/>
          <w:sz w:val="32"/>
          <w:szCs w:val="32"/>
        </w:rPr>
        <w:t>%，其中：</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lang w:val="en-US" w:eastAsia="zh-CN"/>
        </w:rPr>
        <w:t>社会保障和就业支出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行政事业单位养老支出</w:t>
      </w:r>
      <w:r>
        <w:rPr>
          <w:rFonts w:ascii="仿宋" w:hAnsi="仿宋" w:eastAsia="仿宋" w:cs="Times New Roman"/>
          <w:sz w:val="32"/>
          <w:szCs w:val="32"/>
        </w:rPr>
        <w:t>（款）</w:t>
      </w:r>
      <w:r>
        <w:rPr>
          <w:rFonts w:hint="eastAsia" w:ascii="仿宋" w:hAnsi="仿宋" w:eastAsia="仿宋" w:cs="Times New Roman"/>
          <w:sz w:val="32"/>
          <w:szCs w:val="32"/>
          <w:lang w:val="en-US" w:eastAsia="zh-CN"/>
        </w:rPr>
        <w:t>机关事业单位基本养老保险缴费支出</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hint="default" w:ascii="仿宋" w:hAnsi="仿宋" w:eastAsia="仿宋" w:cs="Times New Roman"/>
          <w:sz w:val="32"/>
          <w:szCs w:val="32"/>
          <w:lang w:val="en-US" w:eastAsia="zh-CN"/>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11.22</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14.17</w:t>
      </w:r>
      <w:r>
        <w:rPr>
          <w:rFonts w:ascii="仿宋" w:hAnsi="仿宋" w:eastAsia="仿宋" w:cs="Times New Roman"/>
          <w:sz w:val="32"/>
          <w:szCs w:val="32"/>
        </w:rPr>
        <w:t>万元，完成年初预算的</w:t>
      </w:r>
      <w:r>
        <w:rPr>
          <w:rFonts w:hint="eastAsia" w:ascii="仿宋" w:hAnsi="仿宋" w:eastAsia="仿宋" w:cs="Times New Roman"/>
          <w:sz w:val="32"/>
          <w:szCs w:val="32"/>
          <w:lang w:val="en-US" w:eastAsia="zh-CN"/>
        </w:rPr>
        <w:t>126.29</w:t>
      </w:r>
      <w:r>
        <w:rPr>
          <w:rFonts w:ascii="仿宋" w:hAnsi="仿宋" w:eastAsia="仿宋" w:cs="Times New Roman"/>
          <w:sz w:val="32"/>
          <w:szCs w:val="32"/>
        </w:rPr>
        <w:t>%，决算数大于年初预算数的主要原因是</w:t>
      </w:r>
      <w:r>
        <w:rPr>
          <w:rFonts w:hint="eastAsia" w:ascii="仿宋" w:hAnsi="仿宋" w:eastAsia="仿宋" w:cs="Times New Roman"/>
          <w:sz w:val="32"/>
          <w:szCs w:val="32"/>
          <w:lang w:val="en-US" w:eastAsia="zh-CN"/>
        </w:rPr>
        <w:t>人员增加。</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lang w:val="en-US" w:eastAsia="zh-CN"/>
        </w:rPr>
        <w:t>2</w:t>
      </w:r>
      <w:r>
        <w:rPr>
          <w:rFonts w:ascii="仿宋" w:hAnsi="仿宋" w:eastAsia="仿宋" w:cs="Times New Roman"/>
          <w:sz w:val="32"/>
          <w:szCs w:val="32"/>
        </w:rPr>
        <w:t>、</w:t>
      </w:r>
      <w:r>
        <w:rPr>
          <w:rFonts w:hint="eastAsia" w:ascii="仿宋" w:hAnsi="仿宋" w:eastAsia="仿宋" w:cs="Times New Roman"/>
          <w:sz w:val="32"/>
          <w:szCs w:val="32"/>
          <w:lang w:val="en-US" w:eastAsia="zh-CN"/>
        </w:rPr>
        <w:t>社会保障和就业支出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行政事业单位养老支出</w:t>
      </w:r>
      <w:r>
        <w:rPr>
          <w:rFonts w:ascii="仿宋" w:hAnsi="仿宋" w:eastAsia="仿宋" w:cs="Times New Roman"/>
          <w:sz w:val="32"/>
          <w:szCs w:val="32"/>
        </w:rPr>
        <w:t>（款）</w:t>
      </w:r>
      <w:r>
        <w:rPr>
          <w:rFonts w:hint="eastAsia" w:ascii="仿宋" w:hAnsi="仿宋" w:eastAsia="仿宋" w:cs="Times New Roman"/>
          <w:sz w:val="32"/>
          <w:szCs w:val="32"/>
          <w:lang w:val="en-US" w:eastAsia="zh-CN"/>
        </w:rPr>
        <w:t>机关事业单位职业年金缴费支出</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6.52</w:t>
      </w:r>
      <w:r>
        <w:rPr>
          <w:rFonts w:ascii="仿宋" w:hAnsi="仿宋" w:eastAsia="仿宋" w:cs="Times New Roman"/>
          <w:sz w:val="32"/>
          <w:szCs w:val="32"/>
        </w:rPr>
        <w:t>万元，</w:t>
      </w:r>
      <w:r>
        <w:rPr>
          <w:rFonts w:hint="eastAsia" w:ascii="仿宋" w:hAnsi="仿宋" w:eastAsia="仿宋" w:cs="Times New Roman"/>
          <w:sz w:val="32"/>
          <w:szCs w:val="32"/>
          <w:lang w:val="en-US" w:eastAsia="zh-CN"/>
        </w:rPr>
        <w:t>由于年初预算为0元</w:t>
      </w:r>
      <w:r>
        <w:rPr>
          <w:rFonts w:ascii="仿宋" w:hAnsi="仿宋" w:eastAsia="仿宋" w:cs="Times New Roman"/>
          <w:sz w:val="32"/>
          <w:szCs w:val="32"/>
        </w:rPr>
        <w:t>，</w:t>
      </w:r>
      <w:r>
        <w:rPr>
          <w:rFonts w:hint="eastAsia" w:ascii="仿宋" w:hAnsi="仿宋" w:eastAsia="仿宋" w:cs="Times New Roman"/>
          <w:sz w:val="32"/>
          <w:szCs w:val="32"/>
          <w:lang w:val="en-US" w:eastAsia="zh-CN"/>
        </w:rPr>
        <w:t>无法计算完成比率，</w:t>
      </w:r>
      <w:r>
        <w:rPr>
          <w:rFonts w:ascii="仿宋" w:hAnsi="仿宋" w:eastAsia="仿宋" w:cs="Times New Roman"/>
          <w:sz w:val="32"/>
          <w:szCs w:val="32"/>
        </w:rPr>
        <w:t>决算数大于年初预算数的主要原因是</w:t>
      </w:r>
      <w:r>
        <w:rPr>
          <w:rFonts w:hint="eastAsia" w:ascii="仿宋" w:hAnsi="仿宋" w:eastAsia="仿宋" w:cs="Times New Roman"/>
          <w:sz w:val="32"/>
          <w:szCs w:val="32"/>
          <w:lang w:val="en-US" w:eastAsia="zh-CN"/>
        </w:rPr>
        <w:t>年初没有预算。</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lang w:val="en-US" w:eastAsia="zh-CN"/>
        </w:rPr>
        <w:t>3</w:t>
      </w:r>
      <w:r>
        <w:rPr>
          <w:rFonts w:ascii="仿宋" w:hAnsi="仿宋" w:eastAsia="仿宋" w:cs="Times New Roman"/>
          <w:sz w:val="32"/>
          <w:szCs w:val="32"/>
        </w:rPr>
        <w:t>、</w:t>
      </w:r>
      <w:r>
        <w:rPr>
          <w:rFonts w:hint="eastAsia" w:ascii="仿宋" w:hAnsi="仿宋" w:eastAsia="仿宋" w:cs="Times New Roman"/>
          <w:sz w:val="32"/>
          <w:szCs w:val="32"/>
          <w:lang w:val="en-US" w:eastAsia="zh-CN"/>
        </w:rPr>
        <w:t>社会保障和就业支出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红十字事业支出</w:t>
      </w:r>
      <w:r>
        <w:rPr>
          <w:rFonts w:ascii="仿宋" w:hAnsi="仿宋" w:eastAsia="仿宋" w:cs="Times New Roman"/>
          <w:sz w:val="32"/>
          <w:szCs w:val="32"/>
        </w:rPr>
        <w:t>（款）</w:t>
      </w:r>
      <w:r>
        <w:rPr>
          <w:rFonts w:hint="eastAsia" w:ascii="仿宋" w:hAnsi="仿宋" w:eastAsia="仿宋" w:cs="Times New Roman"/>
          <w:sz w:val="32"/>
          <w:szCs w:val="32"/>
          <w:lang w:val="en-US" w:eastAsia="zh-CN"/>
        </w:rPr>
        <w:t>行政运行</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hint="default" w:ascii="仿宋" w:hAnsi="仿宋" w:eastAsia="仿宋" w:cs="Times New Roman"/>
          <w:sz w:val="32"/>
          <w:szCs w:val="32"/>
          <w:lang w:val="en-US" w:eastAsia="zh-CN"/>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89.88</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103.18</w:t>
      </w:r>
      <w:r>
        <w:rPr>
          <w:rFonts w:ascii="仿宋" w:hAnsi="仿宋" w:eastAsia="仿宋" w:cs="Times New Roman"/>
          <w:sz w:val="32"/>
          <w:szCs w:val="32"/>
        </w:rPr>
        <w:t>万元，完成年初预算的XX%，决算数大于年初预算数的主要原因是</w:t>
      </w:r>
      <w:r>
        <w:rPr>
          <w:rFonts w:hint="eastAsia" w:ascii="仿宋" w:hAnsi="仿宋" w:eastAsia="仿宋" w:cs="Times New Roman"/>
          <w:sz w:val="32"/>
          <w:szCs w:val="32"/>
          <w:lang w:val="en-US" w:eastAsia="zh-CN"/>
        </w:rPr>
        <w:t>工作任务加大，支出加大。</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lang w:val="en-US" w:eastAsia="zh-CN"/>
        </w:rPr>
        <w:t>4</w:t>
      </w:r>
      <w:r>
        <w:rPr>
          <w:rFonts w:ascii="仿宋" w:hAnsi="仿宋" w:eastAsia="仿宋" w:cs="Times New Roman"/>
          <w:sz w:val="32"/>
          <w:szCs w:val="32"/>
        </w:rPr>
        <w:t>、</w:t>
      </w:r>
      <w:r>
        <w:rPr>
          <w:rFonts w:hint="eastAsia" w:ascii="仿宋" w:hAnsi="仿宋" w:eastAsia="仿宋" w:cs="Times New Roman"/>
          <w:sz w:val="32"/>
          <w:szCs w:val="32"/>
          <w:lang w:val="en-US" w:eastAsia="zh-CN"/>
        </w:rPr>
        <w:t>社会保障和就业支出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事业支出</w:t>
      </w:r>
      <w:r>
        <w:rPr>
          <w:rFonts w:ascii="仿宋" w:hAnsi="仿宋" w:eastAsia="仿宋" w:cs="Times New Roman"/>
          <w:sz w:val="32"/>
          <w:szCs w:val="32"/>
        </w:rPr>
        <w:t>（款）</w:t>
      </w:r>
      <w:r>
        <w:rPr>
          <w:rFonts w:hint="eastAsia" w:ascii="仿宋" w:hAnsi="仿宋" w:eastAsia="仿宋" w:cs="Times New Roman"/>
          <w:sz w:val="32"/>
          <w:szCs w:val="32"/>
          <w:lang w:val="en-US" w:eastAsia="zh-CN"/>
        </w:rPr>
        <w:t>一般行政管理事务</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3.23</w:t>
      </w:r>
      <w:r>
        <w:rPr>
          <w:rFonts w:ascii="仿宋" w:hAnsi="仿宋" w:eastAsia="仿宋" w:cs="Times New Roman"/>
          <w:sz w:val="32"/>
          <w:szCs w:val="32"/>
        </w:rPr>
        <w:t>万元，</w:t>
      </w:r>
      <w:r>
        <w:rPr>
          <w:rFonts w:hint="eastAsia" w:ascii="仿宋" w:hAnsi="仿宋" w:eastAsia="仿宋" w:cs="Times New Roman"/>
          <w:sz w:val="32"/>
          <w:szCs w:val="32"/>
          <w:lang w:val="en-US" w:eastAsia="zh-CN"/>
        </w:rPr>
        <w:t>由于年初预算为0元</w:t>
      </w:r>
      <w:r>
        <w:rPr>
          <w:rFonts w:ascii="仿宋" w:hAnsi="仿宋" w:eastAsia="仿宋" w:cs="Times New Roman"/>
          <w:sz w:val="32"/>
          <w:szCs w:val="32"/>
        </w:rPr>
        <w:t>，</w:t>
      </w:r>
      <w:r>
        <w:rPr>
          <w:rFonts w:hint="eastAsia" w:ascii="仿宋" w:hAnsi="仿宋" w:eastAsia="仿宋" w:cs="Times New Roman"/>
          <w:sz w:val="32"/>
          <w:szCs w:val="32"/>
          <w:lang w:val="en-US" w:eastAsia="zh-CN"/>
        </w:rPr>
        <w:t>无法计算完成比率，</w:t>
      </w:r>
      <w:r>
        <w:rPr>
          <w:rFonts w:ascii="仿宋" w:hAnsi="仿宋" w:eastAsia="仿宋" w:cs="Times New Roman"/>
          <w:sz w:val="32"/>
          <w:szCs w:val="32"/>
        </w:rPr>
        <w:t>决算数大于年初预算数的主要原因是</w:t>
      </w:r>
      <w:r>
        <w:rPr>
          <w:rFonts w:hint="eastAsia" w:ascii="仿宋" w:hAnsi="仿宋" w:eastAsia="仿宋" w:cs="Times New Roman"/>
          <w:sz w:val="32"/>
          <w:szCs w:val="32"/>
          <w:lang w:val="en-US" w:eastAsia="zh-CN"/>
        </w:rPr>
        <w:t>年初没有预算。</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lang w:val="en-US" w:eastAsia="zh-CN"/>
        </w:rPr>
        <w:t>5</w:t>
      </w:r>
      <w:r>
        <w:rPr>
          <w:rFonts w:ascii="仿宋" w:hAnsi="仿宋" w:eastAsia="仿宋" w:cs="Times New Roman"/>
          <w:sz w:val="32"/>
          <w:szCs w:val="32"/>
        </w:rPr>
        <w:t>、</w:t>
      </w:r>
      <w:r>
        <w:rPr>
          <w:rFonts w:hint="eastAsia" w:ascii="仿宋" w:hAnsi="仿宋" w:eastAsia="仿宋" w:cs="Times New Roman"/>
          <w:sz w:val="32"/>
          <w:szCs w:val="32"/>
          <w:lang w:val="en-US" w:eastAsia="zh-CN"/>
        </w:rPr>
        <w:t>卫生健康支出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行政事业单位医疗</w:t>
      </w:r>
      <w:r>
        <w:rPr>
          <w:rFonts w:ascii="仿宋" w:hAnsi="仿宋" w:eastAsia="仿宋" w:cs="Times New Roman"/>
          <w:sz w:val="32"/>
          <w:szCs w:val="32"/>
        </w:rPr>
        <w:t>（款）</w:t>
      </w:r>
      <w:r>
        <w:rPr>
          <w:rFonts w:hint="eastAsia" w:ascii="仿宋" w:hAnsi="仿宋" w:eastAsia="仿宋" w:cs="Times New Roman"/>
          <w:sz w:val="32"/>
          <w:szCs w:val="32"/>
          <w:lang w:val="en-US" w:eastAsia="zh-CN"/>
        </w:rPr>
        <w:t>行政单位医疗</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hint="default" w:ascii="仿宋" w:hAnsi="仿宋" w:eastAsia="仿宋" w:cs="Times New Roman"/>
          <w:sz w:val="32"/>
          <w:szCs w:val="32"/>
          <w:lang w:val="en-US" w:eastAsia="zh-CN"/>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5.28</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6.66</w:t>
      </w:r>
      <w:r>
        <w:rPr>
          <w:rFonts w:ascii="仿宋" w:hAnsi="仿宋" w:eastAsia="仿宋" w:cs="Times New Roman"/>
          <w:sz w:val="32"/>
          <w:szCs w:val="32"/>
        </w:rPr>
        <w:t>万元，完成年初预算的</w:t>
      </w:r>
      <w:r>
        <w:rPr>
          <w:rFonts w:hint="eastAsia" w:ascii="仿宋" w:hAnsi="仿宋" w:eastAsia="仿宋" w:cs="Times New Roman"/>
          <w:sz w:val="32"/>
          <w:szCs w:val="32"/>
          <w:lang w:val="en-US" w:eastAsia="zh-CN"/>
        </w:rPr>
        <w:t>126.14</w:t>
      </w:r>
      <w:r>
        <w:rPr>
          <w:rFonts w:ascii="仿宋" w:hAnsi="仿宋" w:eastAsia="仿宋" w:cs="Times New Roman"/>
          <w:sz w:val="32"/>
          <w:szCs w:val="32"/>
        </w:rPr>
        <w:t>%，决算数大于年初预算数的主要原因是</w:t>
      </w:r>
      <w:r>
        <w:rPr>
          <w:rFonts w:hint="eastAsia" w:ascii="仿宋" w:hAnsi="仿宋" w:eastAsia="仿宋" w:cs="Times New Roman"/>
          <w:sz w:val="32"/>
          <w:szCs w:val="32"/>
          <w:lang w:val="en-US" w:eastAsia="zh-CN"/>
        </w:rPr>
        <w:t>人员增加。</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lang w:val="en-US" w:eastAsia="zh-CN"/>
        </w:rPr>
        <w:t>6</w:t>
      </w:r>
      <w:r>
        <w:rPr>
          <w:rFonts w:ascii="仿宋" w:hAnsi="仿宋" w:eastAsia="仿宋" w:cs="Times New Roman"/>
          <w:sz w:val="32"/>
          <w:szCs w:val="32"/>
        </w:rPr>
        <w:t>、</w:t>
      </w:r>
      <w:r>
        <w:rPr>
          <w:rFonts w:hint="eastAsia" w:ascii="仿宋" w:hAnsi="仿宋" w:eastAsia="仿宋" w:cs="Times New Roman"/>
          <w:sz w:val="32"/>
          <w:szCs w:val="32"/>
          <w:lang w:val="en-US" w:eastAsia="zh-CN"/>
        </w:rPr>
        <w:t>卫生健康支出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行政事业单位医疗</w:t>
      </w:r>
      <w:r>
        <w:rPr>
          <w:rFonts w:ascii="仿宋" w:hAnsi="仿宋" w:eastAsia="仿宋" w:cs="Times New Roman"/>
          <w:sz w:val="32"/>
          <w:szCs w:val="32"/>
        </w:rPr>
        <w:t>（款）</w:t>
      </w:r>
      <w:r>
        <w:rPr>
          <w:rFonts w:hint="eastAsia" w:ascii="仿宋" w:hAnsi="仿宋" w:eastAsia="仿宋" w:cs="Times New Roman"/>
          <w:sz w:val="32"/>
          <w:szCs w:val="32"/>
          <w:lang w:val="en-US" w:eastAsia="zh-CN"/>
        </w:rPr>
        <w:t>事业单位医疗</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6.94</w:t>
      </w:r>
      <w:r>
        <w:rPr>
          <w:rFonts w:ascii="仿宋" w:hAnsi="仿宋" w:eastAsia="仿宋" w:cs="Times New Roman"/>
          <w:sz w:val="32"/>
          <w:szCs w:val="32"/>
        </w:rPr>
        <w:t>万元，</w:t>
      </w:r>
      <w:r>
        <w:rPr>
          <w:rFonts w:hint="eastAsia" w:ascii="仿宋" w:hAnsi="仿宋" w:eastAsia="仿宋" w:cs="Times New Roman"/>
          <w:sz w:val="32"/>
          <w:szCs w:val="32"/>
          <w:lang w:val="en-US" w:eastAsia="zh-CN"/>
        </w:rPr>
        <w:t>由于年初预算为0元</w:t>
      </w:r>
      <w:r>
        <w:rPr>
          <w:rFonts w:ascii="仿宋" w:hAnsi="仿宋" w:eastAsia="仿宋" w:cs="Times New Roman"/>
          <w:sz w:val="32"/>
          <w:szCs w:val="32"/>
        </w:rPr>
        <w:t>，</w:t>
      </w:r>
      <w:r>
        <w:rPr>
          <w:rFonts w:hint="eastAsia" w:ascii="仿宋" w:hAnsi="仿宋" w:eastAsia="仿宋" w:cs="Times New Roman"/>
          <w:sz w:val="32"/>
          <w:szCs w:val="32"/>
          <w:lang w:val="en-US" w:eastAsia="zh-CN"/>
        </w:rPr>
        <w:t>无法计算完成比率，</w:t>
      </w:r>
      <w:r>
        <w:rPr>
          <w:rFonts w:ascii="仿宋" w:hAnsi="仿宋" w:eastAsia="仿宋" w:cs="Times New Roman"/>
          <w:sz w:val="32"/>
          <w:szCs w:val="32"/>
        </w:rPr>
        <w:t>决算数大于年初预算数的主要原因是</w:t>
      </w:r>
      <w:r>
        <w:rPr>
          <w:rFonts w:hint="eastAsia" w:ascii="仿宋" w:hAnsi="仿宋" w:eastAsia="仿宋" w:cs="Times New Roman"/>
          <w:sz w:val="32"/>
          <w:szCs w:val="32"/>
          <w:lang w:val="en-US" w:eastAsia="zh-CN"/>
        </w:rPr>
        <w:t>年初没有预算。</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lang w:val="en-US" w:eastAsia="zh-CN"/>
        </w:rPr>
        <w:t>7</w:t>
      </w:r>
      <w:r>
        <w:rPr>
          <w:rFonts w:ascii="仿宋" w:hAnsi="仿宋" w:eastAsia="仿宋" w:cs="Times New Roman"/>
          <w:sz w:val="32"/>
          <w:szCs w:val="32"/>
        </w:rPr>
        <w:t>、</w:t>
      </w:r>
      <w:r>
        <w:rPr>
          <w:rFonts w:hint="eastAsia" w:ascii="仿宋" w:hAnsi="仿宋" w:eastAsia="仿宋" w:cs="Times New Roman"/>
          <w:sz w:val="32"/>
          <w:szCs w:val="32"/>
          <w:lang w:val="en-US" w:eastAsia="zh-CN"/>
        </w:rPr>
        <w:t>卫生健康支出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行政事业单位医疗</w:t>
      </w:r>
      <w:r>
        <w:rPr>
          <w:rFonts w:ascii="仿宋" w:hAnsi="仿宋" w:eastAsia="仿宋" w:cs="Times New Roman"/>
          <w:sz w:val="32"/>
          <w:szCs w:val="32"/>
        </w:rPr>
        <w:t>（款）</w:t>
      </w:r>
      <w:r>
        <w:rPr>
          <w:rFonts w:hint="eastAsia" w:ascii="仿宋" w:hAnsi="仿宋" w:eastAsia="仿宋" w:cs="Times New Roman"/>
          <w:sz w:val="32"/>
          <w:szCs w:val="32"/>
          <w:lang w:val="en-US" w:eastAsia="zh-CN"/>
        </w:rPr>
        <w:t>其他行政事业单位医疗支出</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0.34</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0.34</w:t>
      </w:r>
      <w:r>
        <w:rPr>
          <w:rFonts w:ascii="仿宋" w:hAnsi="仿宋" w:eastAsia="仿宋" w:cs="Times New Roman"/>
          <w:sz w:val="32"/>
          <w:szCs w:val="32"/>
        </w:rPr>
        <w:t>万元，完成年初预算的</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lang w:val="en-US" w:eastAsia="zh-CN"/>
        </w:rPr>
        <w:t>8</w:t>
      </w:r>
      <w:r>
        <w:rPr>
          <w:rFonts w:ascii="仿宋" w:hAnsi="仿宋" w:eastAsia="仿宋" w:cs="Times New Roman"/>
          <w:sz w:val="32"/>
          <w:szCs w:val="32"/>
        </w:rPr>
        <w:t>、</w:t>
      </w:r>
      <w:r>
        <w:rPr>
          <w:rFonts w:hint="eastAsia" w:ascii="仿宋" w:hAnsi="仿宋" w:eastAsia="仿宋" w:cs="Times New Roman"/>
          <w:sz w:val="32"/>
          <w:szCs w:val="32"/>
          <w:lang w:val="en-US" w:eastAsia="zh-CN"/>
        </w:rPr>
        <w:t>住房保障支出</w:t>
      </w:r>
      <w:r>
        <w:rPr>
          <w:rFonts w:ascii="仿宋" w:hAnsi="仿宋" w:eastAsia="仿宋" w:cs="Times New Roman"/>
          <w:sz w:val="32"/>
          <w:szCs w:val="32"/>
        </w:rPr>
        <w:t>（类）</w:t>
      </w:r>
      <w:r>
        <w:rPr>
          <w:rFonts w:hint="eastAsia" w:ascii="仿宋" w:hAnsi="仿宋" w:eastAsia="仿宋" w:cs="Times New Roman"/>
          <w:sz w:val="32"/>
          <w:szCs w:val="32"/>
          <w:lang w:val="en-US" w:eastAsia="zh-CN"/>
        </w:rPr>
        <w:t>住房改革支出</w:t>
      </w:r>
      <w:r>
        <w:rPr>
          <w:rFonts w:ascii="仿宋" w:hAnsi="仿宋" w:eastAsia="仿宋" w:cs="Times New Roman"/>
          <w:sz w:val="32"/>
          <w:szCs w:val="32"/>
        </w:rPr>
        <w:t>（款）</w:t>
      </w:r>
      <w:r>
        <w:rPr>
          <w:rFonts w:hint="eastAsia" w:ascii="仿宋" w:hAnsi="仿宋" w:eastAsia="仿宋" w:cs="Times New Roman"/>
          <w:sz w:val="32"/>
          <w:szCs w:val="32"/>
          <w:lang w:val="en-US" w:eastAsia="zh-CN"/>
        </w:rPr>
        <w:t>住房公积金</w:t>
      </w:r>
      <w:r>
        <w:rPr>
          <w:rFonts w:ascii="仿宋" w:hAnsi="仿宋" w:eastAsia="仿宋" w:cs="Times New Roman"/>
          <w:sz w:val="32"/>
          <w:szCs w:val="32"/>
        </w:rPr>
        <w:t>（项）。</w:t>
      </w:r>
    </w:p>
    <w:p>
      <w:pPr>
        <w:pStyle w:val="12"/>
        <w:overflowPunct w:val="0"/>
        <w:autoSpaceDE/>
        <w:autoSpaceDN/>
        <w:spacing w:line="600" w:lineRule="exact"/>
        <w:ind w:firstLine="640" w:firstLineChars="200"/>
        <w:jc w:val="both"/>
        <w:rPr>
          <w:rFonts w:hint="default" w:ascii="仿宋" w:hAnsi="仿宋" w:eastAsia="仿宋" w:cs="Times New Roman"/>
          <w:sz w:val="32"/>
          <w:szCs w:val="32"/>
          <w:lang w:val="en-US" w:eastAsia="zh-CN"/>
        </w:rPr>
      </w:pPr>
      <w:r>
        <w:rPr>
          <w:rFonts w:ascii="仿宋" w:hAnsi="仿宋" w:eastAsia="仿宋" w:cs="Times New Roman"/>
          <w:sz w:val="32"/>
          <w:szCs w:val="32"/>
        </w:rPr>
        <w:t>年初预算为</w:t>
      </w:r>
      <w:r>
        <w:rPr>
          <w:rFonts w:hint="eastAsia" w:ascii="仿宋" w:hAnsi="仿宋" w:eastAsia="仿宋" w:cs="Times New Roman"/>
          <w:sz w:val="32"/>
          <w:szCs w:val="32"/>
          <w:lang w:val="en-US" w:eastAsia="zh-CN"/>
        </w:rPr>
        <w:t>8.78</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11.08</w:t>
      </w:r>
      <w:r>
        <w:rPr>
          <w:rFonts w:ascii="仿宋" w:hAnsi="仿宋" w:eastAsia="仿宋" w:cs="Times New Roman"/>
          <w:sz w:val="32"/>
          <w:szCs w:val="32"/>
        </w:rPr>
        <w:t>万元，完成年初预算的</w:t>
      </w:r>
      <w:r>
        <w:rPr>
          <w:rFonts w:hint="eastAsia" w:ascii="仿宋" w:hAnsi="仿宋" w:eastAsia="仿宋" w:cs="Times New Roman"/>
          <w:sz w:val="32"/>
          <w:szCs w:val="32"/>
          <w:lang w:val="en-US" w:eastAsia="zh-CN"/>
        </w:rPr>
        <w:t>126.20</w:t>
      </w:r>
      <w:r>
        <w:rPr>
          <w:rFonts w:ascii="仿宋" w:hAnsi="仿宋" w:eastAsia="仿宋" w:cs="Times New Roman"/>
          <w:sz w:val="32"/>
          <w:szCs w:val="32"/>
        </w:rPr>
        <w:t>%，决算数大于年初预算数的主要原因</w:t>
      </w:r>
      <w:r>
        <w:rPr>
          <w:rFonts w:hint="eastAsia" w:ascii="仿宋" w:hAnsi="仿宋" w:eastAsia="仿宋" w:cs="Times New Roman"/>
          <w:sz w:val="32"/>
          <w:szCs w:val="32"/>
          <w:lang w:val="en-US" w:eastAsia="zh-CN"/>
        </w:rPr>
        <w:t>是人员增加。</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2024年度一般公共预算财政拨款基本支出</w:t>
      </w:r>
      <w:r>
        <w:rPr>
          <w:rFonts w:hint="eastAsia" w:ascii="仿宋" w:hAnsi="仿宋" w:eastAsia="仿宋" w:cs="Times New Roman"/>
          <w:sz w:val="32"/>
          <w:szCs w:val="32"/>
          <w:lang w:val="en-US" w:eastAsia="zh-CN"/>
        </w:rPr>
        <w:t>148.89</w:t>
      </w:r>
      <w:r>
        <w:rPr>
          <w:rFonts w:ascii="仿宋" w:hAnsi="仿宋" w:eastAsia="仿宋" w:cs="Times New Roman"/>
          <w:sz w:val="32"/>
          <w:szCs w:val="32"/>
        </w:rPr>
        <w:t>万元，其中：</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3" w:firstLineChars="200"/>
        <w:jc w:val="both"/>
        <w:textAlignment w:val="baseline"/>
        <w:rPr>
          <w:rFonts w:ascii="仿宋" w:hAnsi="仿宋" w:eastAsia="仿宋" w:cs="Times New Roman"/>
          <w:b/>
          <w:sz w:val="32"/>
          <w:szCs w:val="32"/>
        </w:rPr>
      </w:pPr>
      <w:r>
        <w:rPr>
          <w:rFonts w:ascii="仿宋" w:hAnsi="仿宋" w:eastAsia="仿宋" w:cs="Times New Roman"/>
          <w:b/>
          <w:bCs/>
          <w:sz w:val="32"/>
          <w:szCs w:val="32"/>
        </w:rPr>
        <w:t>人员经费</w:t>
      </w:r>
      <w:r>
        <w:rPr>
          <w:rFonts w:hint="eastAsia" w:ascii="仿宋" w:hAnsi="仿宋" w:eastAsia="仿宋" w:cs="Times New Roman"/>
          <w:b/>
          <w:bCs/>
          <w:sz w:val="32"/>
          <w:szCs w:val="32"/>
          <w:lang w:val="en-US" w:eastAsia="zh-CN"/>
        </w:rPr>
        <w:t>137.34</w:t>
      </w:r>
      <w:r>
        <w:rPr>
          <w:rFonts w:ascii="仿宋" w:hAnsi="仿宋" w:eastAsia="仿宋" w:cs="Times New Roman"/>
          <w:sz w:val="32"/>
          <w:szCs w:val="32"/>
        </w:rPr>
        <w:t>万元，占基本支出的</w:t>
      </w:r>
      <w:r>
        <w:rPr>
          <w:rFonts w:hint="eastAsia" w:ascii="仿宋" w:hAnsi="仿宋" w:eastAsia="仿宋" w:cs="Times New Roman"/>
          <w:sz w:val="32"/>
          <w:szCs w:val="32"/>
          <w:lang w:val="en-US" w:eastAsia="zh-CN"/>
        </w:rPr>
        <w:t>92.24</w:t>
      </w:r>
      <w:r>
        <w:rPr>
          <w:rFonts w:ascii="仿宋" w:hAnsi="仿宋" w:eastAsia="仿宋" w:cs="Times New Roman"/>
          <w:sz w:val="32"/>
          <w:szCs w:val="32"/>
        </w:rPr>
        <w:t>%,主要包括</w:t>
      </w:r>
      <w:r>
        <w:rPr>
          <w:rFonts w:hint="eastAsia" w:ascii="仿宋" w:hAnsi="仿宋" w:eastAsia="仿宋" w:cs="Times New Roman"/>
          <w:sz w:val="32"/>
          <w:szCs w:val="32"/>
          <w:lang w:eastAsia="zh-CN"/>
        </w:rPr>
        <w:t>：</w:t>
      </w:r>
      <w:r>
        <w:rPr>
          <w:rFonts w:ascii="仿宋" w:hAnsi="仿宋" w:eastAsia="仿宋" w:cs="仿宋"/>
          <w:spacing w:val="0"/>
          <w:position w:val="0"/>
          <w:sz w:val="32"/>
          <w:szCs w:val="32"/>
        </w:rPr>
        <w:t>基本工资、津贴补贴、奖金、 伙食补助费、机关事业单位基本养老保险缴费、职业年金缴费、职工基本医疗保险缴费、其他社会保障缴费、住房公积金、退休费、抚恤金、生活补助、救济费、奖励金、其他对个人和家庭的补助；</w:t>
      </w:r>
      <w:r>
        <w:rPr>
          <w:rFonts w:ascii="仿宋" w:hAnsi="仿宋" w:eastAsia="仿宋" w:cs="Times New Roman"/>
          <w:b/>
          <w:bCs/>
          <w:sz w:val="32"/>
          <w:szCs w:val="32"/>
        </w:rPr>
        <w:t>公用经费</w:t>
      </w:r>
      <w:r>
        <w:rPr>
          <w:rFonts w:hint="eastAsia" w:ascii="仿宋" w:hAnsi="仿宋" w:eastAsia="仿宋" w:cs="Times New Roman"/>
          <w:b/>
          <w:bCs/>
          <w:sz w:val="32"/>
          <w:szCs w:val="32"/>
          <w:lang w:val="en-US" w:eastAsia="zh-CN"/>
        </w:rPr>
        <w:t>11.55</w:t>
      </w:r>
      <w:r>
        <w:rPr>
          <w:rFonts w:ascii="仿宋" w:hAnsi="仿宋" w:eastAsia="仿宋" w:cs="Times New Roman"/>
          <w:sz w:val="32"/>
          <w:szCs w:val="32"/>
        </w:rPr>
        <w:t>万元，占基本支出的</w:t>
      </w:r>
      <w:r>
        <w:rPr>
          <w:rFonts w:hint="eastAsia" w:ascii="仿宋" w:hAnsi="仿宋" w:eastAsia="仿宋" w:cs="Times New Roman"/>
          <w:sz w:val="32"/>
          <w:szCs w:val="32"/>
          <w:lang w:val="en-US" w:eastAsia="zh-CN"/>
        </w:rPr>
        <w:t>7.76</w:t>
      </w:r>
      <w:r>
        <w:rPr>
          <w:rFonts w:ascii="仿宋" w:hAnsi="仿宋" w:eastAsia="仿宋" w:cs="Times New Roman"/>
          <w:sz w:val="32"/>
          <w:szCs w:val="32"/>
        </w:rPr>
        <w:t>%，主要包括</w:t>
      </w:r>
      <w:r>
        <w:rPr>
          <w:rFonts w:ascii="仿宋" w:hAnsi="仿宋" w:eastAsia="仿宋" w:cs="仿宋"/>
          <w:spacing w:val="0"/>
          <w:position w:val="0"/>
          <w:sz w:val="32"/>
          <w:szCs w:val="32"/>
        </w:rPr>
        <w:t>：办公费、印刷费、咨询费、水费、电费、邮电费、物业管理费、差旅费、维修（护）费、会议费、培训费、公务接待费、劳务费、委托业务费、工会经费、福利费、公务用车运行维护费、其他商品和服务支出。</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七、财政拨款“三公”经费支出决算情况说明</w:t>
      </w:r>
    </w:p>
    <w:p>
      <w:pPr>
        <w:pStyle w:val="12"/>
        <w:overflowPunct w:val="0"/>
        <w:autoSpaceDE/>
        <w:autoSpaceDN/>
        <w:spacing w:line="600" w:lineRule="exact"/>
        <w:ind w:firstLine="643" w:firstLineChars="200"/>
        <w:jc w:val="both"/>
        <w:rPr>
          <w:rFonts w:ascii="仿宋" w:hAnsi="仿宋" w:eastAsia="仿宋" w:cs="Times New Roman"/>
          <w:b/>
          <w:sz w:val="32"/>
          <w:szCs w:val="32"/>
        </w:rPr>
      </w:pPr>
      <w:r>
        <w:rPr>
          <w:rFonts w:ascii="仿宋" w:hAnsi="仿宋" w:eastAsia="仿宋"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仿宋" w:hAnsi="仿宋" w:eastAsia="仿宋" w:cs="Times New Roman"/>
          <w:sz w:val="32"/>
          <w:szCs w:val="32"/>
          <w:highlight w:val="yellow"/>
        </w:rPr>
      </w:pPr>
      <w:r>
        <w:rPr>
          <w:rFonts w:ascii="仿宋" w:hAnsi="仿宋" w:eastAsia="仿宋" w:cs="Times New Roman"/>
          <w:sz w:val="32"/>
          <w:szCs w:val="32"/>
        </w:rPr>
        <w:t>2024年度“三公”经费财政拨款支出预算为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万元，完成预算的</w:t>
      </w:r>
      <w:r>
        <w:rPr>
          <w:rFonts w:hint="eastAsia" w:ascii="仿宋" w:hAnsi="仿宋" w:eastAsia="仿宋" w:cs="Times New Roman"/>
          <w:sz w:val="32"/>
          <w:szCs w:val="32"/>
          <w:lang w:val="en-US" w:eastAsia="zh-CN"/>
        </w:rPr>
        <w:t>0</w:t>
      </w:r>
      <w:r>
        <w:rPr>
          <w:rFonts w:ascii="仿宋" w:hAnsi="仿宋" w:eastAsia="仿宋" w:cs="Times New Roman"/>
          <w:sz w:val="32"/>
          <w:szCs w:val="32"/>
        </w:rPr>
        <w:t>%；与上年相比增加（减少）</w:t>
      </w:r>
      <w:r>
        <w:rPr>
          <w:rFonts w:hint="eastAsia" w:ascii="仿宋" w:hAnsi="仿宋" w:eastAsia="仿宋" w:cs="Times New Roman"/>
          <w:sz w:val="32"/>
          <w:szCs w:val="32"/>
          <w:lang w:val="en-US" w:eastAsia="zh-CN"/>
        </w:rPr>
        <w:t>0</w:t>
      </w:r>
      <w:r>
        <w:rPr>
          <w:rFonts w:ascii="仿宋" w:hAnsi="仿宋" w:eastAsia="仿宋" w:cs="Times New Roman"/>
          <w:sz w:val="32"/>
          <w:szCs w:val="32"/>
        </w:rPr>
        <w:t>万元，增长（降低）</w:t>
      </w:r>
      <w:r>
        <w:rPr>
          <w:rFonts w:hint="eastAsia" w:ascii="仿宋" w:hAnsi="仿宋" w:eastAsia="仿宋" w:cs="Times New Roman"/>
          <w:sz w:val="32"/>
          <w:szCs w:val="32"/>
          <w:lang w:val="en-US" w:eastAsia="zh-CN"/>
        </w:rPr>
        <w:t>0</w:t>
      </w:r>
      <w:r>
        <w:rPr>
          <w:rFonts w:ascii="仿宋" w:hAnsi="仿宋" w:eastAsia="仿宋" w:cs="Times New Roman"/>
          <w:sz w:val="32"/>
          <w:szCs w:val="32"/>
        </w:rPr>
        <w:t>%。决算数大于（小于）预算数的主要原因是</w:t>
      </w:r>
      <w:r>
        <w:rPr>
          <w:rFonts w:hint="eastAsia" w:ascii="仿宋" w:hAnsi="仿宋" w:eastAsia="仿宋" w:cs="Times New Roman"/>
          <w:sz w:val="32"/>
          <w:szCs w:val="32"/>
          <w:lang w:val="en-US" w:eastAsia="zh-CN"/>
        </w:rPr>
        <w:t>无预算</w:t>
      </w:r>
      <w:r>
        <w:rPr>
          <w:rFonts w:ascii="仿宋" w:hAnsi="仿宋" w:eastAsia="仿宋" w:cs="Times New Roman"/>
          <w:sz w:val="32"/>
          <w:szCs w:val="32"/>
        </w:rPr>
        <w:t>。决算数大于（小于）上年数的主要原因是</w:t>
      </w:r>
      <w:r>
        <w:rPr>
          <w:rFonts w:hint="eastAsia" w:ascii="仿宋" w:hAnsi="仿宋" w:eastAsia="仿宋" w:cs="Times New Roman"/>
          <w:sz w:val="32"/>
          <w:szCs w:val="32"/>
          <w:lang w:val="en-US" w:eastAsia="zh-CN"/>
        </w:rPr>
        <w:t>无预算</w:t>
      </w:r>
      <w:r>
        <w:rPr>
          <w:rFonts w:ascii="仿宋" w:hAnsi="仿宋" w:eastAsia="仿宋" w:cs="Times New Roman"/>
          <w:sz w:val="32"/>
          <w:szCs w:val="32"/>
        </w:rPr>
        <w:t>。</w:t>
      </w:r>
    </w:p>
    <w:p>
      <w:pPr>
        <w:pStyle w:val="12"/>
        <w:overflowPunct w:val="0"/>
        <w:autoSpaceDE/>
        <w:autoSpaceDN/>
        <w:spacing w:line="600" w:lineRule="exact"/>
        <w:ind w:firstLine="643" w:firstLineChars="200"/>
        <w:jc w:val="both"/>
        <w:rPr>
          <w:rFonts w:ascii="仿宋" w:hAnsi="仿宋" w:eastAsia="仿宋" w:cs="Times New Roman"/>
          <w:b/>
          <w:sz w:val="32"/>
          <w:szCs w:val="32"/>
        </w:rPr>
      </w:pPr>
      <w:r>
        <w:rPr>
          <w:rFonts w:ascii="仿宋" w:hAnsi="仿宋" w:eastAsia="仿宋"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仿宋" w:hAnsi="仿宋" w:eastAsia="仿宋" w:cs="Times New Roman"/>
          <w:b/>
          <w:bCs/>
          <w:i/>
          <w:color w:val="auto"/>
          <w:sz w:val="32"/>
          <w:szCs w:val="32"/>
          <w:lang w:eastAsia="zh-CN"/>
        </w:rPr>
      </w:pPr>
      <w:r>
        <w:rPr>
          <w:rFonts w:ascii="仿宋" w:hAnsi="仿宋" w:eastAsia="仿宋" w:cs="Times New Roman"/>
          <w:sz w:val="32"/>
          <w:szCs w:val="32"/>
        </w:rPr>
        <w:t>1.因公出国（境）费支出预算为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万元，完成预算的</w:t>
      </w:r>
      <w:r>
        <w:rPr>
          <w:rFonts w:hint="eastAsia" w:ascii="仿宋" w:hAnsi="仿宋" w:eastAsia="仿宋" w:cs="Times New Roman"/>
          <w:sz w:val="32"/>
          <w:szCs w:val="32"/>
          <w:lang w:val="en-US" w:eastAsia="zh-CN"/>
        </w:rPr>
        <w:t>0</w:t>
      </w:r>
      <w:r>
        <w:rPr>
          <w:rFonts w:ascii="仿宋" w:hAnsi="仿宋" w:eastAsia="仿宋" w:cs="Times New Roman"/>
          <w:sz w:val="32"/>
          <w:szCs w:val="32"/>
        </w:rPr>
        <w:t>%；与上年相比增加（减少）</w:t>
      </w:r>
      <w:r>
        <w:rPr>
          <w:rFonts w:hint="eastAsia" w:ascii="仿宋" w:hAnsi="仿宋" w:eastAsia="仿宋" w:cs="Times New Roman"/>
          <w:sz w:val="32"/>
          <w:szCs w:val="32"/>
          <w:lang w:val="en-US" w:eastAsia="zh-CN"/>
        </w:rPr>
        <w:t>0</w:t>
      </w:r>
      <w:r>
        <w:rPr>
          <w:rFonts w:ascii="仿宋" w:hAnsi="仿宋" w:eastAsia="仿宋" w:cs="Times New Roman"/>
          <w:sz w:val="32"/>
          <w:szCs w:val="32"/>
        </w:rPr>
        <w:t>万元，增长（降低）</w:t>
      </w:r>
      <w:r>
        <w:rPr>
          <w:rFonts w:hint="eastAsia" w:ascii="仿宋" w:hAnsi="仿宋" w:eastAsia="仿宋" w:cs="Times New Roman"/>
          <w:sz w:val="32"/>
          <w:szCs w:val="32"/>
          <w:lang w:val="en-US" w:eastAsia="zh-CN"/>
        </w:rPr>
        <w:t>0</w:t>
      </w:r>
      <w:r>
        <w:rPr>
          <w:rFonts w:ascii="仿宋" w:hAnsi="仿宋" w:eastAsia="仿宋" w:cs="Times New Roman"/>
          <w:sz w:val="32"/>
          <w:szCs w:val="32"/>
        </w:rPr>
        <w:t>%。决算数大于（小于）预算数的主要原因是</w:t>
      </w:r>
      <w:r>
        <w:rPr>
          <w:rFonts w:hint="eastAsia" w:ascii="仿宋" w:hAnsi="仿宋" w:eastAsia="仿宋" w:cs="Times New Roman"/>
          <w:sz w:val="32"/>
          <w:szCs w:val="32"/>
          <w:lang w:val="en-US" w:eastAsia="zh-CN"/>
        </w:rPr>
        <w:t>无该项支出</w:t>
      </w:r>
      <w:r>
        <w:rPr>
          <w:rFonts w:ascii="仿宋" w:hAnsi="仿宋" w:eastAsia="仿宋" w:cs="Times New Roman"/>
          <w:sz w:val="32"/>
          <w:szCs w:val="32"/>
        </w:rPr>
        <w:t>。决算数大于（小于）上年数的主要原因</w:t>
      </w:r>
      <w:r>
        <w:rPr>
          <w:rFonts w:hint="eastAsia" w:ascii="仿宋" w:hAnsi="仿宋" w:eastAsia="仿宋" w:cs="Times New Roman"/>
          <w:sz w:val="32"/>
          <w:szCs w:val="32"/>
          <w:lang w:val="en-US" w:eastAsia="zh-CN"/>
        </w:rPr>
        <w:t>是无该项支出</w:t>
      </w:r>
      <w:r>
        <w:rPr>
          <w:rFonts w:ascii="仿宋" w:hAnsi="仿宋" w:eastAsia="仿宋" w:cs="Times New Roman"/>
          <w:sz w:val="32"/>
          <w:szCs w:val="32"/>
        </w:rPr>
        <w:t>。2024年度安排因公出国（境）团组</w:t>
      </w:r>
      <w:r>
        <w:rPr>
          <w:rFonts w:hint="eastAsia" w:ascii="仿宋" w:hAnsi="仿宋" w:eastAsia="仿宋" w:cs="Times New Roman"/>
          <w:sz w:val="32"/>
          <w:szCs w:val="32"/>
          <w:lang w:val="en-US" w:eastAsia="zh-CN"/>
        </w:rPr>
        <w:t>0</w:t>
      </w:r>
      <w:r>
        <w:rPr>
          <w:rFonts w:ascii="仿宋" w:hAnsi="仿宋" w:eastAsia="仿宋" w:cs="Times New Roman"/>
          <w:sz w:val="32"/>
          <w:szCs w:val="32"/>
        </w:rPr>
        <w:t>个，累计</w:t>
      </w:r>
      <w:r>
        <w:rPr>
          <w:rFonts w:hint="eastAsia" w:ascii="仿宋" w:hAnsi="仿宋" w:eastAsia="仿宋" w:cs="Times New Roman"/>
          <w:sz w:val="32"/>
          <w:szCs w:val="32"/>
          <w:lang w:val="en-US" w:eastAsia="zh-CN"/>
        </w:rPr>
        <w:t>0</w:t>
      </w:r>
      <w:r>
        <w:rPr>
          <w:rFonts w:ascii="仿宋" w:hAnsi="仿宋" w:eastAsia="仿宋" w:cs="Times New Roman"/>
          <w:sz w:val="32"/>
          <w:szCs w:val="32"/>
        </w:rPr>
        <w:t>人次</w:t>
      </w:r>
      <w:r>
        <w:rPr>
          <w:rFonts w:hint="eastAsia" w:ascii="仿宋" w:hAnsi="仿宋" w:eastAsia="仿宋" w:cs="Times New Roman"/>
          <w:sz w:val="32"/>
          <w:szCs w:val="32"/>
          <w:lang w:eastAsia="zh-CN"/>
        </w:rPr>
        <w:t>。</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2.公务用车购置费及运行维护费支出预算为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万元，完成预算的</w:t>
      </w:r>
      <w:r>
        <w:rPr>
          <w:rFonts w:hint="eastAsia" w:ascii="仿宋" w:hAnsi="仿宋" w:eastAsia="仿宋" w:cs="Times New Roman"/>
          <w:sz w:val="32"/>
          <w:szCs w:val="32"/>
          <w:lang w:val="en-US" w:eastAsia="zh-CN"/>
        </w:rPr>
        <w:t>0</w:t>
      </w:r>
      <w:r>
        <w:rPr>
          <w:rFonts w:ascii="仿宋" w:hAnsi="仿宋" w:eastAsia="仿宋" w:cs="Times New Roman"/>
          <w:sz w:val="32"/>
          <w:szCs w:val="32"/>
        </w:rPr>
        <w:t>%；与上年相比增加（减少）</w:t>
      </w:r>
      <w:r>
        <w:rPr>
          <w:rFonts w:hint="eastAsia" w:ascii="仿宋" w:hAnsi="仿宋" w:eastAsia="仿宋" w:cs="Times New Roman"/>
          <w:sz w:val="32"/>
          <w:szCs w:val="32"/>
          <w:lang w:val="en-US" w:eastAsia="zh-CN"/>
        </w:rPr>
        <w:t>0</w:t>
      </w:r>
      <w:r>
        <w:rPr>
          <w:rFonts w:ascii="仿宋" w:hAnsi="仿宋" w:eastAsia="仿宋" w:cs="Times New Roman"/>
          <w:sz w:val="32"/>
          <w:szCs w:val="32"/>
        </w:rPr>
        <w:t>万元，增长（降低）</w:t>
      </w:r>
      <w:r>
        <w:rPr>
          <w:rFonts w:hint="eastAsia" w:ascii="仿宋" w:hAnsi="仿宋" w:eastAsia="仿宋" w:cs="Times New Roman"/>
          <w:sz w:val="32"/>
          <w:szCs w:val="32"/>
          <w:lang w:val="en-US" w:eastAsia="zh-CN"/>
        </w:rPr>
        <w:t>0</w:t>
      </w:r>
      <w:r>
        <w:rPr>
          <w:rFonts w:ascii="仿宋" w:hAnsi="仿宋" w:eastAsia="仿宋" w:cs="Times New Roman"/>
          <w:sz w:val="32"/>
          <w:szCs w:val="32"/>
        </w:rPr>
        <w:t>%。</w:t>
      </w:r>
    </w:p>
    <w:p>
      <w:pPr>
        <w:pStyle w:val="12"/>
        <w:overflowPunct w:val="0"/>
        <w:autoSpaceDE/>
        <w:autoSpaceDN/>
        <w:spacing w:line="600" w:lineRule="exact"/>
        <w:ind w:firstLine="640" w:firstLineChars="200"/>
        <w:jc w:val="both"/>
        <w:rPr>
          <w:rFonts w:hint="eastAsia" w:ascii="仿宋" w:hAnsi="仿宋" w:eastAsia="仿宋" w:cs="Times New Roman"/>
          <w:sz w:val="32"/>
          <w:szCs w:val="32"/>
          <w:lang w:eastAsia="zh-CN"/>
        </w:rPr>
      </w:pPr>
      <w:r>
        <w:rPr>
          <w:rFonts w:ascii="仿宋" w:hAnsi="仿宋" w:eastAsia="仿宋" w:cs="Times New Roman"/>
          <w:sz w:val="32"/>
          <w:szCs w:val="32"/>
        </w:rPr>
        <w:t>公务用车购置费支出预算为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万元，完成预算的</w:t>
      </w:r>
      <w:r>
        <w:rPr>
          <w:rFonts w:hint="eastAsia" w:ascii="仿宋" w:hAnsi="仿宋" w:eastAsia="仿宋" w:cs="Times New Roman"/>
          <w:sz w:val="32"/>
          <w:szCs w:val="32"/>
          <w:lang w:val="en-US" w:eastAsia="zh-CN"/>
        </w:rPr>
        <w:t>0</w:t>
      </w:r>
      <w:r>
        <w:rPr>
          <w:rFonts w:ascii="仿宋" w:hAnsi="仿宋" w:eastAsia="仿宋" w:cs="Times New Roman"/>
          <w:sz w:val="32"/>
          <w:szCs w:val="32"/>
        </w:rPr>
        <w:t>%；与上年相比增加（减少）</w:t>
      </w:r>
      <w:r>
        <w:rPr>
          <w:rFonts w:hint="eastAsia" w:ascii="仿宋" w:hAnsi="仿宋" w:eastAsia="仿宋" w:cs="Times New Roman"/>
          <w:sz w:val="32"/>
          <w:szCs w:val="32"/>
          <w:lang w:val="en-US" w:eastAsia="zh-CN"/>
        </w:rPr>
        <w:t>0</w:t>
      </w:r>
      <w:r>
        <w:rPr>
          <w:rFonts w:ascii="仿宋" w:hAnsi="仿宋" w:eastAsia="仿宋" w:cs="Times New Roman"/>
          <w:sz w:val="32"/>
          <w:szCs w:val="32"/>
        </w:rPr>
        <w:t>万元，增长（降低）</w:t>
      </w:r>
      <w:r>
        <w:rPr>
          <w:rFonts w:hint="eastAsia" w:ascii="仿宋" w:hAnsi="仿宋" w:eastAsia="仿宋" w:cs="Times New Roman"/>
          <w:sz w:val="32"/>
          <w:szCs w:val="32"/>
          <w:lang w:val="en-US" w:eastAsia="zh-CN"/>
        </w:rPr>
        <w:t>0</w:t>
      </w:r>
      <w:r>
        <w:rPr>
          <w:rFonts w:ascii="仿宋" w:hAnsi="仿宋" w:eastAsia="仿宋" w:cs="Times New Roman"/>
          <w:sz w:val="32"/>
          <w:szCs w:val="32"/>
        </w:rPr>
        <w:t>%。决算数大于（小于）预算数的主要原因是</w:t>
      </w:r>
      <w:r>
        <w:rPr>
          <w:rFonts w:hint="eastAsia" w:ascii="仿宋" w:hAnsi="仿宋" w:eastAsia="仿宋" w:cs="Times New Roman"/>
          <w:sz w:val="32"/>
          <w:szCs w:val="32"/>
          <w:lang w:val="en-US" w:eastAsia="zh-CN"/>
        </w:rPr>
        <w:t>无该项支出</w:t>
      </w:r>
      <w:r>
        <w:rPr>
          <w:rFonts w:ascii="仿宋" w:hAnsi="仿宋" w:eastAsia="仿宋" w:cs="Times New Roman"/>
          <w:sz w:val="32"/>
          <w:szCs w:val="32"/>
        </w:rPr>
        <w:t>，决算数大于（小于）上年数的主要原因是</w:t>
      </w:r>
      <w:r>
        <w:rPr>
          <w:rFonts w:hint="eastAsia" w:ascii="仿宋" w:hAnsi="仿宋" w:eastAsia="仿宋" w:cs="Times New Roman"/>
          <w:sz w:val="32"/>
          <w:szCs w:val="32"/>
          <w:lang w:val="en-US" w:eastAsia="zh-CN"/>
        </w:rPr>
        <w:t>无该项支出</w:t>
      </w:r>
      <w:r>
        <w:rPr>
          <w:rFonts w:ascii="仿宋" w:hAnsi="仿宋" w:eastAsia="仿宋" w:cs="Times New Roman"/>
          <w:sz w:val="32"/>
          <w:szCs w:val="32"/>
        </w:rPr>
        <w:t>。（单位本级或某二级机构）更新公务用车</w:t>
      </w:r>
      <w:r>
        <w:rPr>
          <w:rFonts w:hint="eastAsia" w:ascii="仿宋" w:hAnsi="仿宋" w:eastAsia="仿宋" w:cs="Times New Roman"/>
          <w:sz w:val="32"/>
          <w:szCs w:val="32"/>
          <w:lang w:val="en-US" w:eastAsia="zh-CN"/>
        </w:rPr>
        <w:t>0</w:t>
      </w:r>
      <w:r>
        <w:rPr>
          <w:rFonts w:ascii="仿宋" w:hAnsi="仿宋" w:eastAsia="仿宋" w:cs="Times New Roman"/>
          <w:sz w:val="32"/>
          <w:szCs w:val="32"/>
        </w:rPr>
        <w:t>辆</w:t>
      </w:r>
      <w:r>
        <w:rPr>
          <w:rFonts w:hint="eastAsia" w:ascii="仿宋" w:hAnsi="仿宋" w:eastAsia="仿宋" w:cs="Times New Roman"/>
          <w:sz w:val="32"/>
          <w:szCs w:val="32"/>
          <w:lang w:eastAsia="zh-CN"/>
        </w:rPr>
        <w:t>。</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公务用车运行维护费支出预算为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w:t>
      </w:r>
    </w:p>
    <w:p>
      <w:pPr>
        <w:pStyle w:val="12"/>
        <w:overflowPunct w:val="0"/>
        <w:autoSpaceDE/>
        <w:autoSpaceDN/>
        <w:spacing w:line="600" w:lineRule="exact"/>
        <w:jc w:val="both"/>
        <w:rPr>
          <w:rFonts w:ascii="仿宋" w:hAnsi="仿宋" w:eastAsia="仿宋" w:cs="Times New Roman"/>
          <w:b/>
          <w:bCs/>
          <w:i/>
          <w:sz w:val="32"/>
          <w:szCs w:val="32"/>
        </w:rPr>
      </w:pPr>
      <w:r>
        <w:rPr>
          <w:rFonts w:ascii="仿宋" w:hAnsi="仿宋" w:eastAsia="仿宋" w:cs="Times New Roman"/>
          <w:sz w:val="32"/>
          <w:szCs w:val="32"/>
        </w:rPr>
        <w:t>主要是</w:t>
      </w:r>
      <w:r>
        <w:rPr>
          <w:rFonts w:hint="eastAsia" w:ascii="仿宋" w:hAnsi="仿宋" w:eastAsia="仿宋" w:cs="Times New Roman"/>
          <w:sz w:val="32"/>
          <w:szCs w:val="32"/>
          <w:lang w:val="en-US" w:eastAsia="zh-CN"/>
        </w:rPr>
        <w:t>无该项</w:t>
      </w:r>
      <w:r>
        <w:rPr>
          <w:rFonts w:ascii="仿宋" w:hAnsi="仿宋" w:eastAsia="仿宋" w:cs="Times New Roman"/>
          <w:sz w:val="32"/>
          <w:szCs w:val="32"/>
        </w:rPr>
        <w:t>支出，完成预算的</w:t>
      </w:r>
      <w:r>
        <w:rPr>
          <w:rFonts w:hint="eastAsia" w:ascii="仿宋" w:hAnsi="仿宋" w:eastAsia="仿宋" w:cs="Times New Roman"/>
          <w:sz w:val="32"/>
          <w:szCs w:val="32"/>
          <w:lang w:val="en-US" w:eastAsia="zh-CN"/>
        </w:rPr>
        <w:t>0</w:t>
      </w:r>
      <w:r>
        <w:rPr>
          <w:rFonts w:ascii="仿宋" w:hAnsi="仿宋" w:eastAsia="仿宋" w:cs="Times New Roman"/>
          <w:sz w:val="32"/>
          <w:szCs w:val="32"/>
        </w:rPr>
        <w:t>%；与上年相比增加（减少）</w:t>
      </w:r>
      <w:r>
        <w:rPr>
          <w:rFonts w:hint="eastAsia" w:ascii="仿宋" w:hAnsi="仿宋" w:eastAsia="仿宋" w:cs="Times New Roman"/>
          <w:sz w:val="32"/>
          <w:szCs w:val="32"/>
          <w:lang w:val="en-US" w:eastAsia="zh-CN"/>
        </w:rPr>
        <w:t>0</w:t>
      </w:r>
      <w:r>
        <w:rPr>
          <w:rFonts w:ascii="仿宋" w:hAnsi="仿宋" w:eastAsia="仿宋" w:cs="Times New Roman"/>
          <w:sz w:val="32"/>
          <w:szCs w:val="32"/>
        </w:rPr>
        <w:t>万元，增长（降低）</w:t>
      </w:r>
      <w:r>
        <w:rPr>
          <w:rFonts w:hint="eastAsia" w:ascii="仿宋" w:hAnsi="仿宋" w:eastAsia="仿宋" w:cs="Times New Roman"/>
          <w:sz w:val="32"/>
          <w:szCs w:val="32"/>
          <w:lang w:val="en-US" w:eastAsia="zh-CN"/>
        </w:rPr>
        <w:t>0</w:t>
      </w:r>
      <w:r>
        <w:rPr>
          <w:rFonts w:ascii="仿宋" w:hAnsi="仿宋" w:eastAsia="仿宋" w:cs="Times New Roman"/>
          <w:sz w:val="32"/>
          <w:szCs w:val="32"/>
        </w:rPr>
        <w:t>%。决算数大于（小于）预算数的主要原因是</w:t>
      </w:r>
      <w:r>
        <w:rPr>
          <w:rFonts w:hint="eastAsia" w:ascii="仿宋" w:hAnsi="仿宋" w:eastAsia="仿宋" w:cs="Times New Roman"/>
          <w:sz w:val="32"/>
          <w:szCs w:val="32"/>
          <w:lang w:val="en-US" w:eastAsia="zh-CN"/>
        </w:rPr>
        <w:t>无该项支出</w:t>
      </w:r>
      <w:r>
        <w:rPr>
          <w:rFonts w:ascii="仿宋" w:hAnsi="仿宋" w:eastAsia="仿宋" w:cs="Times New Roman"/>
          <w:sz w:val="32"/>
          <w:szCs w:val="32"/>
        </w:rPr>
        <w:t>。决算数大于（小于）上年数的主要原因是</w:t>
      </w:r>
      <w:r>
        <w:rPr>
          <w:rFonts w:hint="eastAsia" w:ascii="仿宋" w:hAnsi="仿宋" w:eastAsia="仿宋" w:cs="Times New Roman"/>
          <w:sz w:val="32"/>
          <w:szCs w:val="32"/>
          <w:lang w:val="en-US" w:eastAsia="zh-CN"/>
        </w:rPr>
        <w:t>无该项支出</w:t>
      </w:r>
      <w:r>
        <w:rPr>
          <w:rFonts w:ascii="仿宋" w:hAnsi="仿宋" w:eastAsia="仿宋" w:cs="Times New Roman"/>
          <w:sz w:val="32"/>
          <w:szCs w:val="32"/>
        </w:rPr>
        <w:t>。截止2024年12月31日，我单位开支财政拨款的公务用车保有量为</w:t>
      </w:r>
      <w:r>
        <w:rPr>
          <w:rFonts w:hint="eastAsia" w:ascii="仿宋" w:hAnsi="仿宋" w:eastAsia="仿宋" w:cs="Times New Roman"/>
          <w:sz w:val="32"/>
          <w:szCs w:val="32"/>
          <w:lang w:val="en-US" w:eastAsia="zh-CN"/>
        </w:rPr>
        <w:t>0</w:t>
      </w:r>
      <w:r>
        <w:rPr>
          <w:rFonts w:ascii="仿宋" w:hAnsi="仿宋" w:eastAsia="仿宋" w:cs="Times New Roman"/>
          <w:sz w:val="32"/>
          <w:szCs w:val="32"/>
        </w:rPr>
        <w:t>辆。</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3.公务接待费支出预算为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万元，支出决算为</w:t>
      </w:r>
      <w:r>
        <w:rPr>
          <w:rFonts w:hint="eastAsia" w:ascii="仿宋" w:hAnsi="仿宋" w:eastAsia="仿宋" w:cs="Times New Roman"/>
          <w:sz w:val="32"/>
          <w:szCs w:val="32"/>
          <w:lang w:val="en-US" w:eastAsia="zh-CN"/>
        </w:rPr>
        <w:t>0</w:t>
      </w:r>
      <w:r>
        <w:rPr>
          <w:rFonts w:ascii="仿宋" w:hAnsi="仿宋" w:eastAsia="仿宋" w:cs="Times New Roman"/>
          <w:sz w:val="32"/>
          <w:szCs w:val="32"/>
        </w:rPr>
        <w:t>万元，完成预算的</w:t>
      </w:r>
      <w:r>
        <w:rPr>
          <w:rFonts w:hint="eastAsia" w:ascii="仿宋" w:hAnsi="仿宋" w:eastAsia="仿宋" w:cs="Times New Roman"/>
          <w:sz w:val="32"/>
          <w:szCs w:val="32"/>
          <w:lang w:val="en-US" w:eastAsia="zh-CN"/>
        </w:rPr>
        <w:t>0</w:t>
      </w:r>
      <w:r>
        <w:rPr>
          <w:rFonts w:ascii="仿宋" w:hAnsi="仿宋" w:eastAsia="仿宋" w:cs="Times New Roman"/>
          <w:sz w:val="32"/>
          <w:szCs w:val="32"/>
        </w:rPr>
        <w:t>%；与上年相比增加（减少）</w:t>
      </w:r>
      <w:r>
        <w:rPr>
          <w:rFonts w:hint="eastAsia" w:ascii="仿宋" w:hAnsi="仿宋" w:eastAsia="仿宋" w:cs="Times New Roman"/>
          <w:sz w:val="32"/>
          <w:szCs w:val="32"/>
          <w:lang w:val="en-US" w:eastAsia="zh-CN"/>
        </w:rPr>
        <w:t>0</w:t>
      </w:r>
      <w:r>
        <w:rPr>
          <w:rFonts w:ascii="仿宋" w:hAnsi="仿宋" w:eastAsia="仿宋" w:cs="Times New Roman"/>
          <w:sz w:val="32"/>
          <w:szCs w:val="32"/>
        </w:rPr>
        <w:t>万元，增长（降低）</w:t>
      </w:r>
      <w:r>
        <w:rPr>
          <w:rFonts w:hint="eastAsia" w:ascii="仿宋" w:hAnsi="仿宋" w:eastAsia="仿宋" w:cs="Times New Roman"/>
          <w:sz w:val="32"/>
          <w:szCs w:val="32"/>
          <w:lang w:val="en-US" w:eastAsia="zh-CN"/>
        </w:rPr>
        <w:t>0</w:t>
      </w:r>
      <w:r>
        <w:rPr>
          <w:rFonts w:ascii="仿宋" w:hAnsi="仿宋" w:eastAsia="仿宋" w:cs="Times New Roman"/>
          <w:sz w:val="32"/>
          <w:szCs w:val="32"/>
        </w:rPr>
        <w:t>%。决算数大于（小于）预算数的主要原因是</w:t>
      </w:r>
      <w:r>
        <w:rPr>
          <w:rFonts w:hint="eastAsia" w:ascii="仿宋" w:hAnsi="仿宋" w:eastAsia="仿宋" w:cs="Times New Roman"/>
          <w:sz w:val="32"/>
          <w:szCs w:val="32"/>
          <w:lang w:val="en-US" w:eastAsia="zh-CN"/>
        </w:rPr>
        <w:t>无预算</w:t>
      </w:r>
      <w:r>
        <w:rPr>
          <w:rFonts w:ascii="仿宋" w:hAnsi="仿宋" w:eastAsia="仿宋" w:cs="Times New Roman"/>
          <w:sz w:val="32"/>
          <w:szCs w:val="32"/>
        </w:rPr>
        <w:t>。决算数大于（小于）上年数的主要原因</w:t>
      </w:r>
      <w:r>
        <w:rPr>
          <w:rFonts w:hint="eastAsia" w:ascii="仿宋" w:hAnsi="仿宋" w:eastAsia="仿宋" w:cs="Times New Roman"/>
          <w:sz w:val="32"/>
          <w:szCs w:val="32"/>
          <w:lang w:val="en-US" w:eastAsia="zh-CN"/>
        </w:rPr>
        <w:t>是无预算</w:t>
      </w:r>
      <w:r>
        <w:rPr>
          <w:rFonts w:ascii="仿宋" w:hAnsi="仿宋" w:eastAsia="仿宋" w:cs="Times New Roman"/>
          <w:sz w:val="32"/>
          <w:szCs w:val="32"/>
        </w:rPr>
        <w:t>。2024年度共接待来访团组</w:t>
      </w:r>
      <w:r>
        <w:rPr>
          <w:rFonts w:hint="eastAsia" w:ascii="仿宋" w:hAnsi="仿宋" w:eastAsia="仿宋" w:cs="Times New Roman"/>
          <w:sz w:val="32"/>
          <w:szCs w:val="32"/>
          <w:lang w:val="en-US" w:eastAsia="zh-CN"/>
        </w:rPr>
        <w:t>0</w:t>
      </w:r>
      <w:r>
        <w:rPr>
          <w:rFonts w:ascii="仿宋" w:hAnsi="仿宋" w:eastAsia="仿宋" w:cs="Times New Roman"/>
          <w:sz w:val="32"/>
          <w:szCs w:val="32"/>
        </w:rPr>
        <w:t>个、来宾</w:t>
      </w:r>
      <w:r>
        <w:rPr>
          <w:rFonts w:hint="eastAsia" w:ascii="仿宋" w:hAnsi="仿宋" w:eastAsia="仿宋" w:cs="Times New Roman"/>
          <w:sz w:val="32"/>
          <w:szCs w:val="32"/>
          <w:lang w:val="en-US" w:eastAsia="zh-CN"/>
        </w:rPr>
        <w:t>0</w:t>
      </w:r>
      <w:r>
        <w:rPr>
          <w:rFonts w:ascii="仿宋" w:hAnsi="仿宋" w:eastAsia="仿宋" w:cs="Times New Roman"/>
          <w:sz w:val="32"/>
          <w:szCs w:val="32"/>
        </w:rPr>
        <w:t>人次，主要是</w:t>
      </w:r>
      <w:r>
        <w:rPr>
          <w:rFonts w:hint="eastAsia" w:ascii="仿宋" w:hAnsi="仿宋" w:eastAsia="仿宋" w:cs="Times New Roman"/>
          <w:sz w:val="32"/>
          <w:szCs w:val="32"/>
          <w:lang w:val="en-US" w:eastAsia="zh-CN"/>
        </w:rPr>
        <w:t>无预算</w:t>
      </w:r>
      <w:r>
        <w:rPr>
          <w:rFonts w:ascii="仿宋" w:hAnsi="仿宋" w:eastAsia="仿宋" w:cs="Times New Roman"/>
          <w:sz w:val="32"/>
          <w:szCs w:val="32"/>
        </w:rPr>
        <w:t>。</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b w:val="0"/>
          <w:bCs w:val="0"/>
          <w:i/>
          <w:color w:val="auto"/>
          <w:sz w:val="32"/>
          <w:szCs w:val="32"/>
        </w:rPr>
        <w:t>本单位无政府性基金收支</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九、关于机关运行经费支出说明</w:t>
      </w:r>
    </w:p>
    <w:p>
      <w:pPr>
        <w:pStyle w:val="12"/>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本部门2024年度机关运行经费支出</w:t>
      </w:r>
      <w:r>
        <w:rPr>
          <w:rFonts w:hint="eastAsia" w:ascii="仿宋" w:hAnsi="仿宋" w:eastAsia="仿宋" w:cs="Times New Roman"/>
          <w:sz w:val="32"/>
          <w:szCs w:val="32"/>
          <w:lang w:val="en-US" w:eastAsia="zh-CN"/>
        </w:rPr>
        <w:t>11.55</w:t>
      </w:r>
      <w:r>
        <w:rPr>
          <w:rFonts w:ascii="仿宋" w:hAnsi="仿宋" w:eastAsia="仿宋" w:cs="Times New Roman"/>
          <w:sz w:val="32"/>
          <w:szCs w:val="32"/>
        </w:rPr>
        <w:t>万元</w:t>
      </w:r>
      <w:r>
        <w:rPr>
          <w:rFonts w:hint="eastAsia" w:ascii="仿宋" w:hAnsi="仿宋" w:eastAsia="仿宋" w:cs="Times New Roman"/>
          <w:sz w:val="32"/>
          <w:szCs w:val="32"/>
          <w:lang w:eastAsia="zh-CN"/>
        </w:rPr>
        <w:t>，</w:t>
      </w:r>
      <w:r>
        <w:rPr>
          <w:rFonts w:ascii="仿宋" w:hAnsi="仿宋" w:eastAsia="仿宋" w:cs="Times New Roman"/>
          <w:sz w:val="32"/>
          <w:szCs w:val="32"/>
        </w:rPr>
        <w:t>比年初预算数增加</w:t>
      </w:r>
      <w:r>
        <w:rPr>
          <w:rFonts w:hint="eastAsia" w:ascii="仿宋" w:hAnsi="仿宋" w:eastAsia="仿宋" w:cs="Times New Roman"/>
          <w:sz w:val="32"/>
          <w:szCs w:val="32"/>
          <w:lang w:val="en-US" w:eastAsia="zh-CN"/>
        </w:rPr>
        <w:t>0.31</w:t>
      </w:r>
      <w:r>
        <w:rPr>
          <w:rFonts w:ascii="仿宋" w:hAnsi="仿宋" w:eastAsia="仿宋" w:cs="Times New Roman"/>
          <w:sz w:val="32"/>
          <w:szCs w:val="32"/>
        </w:rPr>
        <w:t>万元，增长</w:t>
      </w:r>
      <w:r>
        <w:rPr>
          <w:rFonts w:hint="eastAsia" w:ascii="仿宋" w:hAnsi="仿宋" w:eastAsia="仿宋" w:cs="Times New Roman"/>
          <w:sz w:val="32"/>
          <w:szCs w:val="32"/>
          <w:lang w:val="en-US" w:eastAsia="zh-CN"/>
        </w:rPr>
        <w:t>2.68</w:t>
      </w:r>
      <w:r>
        <w:rPr>
          <w:rFonts w:ascii="仿宋" w:hAnsi="仿宋" w:eastAsia="仿宋" w:cs="Times New Roman"/>
          <w:sz w:val="32"/>
          <w:szCs w:val="32"/>
        </w:rPr>
        <w:t>%。主要原因是</w:t>
      </w:r>
      <w:r>
        <w:rPr>
          <w:rFonts w:hint="eastAsia" w:ascii="仿宋" w:hAnsi="仿宋" w:eastAsia="仿宋" w:cs="Times New Roman"/>
          <w:sz w:val="32"/>
          <w:szCs w:val="32"/>
          <w:lang w:val="en-US" w:eastAsia="zh-CN"/>
        </w:rPr>
        <w:t>在编在岗人数较上年度相比有人员增加。</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十、一般性支出情况说明</w:t>
      </w:r>
    </w:p>
    <w:p>
      <w:pPr>
        <w:pStyle w:val="12"/>
        <w:overflowPunct w:val="0"/>
        <w:autoSpaceDE/>
        <w:autoSpaceDN/>
        <w:spacing w:line="600" w:lineRule="exact"/>
        <w:ind w:firstLine="640" w:firstLineChars="200"/>
        <w:jc w:val="both"/>
        <w:rPr>
          <w:rFonts w:hint="eastAsia" w:ascii="仿宋" w:hAnsi="仿宋" w:eastAsia="仿宋" w:cs="Times New Roman"/>
          <w:sz w:val="32"/>
          <w:szCs w:val="32"/>
          <w:lang w:eastAsia="zh-CN"/>
        </w:rPr>
      </w:pPr>
      <w:r>
        <w:rPr>
          <w:rFonts w:ascii="仿宋" w:hAnsi="仿宋" w:eastAsia="仿宋" w:cs="Times New Roman"/>
          <w:sz w:val="32"/>
          <w:szCs w:val="32"/>
        </w:rPr>
        <w:t>2024年本部门开支会议费</w:t>
      </w:r>
      <w:r>
        <w:rPr>
          <w:rFonts w:hint="eastAsia" w:ascii="仿宋" w:hAnsi="仿宋" w:eastAsia="仿宋" w:cs="Times New Roman"/>
          <w:sz w:val="32"/>
          <w:szCs w:val="32"/>
          <w:lang w:val="en-US" w:eastAsia="zh-CN"/>
        </w:rPr>
        <w:t>0</w:t>
      </w:r>
      <w:r>
        <w:rPr>
          <w:rFonts w:ascii="仿宋" w:hAnsi="仿宋" w:eastAsia="仿宋" w:cs="Times New Roman"/>
          <w:sz w:val="32"/>
          <w:szCs w:val="32"/>
        </w:rPr>
        <w:t>万元，人数</w:t>
      </w:r>
      <w:r>
        <w:rPr>
          <w:rFonts w:hint="eastAsia" w:ascii="仿宋" w:hAnsi="仿宋" w:eastAsia="仿宋" w:cs="Times New Roman"/>
          <w:sz w:val="32"/>
          <w:szCs w:val="32"/>
          <w:lang w:val="en-US" w:eastAsia="zh-CN"/>
        </w:rPr>
        <w:t>0</w:t>
      </w:r>
      <w:r>
        <w:rPr>
          <w:rFonts w:ascii="仿宋" w:hAnsi="仿宋" w:eastAsia="仿宋" w:cs="Times New Roman"/>
          <w:sz w:val="32"/>
          <w:szCs w:val="32"/>
        </w:rPr>
        <w:t>人；开支培训费</w:t>
      </w:r>
      <w:r>
        <w:rPr>
          <w:rFonts w:hint="eastAsia" w:ascii="仿宋" w:hAnsi="仿宋" w:eastAsia="仿宋" w:cs="Times New Roman"/>
          <w:sz w:val="32"/>
          <w:szCs w:val="32"/>
          <w:lang w:val="en-US" w:eastAsia="zh-CN"/>
        </w:rPr>
        <w:t>1.49</w:t>
      </w:r>
      <w:r>
        <w:rPr>
          <w:rFonts w:ascii="仿宋" w:hAnsi="仿宋" w:eastAsia="仿宋" w:cs="Times New Roman"/>
          <w:sz w:val="32"/>
          <w:szCs w:val="32"/>
        </w:rPr>
        <w:t>万元，用于开展</w:t>
      </w:r>
      <w:r>
        <w:rPr>
          <w:rFonts w:hint="eastAsia" w:ascii="仿宋" w:hAnsi="仿宋" w:eastAsia="仿宋" w:cs="Times New Roman"/>
          <w:sz w:val="32"/>
          <w:szCs w:val="32"/>
          <w:lang w:val="en-US" w:eastAsia="zh-CN"/>
        </w:rPr>
        <w:t>红十字会相关业务培训等</w:t>
      </w:r>
      <w:r>
        <w:rPr>
          <w:rFonts w:ascii="仿宋" w:hAnsi="仿宋" w:eastAsia="仿宋" w:cs="Times New Roman"/>
          <w:sz w:val="32"/>
          <w:szCs w:val="32"/>
        </w:rPr>
        <w:t>培训，人数</w:t>
      </w:r>
      <w:r>
        <w:rPr>
          <w:rFonts w:hint="eastAsia" w:ascii="仿宋" w:hAnsi="仿宋" w:eastAsia="仿宋" w:cs="Times New Roman"/>
          <w:sz w:val="32"/>
          <w:szCs w:val="32"/>
          <w:lang w:val="en-US" w:eastAsia="zh-CN"/>
        </w:rPr>
        <w:t>110</w:t>
      </w:r>
      <w:r>
        <w:rPr>
          <w:rFonts w:ascii="仿宋" w:hAnsi="仿宋" w:eastAsia="仿宋" w:cs="Times New Roman"/>
          <w:sz w:val="32"/>
          <w:szCs w:val="32"/>
        </w:rPr>
        <w:t>人，内容为</w:t>
      </w:r>
      <w:r>
        <w:rPr>
          <w:rFonts w:hint="eastAsia" w:ascii="仿宋" w:hAnsi="仿宋" w:eastAsia="仿宋" w:cs="Times New Roman"/>
          <w:sz w:val="32"/>
          <w:szCs w:val="32"/>
          <w:lang w:val="en-US" w:eastAsia="zh-CN"/>
        </w:rPr>
        <w:t>心肺复苏、AED使用、创伤救护、常见急症与意外处理等</w:t>
      </w:r>
      <w:r>
        <w:rPr>
          <w:rFonts w:ascii="仿宋" w:hAnsi="仿宋" w:eastAsia="仿宋" w:cs="Times New Roman"/>
          <w:sz w:val="32"/>
          <w:szCs w:val="32"/>
        </w:rPr>
        <w:t>；</w:t>
      </w:r>
      <w:r>
        <w:rPr>
          <w:rFonts w:hint="eastAsia" w:ascii="仿宋" w:hAnsi="仿宋" w:eastAsia="仿宋" w:cs="Times New Roman"/>
          <w:sz w:val="32"/>
          <w:szCs w:val="32"/>
          <w:lang w:val="en-US" w:eastAsia="zh-CN"/>
        </w:rPr>
        <w:t>无</w:t>
      </w:r>
      <w:r>
        <w:rPr>
          <w:rFonts w:ascii="仿宋" w:hAnsi="仿宋" w:eastAsia="仿宋" w:cs="Times New Roman"/>
          <w:sz w:val="32"/>
          <w:szCs w:val="32"/>
        </w:rPr>
        <w:t>举办节庆、晚会、论坛、赛事</w:t>
      </w:r>
      <w:r>
        <w:rPr>
          <w:rFonts w:hint="eastAsia" w:ascii="仿宋" w:hAnsi="仿宋" w:eastAsia="仿宋" w:cs="Times New Roman"/>
          <w:sz w:val="32"/>
          <w:szCs w:val="32"/>
          <w:lang w:val="en-US" w:eastAsia="zh-CN"/>
        </w:rPr>
        <w:t>等</w:t>
      </w:r>
      <w:r>
        <w:rPr>
          <w:rFonts w:ascii="仿宋" w:hAnsi="仿宋" w:eastAsia="仿宋" w:cs="Times New Roman"/>
          <w:sz w:val="32"/>
          <w:szCs w:val="32"/>
        </w:rPr>
        <w:t>活动，开支</w:t>
      </w:r>
      <w:r>
        <w:rPr>
          <w:rFonts w:hint="eastAsia" w:ascii="仿宋" w:hAnsi="仿宋" w:eastAsia="仿宋" w:cs="Times New Roman"/>
          <w:sz w:val="32"/>
          <w:szCs w:val="32"/>
          <w:lang w:val="en-US" w:eastAsia="zh-CN"/>
        </w:rPr>
        <w:t>0</w:t>
      </w:r>
      <w:r>
        <w:rPr>
          <w:rFonts w:ascii="仿宋" w:hAnsi="仿宋" w:eastAsia="仿宋" w:cs="Times New Roman"/>
          <w:sz w:val="32"/>
          <w:szCs w:val="32"/>
        </w:rPr>
        <w:t>万元</w:t>
      </w:r>
      <w:r>
        <w:rPr>
          <w:rFonts w:hint="eastAsia" w:ascii="仿宋" w:hAnsi="仿宋" w:eastAsia="仿宋" w:cs="Times New Roman"/>
          <w:sz w:val="32"/>
          <w:szCs w:val="32"/>
          <w:lang w:eastAsia="zh-CN"/>
        </w:rPr>
        <w:t>。</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十一、关于政府采购支出说明</w:t>
      </w:r>
    </w:p>
    <w:p>
      <w:pPr>
        <w:pStyle w:val="12"/>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sz w:val="32"/>
          <w:szCs w:val="32"/>
        </w:rPr>
        <w:t>本部门2024年度政府采购支出总额</w:t>
      </w:r>
      <w:r>
        <w:rPr>
          <w:rFonts w:hint="eastAsia" w:ascii="仿宋" w:hAnsi="仿宋" w:eastAsia="仿宋" w:cs="Times New Roman"/>
          <w:sz w:val="32"/>
          <w:szCs w:val="32"/>
          <w:lang w:val="en-US" w:eastAsia="zh-CN"/>
        </w:rPr>
        <w:t>0</w:t>
      </w:r>
      <w:r>
        <w:rPr>
          <w:rFonts w:ascii="仿宋" w:hAnsi="仿宋" w:eastAsia="仿宋" w:cs="Times New Roman"/>
          <w:sz w:val="32"/>
          <w:szCs w:val="32"/>
        </w:rPr>
        <w:t>万元，其中：政府采购货物支出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万元、政府采购工程支出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万元、政府采购服务支出</w:t>
      </w:r>
      <w:r>
        <w:rPr>
          <w:rFonts w:hint="eastAsia" w:ascii="仿宋" w:hAnsi="仿宋" w:eastAsia="仿宋" w:cs="Times New Roman"/>
          <w:sz w:val="32"/>
          <w:szCs w:val="32"/>
          <w:lang w:val="en-US" w:eastAsia="zh-CN"/>
        </w:rPr>
        <w:t>0</w:t>
      </w:r>
      <w:r>
        <w:rPr>
          <w:rFonts w:ascii="仿宋" w:hAnsi="仿宋" w:eastAsia="仿宋" w:cs="Times New Roman"/>
          <w:sz w:val="32"/>
          <w:szCs w:val="32"/>
        </w:rPr>
        <w:t>万元。授予中小企业合同金额</w:t>
      </w:r>
      <w:r>
        <w:rPr>
          <w:rFonts w:hint="eastAsia" w:ascii="仿宋" w:hAnsi="仿宋" w:eastAsia="仿宋" w:cs="Times New Roman"/>
          <w:sz w:val="32"/>
          <w:szCs w:val="32"/>
          <w:lang w:val="en-US" w:eastAsia="zh-CN"/>
        </w:rPr>
        <w:t>0</w:t>
      </w:r>
      <w:r>
        <w:rPr>
          <w:rFonts w:ascii="仿宋" w:hAnsi="仿宋" w:eastAsia="仿宋" w:cs="Times New Roman"/>
          <w:sz w:val="32"/>
          <w:szCs w:val="32"/>
        </w:rPr>
        <w:t>万元，占政府采购支出总额的</w:t>
      </w:r>
      <w:r>
        <w:rPr>
          <w:rFonts w:hint="eastAsia" w:ascii="仿宋" w:hAnsi="仿宋" w:eastAsia="仿宋" w:cs="Times New Roman"/>
          <w:sz w:val="32"/>
          <w:szCs w:val="32"/>
          <w:lang w:val="en-US" w:eastAsia="zh-CN"/>
        </w:rPr>
        <w:t>0</w:t>
      </w:r>
      <w:r>
        <w:rPr>
          <w:rFonts w:ascii="仿宋" w:hAnsi="仿宋" w:eastAsia="仿宋" w:cs="Times New Roman"/>
          <w:sz w:val="32"/>
          <w:szCs w:val="32"/>
        </w:rPr>
        <w:t>%，其中：授予小微企业合同金额</w:t>
      </w:r>
      <w:r>
        <w:rPr>
          <w:rFonts w:hint="eastAsia" w:ascii="仿宋" w:hAnsi="仿宋" w:eastAsia="仿宋" w:cs="Times New Roman"/>
          <w:sz w:val="32"/>
          <w:szCs w:val="32"/>
          <w:lang w:val="en-US" w:eastAsia="zh-CN"/>
        </w:rPr>
        <w:t>0</w:t>
      </w:r>
      <w:r>
        <w:rPr>
          <w:rFonts w:ascii="仿宋" w:hAnsi="仿宋" w:eastAsia="仿宋" w:cs="Times New Roman"/>
          <w:sz w:val="32"/>
          <w:szCs w:val="32"/>
        </w:rPr>
        <w:t>万元，</w:t>
      </w:r>
      <w:r>
        <w:rPr>
          <w:rFonts w:ascii="仿宋" w:hAnsi="仿宋" w:eastAsia="仿宋" w:cs="Times New Roman"/>
          <w:color w:val="auto"/>
          <w:sz w:val="32"/>
          <w:szCs w:val="32"/>
        </w:rPr>
        <w:t>占授予中小企业合同金额的</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%。货物采购授予中小企业合同金额占货物支出金额的</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%，工程采购授予中小企业合同金额占工程支出金额的</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%，服务采购授予中小企业合同金额占服务支出金额的</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十二、关于国有资产占用情况说明</w:t>
      </w:r>
    </w:p>
    <w:p>
      <w:pPr>
        <w:pStyle w:val="12"/>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截至2024年12月31日，部门（单位）共有车辆</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辆，其中，副部（省）级及以上领导用车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辆、主要负责人用车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辆、机要通信用车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辆、应急保障用车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辆、执法执勤用车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辆、特种专业技术用车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辆、离退休干部服务用车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辆、其他用车</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辆；单位价值100万元以上设备（不含车辆）</w:t>
      </w:r>
      <w:r>
        <w:rPr>
          <w:rFonts w:hint="eastAsia" w:ascii="仿宋" w:hAnsi="仿宋" w:eastAsia="仿宋" w:cs="Times New Roman"/>
          <w:color w:val="auto"/>
          <w:sz w:val="32"/>
          <w:szCs w:val="32"/>
          <w:lang w:val="en-US" w:eastAsia="zh-CN"/>
        </w:rPr>
        <w:t>0</w:t>
      </w:r>
      <w:r>
        <w:rPr>
          <w:rFonts w:ascii="仿宋" w:hAnsi="仿宋" w:eastAsia="仿宋" w:cs="Times New Roman"/>
          <w:color w:val="auto"/>
          <w:sz w:val="32"/>
          <w:szCs w:val="32"/>
        </w:rPr>
        <w:t>台（套）。</w:t>
      </w:r>
    </w:p>
    <w:p>
      <w:pPr>
        <w:pStyle w:val="12"/>
        <w:overflowPunct w:val="0"/>
        <w:autoSpaceDE/>
        <w:autoSpaceDN/>
        <w:spacing w:line="600" w:lineRule="exact"/>
        <w:ind w:firstLine="640" w:firstLineChars="200"/>
        <w:jc w:val="both"/>
        <w:rPr>
          <w:rFonts w:hAnsi="黑体" w:cs="Times New Roman"/>
          <w:bCs/>
          <w:sz w:val="32"/>
          <w:szCs w:val="32"/>
        </w:rPr>
      </w:pPr>
      <w:r>
        <w:rPr>
          <w:rFonts w:hAnsi="黑体" w:cs="Times New Roman"/>
          <w:bCs/>
          <w:sz w:val="32"/>
          <w:szCs w:val="32"/>
        </w:rPr>
        <w:t>十三、关于2024年度预算绩效情况的说明</w:t>
      </w:r>
    </w:p>
    <w:p>
      <w:pPr>
        <w:overflowPunct w:val="0"/>
        <w:spacing w:line="600" w:lineRule="exact"/>
        <w:ind w:firstLine="643" w:firstLineChars="200"/>
        <w:rPr>
          <w:rFonts w:ascii="仿宋" w:hAnsi="仿宋" w:eastAsia="仿宋" w:cs="Times New Roman"/>
          <w:b/>
          <w:bCs/>
          <w:sz w:val="32"/>
          <w:szCs w:val="32"/>
        </w:rPr>
      </w:pPr>
      <w:r>
        <w:rPr>
          <w:rFonts w:ascii="仿宋" w:hAnsi="仿宋" w:eastAsia="仿宋" w:cs="Times New Roman"/>
          <w:b/>
          <w:bCs/>
          <w:sz w:val="32"/>
          <w:szCs w:val="32"/>
        </w:rPr>
        <w:t>（一）绩效评价工作开展情况。</w:t>
      </w:r>
      <w:r>
        <w:rPr>
          <w:rFonts w:ascii="仿宋" w:hAnsi="仿宋" w:eastAsia="仿宋" w:cs="Times New Roman"/>
          <w:b/>
          <w:bCs/>
          <w:kern w:val="0"/>
          <w:sz w:val="32"/>
          <w:szCs w:val="32"/>
        </w:rPr>
        <w:t>一是绩效自评开展情况。</w:t>
      </w:r>
      <w:r>
        <w:rPr>
          <w:rFonts w:ascii="仿宋" w:hAnsi="仿宋" w:eastAsia="仿宋" w:cs="Times New Roman"/>
          <w:kern w:val="0"/>
          <w:sz w:val="32"/>
          <w:szCs w:val="32"/>
        </w:rPr>
        <w:t>组织对2024年度本部门（单位）整体支出开展绩效自评，涉及项目</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个，共涉及资金</w:t>
      </w:r>
      <w:r>
        <w:rPr>
          <w:rFonts w:hint="eastAsia" w:ascii="仿宋" w:hAnsi="仿宋" w:eastAsia="仿宋" w:cs="Times New Roman"/>
          <w:kern w:val="0"/>
          <w:sz w:val="32"/>
          <w:szCs w:val="32"/>
          <w:lang w:val="en-US" w:eastAsia="zh-CN"/>
        </w:rPr>
        <w:t>3.23</w:t>
      </w:r>
      <w:r>
        <w:rPr>
          <w:rFonts w:ascii="仿宋" w:hAnsi="仿宋" w:eastAsia="仿宋" w:cs="Times New Roman"/>
          <w:kern w:val="0"/>
          <w:sz w:val="32"/>
          <w:szCs w:val="32"/>
        </w:rPr>
        <w:t>万元。其中，一般公共预算项目</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个</w:t>
      </w:r>
      <w:r>
        <w:rPr>
          <w:rFonts w:hint="eastAsia" w:ascii="仿宋" w:hAnsi="仿宋" w:eastAsia="仿宋" w:cs="Times New Roman"/>
          <w:kern w:val="0"/>
          <w:sz w:val="32"/>
          <w:szCs w:val="32"/>
          <w:lang w:val="en-US" w:eastAsia="zh-CN"/>
        </w:rPr>
        <w:t>3.23</w:t>
      </w:r>
      <w:r>
        <w:rPr>
          <w:rFonts w:ascii="仿宋" w:hAnsi="仿宋" w:eastAsia="仿宋" w:cs="Times New Roman"/>
          <w:kern w:val="0"/>
          <w:sz w:val="32"/>
          <w:szCs w:val="32"/>
        </w:rPr>
        <w:t>万元，占一般公共预算支出总额的</w:t>
      </w:r>
      <w:r>
        <w:rPr>
          <w:rFonts w:hint="eastAsia" w:ascii="仿宋" w:hAnsi="仿宋" w:eastAsia="仿宋" w:cs="Times New Roman"/>
          <w:kern w:val="0"/>
          <w:sz w:val="32"/>
          <w:szCs w:val="32"/>
          <w:lang w:val="en-US" w:eastAsia="zh-CN"/>
        </w:rPr>
        <w:t>100</w:t>
      </w:r>
      <w:r>
        <w:rPr>
          <w:rFonts w:ascii="仿宋" w:hAnsi="仿宋" w:eastAsia="仿宋" w:cs="Times New Roman"/>
          <w:kern w:val="0"/>
          <w:sz w:val="32"/>
          <w:szCs w:val="32"/>
        </w:rPr>
        <w:t>%；政府性基金预算项目</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万元，占政府性基金预算支出总额的</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%；国有资本经营预算项目</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万元，占国有资本经营预算支出总额的</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%；社会保险基金预算项目</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万元，占社会保险基金预算支出总额的</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w:t>
      </w:r>
      <w:r>
        <w:rPr>
          <w:rFonts w:ascii="仿宋" w:hAnsi="仿宋" w:eastAsia="仿宋" w:cs="Times New Roman"/>
          <w:b/>
          <w:bCs/>
          <w:kern w:val="0"/>
          <w:sz w:val="32"/>
          <w:szCs w:val="32"/>
        </w:rPr>
        <w:t>二是部门评价开展情况</w:t>
      </w:r>
      <w:r>
        <w:rPr>
          <w:rFonts w:hint="eastAsia" w:ascii="仿宋" w:hAnsi="仿宋" w:eastAsia="仿宋" w:cs="Times New Roman"/>
          <w:b/>
          <w:bCs/>
          <w:kern w:val="0"/>
          <w:sz w:val="32"/>
          <w:szCs w:val="32"/>
          <w:lang w:eastAsia="zh-CN"/>
        </w:rPr>
        <w:t>。</w:t>
      </w:r>
      <w:r>
        <w:rPr>
          <w:rFonts w:ascii="仿宋" w:hAnsi="仿宋" w:eastAsia="仿宋" w:cs="Times New Roman"/>
          <w:kern w:val="0"/>
          <w:sz w:val="32"/>
          <w:szCs w:val="32"/>
        </w:rPr>
        <w:t>组织对所属单位2024年度</w:t>
      </w:r>
      <w:r>
        <w:rPr>
          <w:rFonts w:hint="eastAsia" w:ascii="仿宋" w:hAnsi="仿宋" w:eastAsia="仿宋" w:cs="Times New Roman"/>
          <w:kern w:val="0"/>
          <w:sz w:val="32"/>
          <w:szCs w:val="32"/>
          <w:lang w:val="en-US" w:eastAsia="zh-CN"/>
        </w:rPr>
        <w:t>1</w:t>
      </w:r>
      <w:r>
        <w:rPr>
          <w:rFonts w:ascii="仿宋" w:hAnsi="仿宋" w:eastAsia="仿宋" w:cs="Times New Roman"/>
          <w:kern w:val="0"/>
          <w:sz w:val="32"/>
          <w:szCs w:val="32"/>
        </w:rPr>
        <w:t>个项目开展了部门评价，涉及一般公共预算支出</w:t>
      </w:r>
      <w:r>
        <w:rPr>
          <w:rFonts w:hint="eastAsia" w:ascii="仿宋" w:hAnsi="仿宋" w:eastAsia="仿宋" w:cs="Times New Roman"/>
          <w:kern w:val="0"/>
          <w:sz w:val="32"/>
          <w:szCs w:val="32"/>
          <w:lang w:val="en-US" w:eastAsia="zh-CN"/>
        </w:rPr>
        <w:t>3.23</w:t>
      </w:r>
      <w:r>
        <w:rPr>
          <w:rFonts w:ascii="仿宋" w:hAnsi="仿宋" w:eastAsia="仿宋" w:cs="Times New Roman"/>
          <w:kern w:val="0"/>
          <w:sz w:val="32"/>
          <w:szCs w:val="32"/>
        </w:rPr>
        <w:t>万元，政府性基金预算支出</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万元，国有资本经营预算支出</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万元，社会保险基金预算支出</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ascii="仿宋" w:hAnsi="仿宋" w:eastAsia="仿宋" w:cs="Times New Roman"/>
          <w:b/>
          <w:bCs/>
          <w:kern w:val="0"/>
          <w:sz w:val="32"/>
          <w:szCs w:val="32"/>
        </w:rPr>
        <w:t>三是事前绩效评估开展情况。</w:t>
      </w:r>
      <w:r>
        <w:rPr>
          <w:rFonts w:ascii="仿宋" w:hAnsi="仿宋" w:eastAsia="仿宋" w:cs="Times New Roman"/>
          <w:kern w:val="0"/>
          <w:sz w:val="32"/>
          <w:szCs w:val="32"/>
        </w:rPr>
        <w:t>组织对2024年度</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个新增重大政策和</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个重大项目开展事前绩效评估，共涉及资金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p>
    <w:p>
      <w:pPr>
        <w:spacing w:before="144" w:line="320" w:lineRule="auto"/>
        <w:ind w:left="36" w:firstLine="649"/>
        <w:jc w:val="both"/>
        <w:rPr>
          <w:rFonts w:ascii="仿宋" w:hAnsi="仿宋" w:eastAsia="仿宋" w:cs="仿宋"/>
          <w:sz w:val="32"/>
          <w:szCs w:val="32"/>
        </w:rPr>
        <w:sectPr>
          <w:footerReference r:id="rId6" w:type="default"/>
          <w:pgSz w:w="11906" w:h="16839"/>
          <w:pgMar w:top="1431" w:right="1717" w:bottom="1213" w:left="1785" w:header="0" w:footer="937" w:gutter="0"/>
          <w:cols w:space="720" w:num="1"/>
        </w:sectPr>
      </w:pPr>
      <w:r>
        <w:rPr>
          <w:rFonts w:ascii="仿宋" w:hAnsi="仿宋" w:eastAsia="仿宋" w:cs="Times New Roman"/>
          <w:b/>
          <w:bCs/>
          <w:sz w:val="32"/>
          <w:szCs w:val="32"/>
        </w:rPr>
        <w:t>（二）绩效评价结果。</w:t>
      </w:r>
      <w:r>
        <w:rPr>
          <w:rFonts w:ascii="仿宋" w:hAnsi="仿宋" w:eastAsia="仿宋" w:cs="Times New Roman"/>
          <w:b/>
          <w:bCs/>
          <w:kern w:val="0"/>
          <w:sz w:val="32"/>
          <w:szCs w:val="32"/>
        </w:rPr>
        <w:t>一是绩效自评结果。</w:t>
      </w:r>
      <w:r>
        <w:rPr>
          <w:rFonts w:ascii="仿宋" w:hAnsi="仿宋" w:eastAsia="仿宋" w:cs="Times New Roman"/>
          <w:kern w:val="0"/>
          <w:sz w:val="32"/>
          <w:szCs w:val="32"/>
        </w:rPr>
        <w:t>2024年度本部门（单位）整体支出</w:t>
      </w:r>
      <w:r>
        <w:rPr>
          <w:rFonts w:ascii="仿宋" w:hAnsi="仿宋" w:eastAsia="仿宋" w:cs="Times New Roman"/>
          <w:sz w:val="32"/>
          <w:szCs w:val="32"/>
        </w:rPr>
        <w:t>全年预算数</w:t>
      </w:r>
      <w:r>
        <w:rPr>
          <w:rFonts w:hint="eastAsia" w:ascii="仿宋" w:hAnsi="仿宋" w:eastAsia="仿宋" w:cs="Times New Roman"/>
          <w:sz w:val="32"/>
          <w:szCs w:val="32"/>
          <w:lang w:val="en-US" w:eastAsia="zh-CN"/>
        </w:rPr>
        <w:t>0</w:t>
      </w:r>
      <w:r>
        <w:rPr>
          <w:rFonts w:ascii="仿宋" w:hAnsi="仿宋" w:eastAsia="仿宋" w:cs="Times New Roman"/>
          <w:sz w:val="32"/>
          <w:szCs w:val="32"/>
        </w:rPr>
        <w:t>万元，执行数</w:t>
      </w:r>
      <w:r>
        <w:rPr>
          <w:rFonts w:hint="eastAsia" w:ascii="仿宋" w:hAnsi="仿宋" w:eastAsia="仿宋" w:cs="Times New Roman"/>
          <w:sz w:val="32"/>
          <w:szCs w:val="32"/>
          <w:lang w:val="en-US" w:eastAsia="zh-CN"/>
        </w:rPr>
        <w:t>3.23</w:t>
      </w:r>
      <w:r>
        <w:rPr>
          <w:rFonts w:ascii="仿宋" w:hAnsi="仿宋" w:eastAsia="仿宋" w:cs="Times New Roman"/>
          <w:sz w:val="32"/>
          <w:szCs w:val="32"/>
        </w:rPr>
        <w:t>万元，</w:t>
      </w:r>
      <w:r>
        <w:rPr>
          <w:rFonts w:ascii="仿宋" w:hAnsi="仿宋" w:eastAsia="仿宋" w:cs="Times New Roman"/>
          <w:kern w:val="0"/>
          <w:sz w:val="32"/>
          <w:szCs w:val="32"/>
        </w:rPr>
        <w:t>绩效自评得分</w:t>
      </w:r>
      <w:r>
        <w:rPr>
          <w:rFonts w:hint="eastAsia" w:ascii="仿宋" w:hAnsi="仿宋" w:eastAsia="仿宋" w:cs="Times New Roman"/>
          <w:kern w:val="0"/>
          <w:sz w:val="32"/>
          <w:szCs w:val="32"/>
          <w:lang w:val="en-US" w:eastAsia="zh-CN"/>
        </w:rPr>
        <w:t>满</w:t>
      </w:r>
      <w:r>
        <w:rPr>
          <w:rFonts w:ascii="仿宋" w:hAnsi="仿宋" w:eastAsia="仿宋" w:cs="Times New Roman"/>
          <w:sz w:val="32"/>
          <w:szCs w:val="32"/>
        </w:rPr>
        <w:t>分</w:t>
      </w:r>
      <w:r>
        <w:rPr>
          <w:rFonts w:ascii="仿宋" w:hAnsi="仿宋" w:eastAsia="仿宋" w:cs="Times New Roman"/>
          <w:kern w:val="0"/>
          <w:sz w:val="32"/>
          <w:szCs w:val="32"/>
        </w:rPr>
        <w:t>，评价等级为</w:t>
      </w:r>
      <w:r>
        <w:rPr>
          <w:rFonts w:ascii="仿宋" w:hAnsi="仿宋" w:eastAsia="仿宋" w:cs="Times New Roman"/>
          <w:sz w:val="32"/>
          <w:szCs w:val="32"/>
        </w:rPr>
        <w:t>“</w:t>
      </w:r>
      <w:r>
        <w:rPr>
          <w:rFonts w:hint="eastAsia" w:ascii="仿宋" w:hAnsi="仿宋" w:eastAsia="仿宋" w:cs="Times New Roman"/>
          <w:sz w:val="32"/>
          <w:szCs w:val="32"/>
          <w:lang w:val="en-US" w:eastAsia="zh-CN"/>
        </w:rPr>
        <w:t>优秀</w:t>
      </w:r>
      <w:r>
        <w:rPr>
          <w:rFonts w:ascii="仿宋" w:hAnsi="仿宋" w:eastAsia="仿宋" w:cs="Times New Roman"/>
          <w:sz w:val="32"/>
          <w:szCs w:val="32"/>
        </w:rPr>
        <w:t>”。</w:t>
      </w:r>
      <w:r>
        <w:rPr>
          <w:rFonts w:hint="eastAsia" w:ascii="仿宋" w:hAnsi="仿宋" w:eastAsia="仿宋" w:cs="仿宋"/>
          <w:sz w:val="32"/>
          <w:szCs w:val="32"/>
        </w:rPr>
        <w:t>通过前述对整体支出情况的分析，反映出目前整体支出主要在预算执行方面还存在一些问题和不足：</w:t>
      </w:r>
      <w:r>
        <w:rPr>
          <w:rFonts w:hint="eastAsia" w:ascii="仿宋" w:hAnsi="仿宋" w:eastAsia="仿宋" w:cs="仿宋"/>
          <w:sz w:val="32"/>
          <w:szCs w:val="32"/>
          <w:lang w:val="en-US" w:eastAsia="zh-CN"/>
        </w:rPr>
        <w:t>我们将在下年予以重视，督促项目实施单位早启动、早实施、早验收，对符合条件的项目按照项目进度支付相关款项。</w:t>
      </w:r>
      <w:r>
        <w:rPr>
          <w:rFonts w:ascii="仿宋" w:hAnsi="仿宋" w:eastAsia="仿宋" w:cs="Times New Roman"/>
          <w:b/>
          <w:bCs/>
          <w:kern w:val="0"/>
          <w:sz w:val="32"/>
          <w:szCs w:val="32"/>
        </w:rPr>
        <w:t>二是部门评价结果。</w:t>
      </w:r>
      <w:r>
        <w:rPr>
          <w:rFonts w:hint="eastAsia" w:ascii="仿宋" w:hAnsi="仿宋" w:eastAsia="仿宋" w:cs="Times New Roman"/>
          <w:b w:val="0"/>
          <w:bCs w:val="0"/>
          <w:kern w:val="0"/>
          <w:sz w:val="32"/>
          <w:szCs w:val="32"/>
          <w:lang w:val="en-US" w:eastAsia="zh-CN"/>
        </w:rPr>
        <w:t>1</w:t>
      </w:r>
      <w:r>
        <w:rPr>
          <w:rFonts w:ascii="仿宋" w:hAnsi="仿宋" w:eastAsia="仿宋" w:cs="Times New Roman"/>
          <w:sz w:val="32"/>
          <w:szCs w:val="32"/>
        </w:rPr>
        <w:t>项目全年预算数</w:t>
      </w:r>
      <w:r>
        <w:rPr>
          <w:rFonts w:hint="eastAsia" w:ascii="仿宋" w:hAnsi="仿宋" w:eastAsia="仿宋" w:cs="Times New Roman"/>
          <w:sz w:val="32"/>
          <w:szCs w:val="32"/>
          <w:lang w:val="en-US" w:eastAsia="zh-CN"/>
        </w:rPr>
        <w:t>0</w:t>
      </w:r>
      <w:r>
        <w:rPr>
          <w:rFonts w:ascii="仿宋" w:hAnsi="仿宋" w:eastAsia="仿宋" w:cs="Times New Roman"/>
          <w:sz w:val="32"/>
          <w:szCs w:val="32"/>
        </w:rPr>
        <w:t>万元，执行数</w:t>
      </w:r>
      <w:r>
        <w:rPr>
          <w:rFonts w:hint="eastAsia" w:ascii="仿宋" w:hAnsi="仿宋" w:eastAsia="仿宋" w:cs="Times New Roman"/>
          <w:sz w:val="32"/>
          <w:szCs w:val="32"/>
          <w:lang w:val="en-US" w:eastAsia="zh-CN"/>
        </w:rPr>
        <w:t>3.23</w:t>
      </w:r>
      <w:r>
        <w:rPr>
          <w:rFonts w:ascii="仿宋" w:hAnsi="仿宋" w:eastAsia="仿宋" w:cs="Times New Roman"/>
          <w:sz w:val="32"/>
          <w:szCs w:val="32"/>
        </w:rPr>
        <w:t>万元，部门评价得分</w:t>
      </w:r>
      <w:r>
        <w:rPr>
          <w:rFonts w:hint="eastAsia" w:ascii="仿宋" w:hAnsi="仿宋" w:eastAsia="仿宋" w:cs="Times New Roman"/>
          <w:sz w:val="32"/>
          <w:szCs w:val="32"/>
          <w:lang w:val="en-US" w:eastAsia="zh-CN"/>
        </w:rPr>
        <w:t>99</w:t>
      </w:r>
      <w:r>
        <w:rPr>
          <w:rFonts w:ascii="仿宋" w:hAnsi="仿宋" w:eastAsia="仿宋" w:cs="Times New Roman"/>
          <w:sz w:val="32"/>
          <w:szCs w:val="32"/>
        </w:rPr>
        <w:t>分，评价等级为“</w:t>
      </w:r>
      <w:r>
        <w:rPr>
          <w:rFonts w:hint="eastAsia" w:ascii="仿宋" w:hAnsi="仿宋" w:eastAsia="仿宋" w:cs="Times New Roman"/>
          <w:sz w:val="32"/>
          <w:szCs w:val="32"/>
          <w:lang w:val="en-US" w:eastAsia="zh-CN"/>
        </w:rPr>
        <w:t>优秀</w:t>
      </w:r>
      <w:r>
        <w:rPr>
          <w:rFonts w:ascii="仿宋" w:hAnsi="仿宋" w:eastAsia="仿宋" w:cs="Times New Roman"/>
          <w:sz w:val="32"/>
          <w:szCs w:val="32"/>
        </w:rPr>
        <w:t>”。发现的主要问题及原因：</w:t>
      </w:r>
      <w:r>
        <w:rPr>
          <w:rFonts w:ascii="仿宋" w:hAnsi="仿宋" w:eastAsia="仿宋" w:cs="仿宋"/>
          <w:spacing w:val="-5"/>
          <w:sz w:val="32"/>
          <w:szCs w:val="32"/>
        </w:rPr>
        <w:t>部分项目实施周期相对较长，导致项目验收晚，预算执行进</w:t>
      </w:r>
      <w:r>
        <w:rPr>
          <w:rFonts w:ascii="仿宋" w:hAnsi="仿宋" w:eastAsia="仿宋" w:cs="仿宋"/>
          <w:spacing w:val="14"/>
          <w:sz w:val="32"/>
          <w:szCs w:val="32"/>
        </w:rPr>
        <w:t xml:space="preserve"> </w:t>
      </w:r>
      <w:r>
        <w:rPr>
          <w:rFonts w:ascii="仿宋" w:hAnsi="仿宋" w:eastAsia="仿宋" w:cs="仿宋"/>
          <w:spacing w:val="-4"/>
          <w:sz w:val="32"/>
          <w:szCs w:val="32"/>
        </w:rPr>
        <w:t>度偏慢，相对比较集中。我们将在下年予以重视，督促项</w:t>
      </w:r>
      <w:r>
        <w:rPr>
          <w:rFonts w:ascii="仿宋" w:hAnsi="仿宋" w:eastAsia="仿宋" w:cs="仿宋"/>
          <w:spacing w:val="-5"/>
          <w:sz w:val="32"/>
          <w:szCs w:val="32"/>
        </w:rPr>
        <w:t>目实施</w:t>
      </w:r>
      <w:r>
        <w:rPr>
          <w:rFonts w:ascii="仿宋" w:hAnsi="仿宋" w:eastAsia="仿宋" w:cs="仿宋"/>
          <w:sz w:val="32"/>
          <w:szCs w:val="32"/>
        </w:rPr>
        <w:t xml:space="preserve"> </w:t>
      </w:r>
      <w:r>
        <w:rPr>
          <w:rFonts w:ascii="仿宋" w:hAnsi="仿宋" w:eastAsia="仿宋" w:cs="仿宋"/>
          <w:spacing w:val="-4"/>
          <w:sz w:val="32"/>
          <w:szCs w:val="32"/>
        </w:rPr>
        <w:t>单位早启动、早实施、早验收，对符合条件的项目按照项</w:t>
      </w:r>
      <w:r>
        <w:rPr>
          <w:rFonts w:ascii="仿宋" w:hAnsi="仿宋" w:eastAsia="仿宋" w:cs="仿宋"/>
          <w:spacing w:val="-5"/>
          <w:sz w:val="32"/>
          <w:szCs w:val="32"/>
        </w:rPr>
        <w:t>目进度</w:t>
      </w:r>
      <w:r>
        <w:rPr>
          <w:rFonts w:ascii="仿宋" w:hAnsi="仿宋" w:eastAsia="仿宋" w:cs="仿宋"/>
          <w:sz w:val="32"/>
          <w:szCs w:val="32"/>
        </w:rPr>
        <w:t xml:space="preserve"> </w:t>
      </w:r>
      <w:r>
        <w:rPr>
          <w:rFonts w:ascii="仿宋" w:hAnsi="仿宋" w:eastAsia="仿宋" w:cs="仿宋"/>
          <w:spacing w:val="-8"/>
          <w:sz w:val="32"/>
          <w:szCs w:val="32"/>
        </w:rPr>
        <w:t>支付相关款项。</w:t>
      </w:r>
      <w:r>
        <w:rPr>
          <w:rFonts w:ascii="仿宋" w:hAnsi="仿宋" w:eastAsia="仿宋" w:cs="Times New Roman"/>
          <w:sz w:val="32"/>
          <w:szCs w:val="32"/>
        </w:rPr>
        <w:t>下一步改进措施：</w:t>
      </w:r>
      <w:r>
        <w:rPr>
          <w:rFonts w:ascii="仿宋" w:hAnsi="仿宋" w:eastAsia="仿宋" w:cs="仿宋"/>
          <w:spacing w:val="10"/>
          <w:sz w:val="32"/>
          <w:szCs w:val="32"/>
        </w:rPr>
        <w:t>强化预算管理，定期开展预算执行分析。进一步强化绩</w:t>
      </w:r>
      <w:r>
        <w:rPr>
          <w:rFonts w:ascii="仿宋" w:hAnsi="仿宋" w:eastAsia="仿宋" w:cs="仿宋"/>
          <w:spacing w:val="13"/>
          <w:sz w:val="32"/>
          <w:szCs w:val="32"/>
        </w:rPr>
        <w:t xml:space="preserve"> </w:t>
      </w:r>
      <w:r>
        <w:rPr>
          <w:rFonts w:ascii="仿宋" w:hAnsi="仿宋" w:eastAsia="仿宋" w:cs="仿宋"/>
          <w:spacing w:val="-4"/>
          <w:sz w:val="32"/>
          <w:szCs w:val="32"/>
        </w:rPr>
        <w:t>效理念，将绩效管理理念贯穿于资金分配到资金使用</w:t>
      </w:r>
      <w:r>
        <w:rPr>
          <w:rFonts w:ascii="仿宋" w:hAnsi="仿宋" w:eastAsia="仿宋" w:cs="仿宋"/>
          <w:spacing w:val="-5"/>
          <w:sz w:val="32"/>
          <w:szCs w:val="32"/>
        </w:rPr>
        <w:t>全过程，加</w:t>
      </w:r>
      <w:r>
        <w:rPr>
          <w:rFonts w:ascii="仿宋" w:hAnsi="仿宋" w:eastAsia="仿宋" w:cs="仿宋"/>
          <w:sz w:val="32"/>
          <w:szCs w:val="32"/>
        </w:rPr>
        <w:t xml:space="preserve"> </w:t>
      </w:r>
      <w:r>
        <w:rPr>
          <w:rFonts w:ascii="仿宋" w:hAnsi="仿宋" w:eastAsia="仿宋" w:cs="仿宋"/>
          <w:spacing w:val="-12"/>
          <w:sz w:val="32"/>
          <w:szCs w:val="32"/>
        </w:rPr>
        <w:t>大资金整合力度，强化专项资金管理，把有限的资金用在刀刃上，</w:t>
      </w:r>
      <w:r>
        <w:rPr>
          <w:rFonts w:ascii="仿宋" w:hAnsi="仿宋" w:eastAsia="仿宋" w:cs="仿宋"/>
          <w:spacing w:val="12"/>
          <w:sz w:val="32"/>
          <w:szCs w:val="32"/>
        </w:rPr>
        <w:t xml:space="preserve"> </w:t>
      </w:r>
      <w:r>
        <w:rPr>
          <w:rFonts w:ascii="仿宋" w:hAnsi="仿宋" w:eastAsia="仿宋" w:cs="仿宋"/>
          <w:spacing w:val="-4"/>
          <w:sz w:val="32"/>
          <w:szCs w:val="32"/>
        </w:rPr>
        <w:t>提高财政资金使用效益。同时，抓好内控制度建设，</w:t>
      </w:r>
      <w:r>
        <w:rPr>
          <w:rFonts w:ascii="仿宋" w:hAnsi="仿宋" w:eastAsia="仿宋" w:cs="仿宋"/>
          <w:spacing w:val="-5"/>
          <w:sz w:val="32"/>
          <w:szCs w:val="32"/>
        </w:rPr>
        <w:t>进一步降低</w:t>
      </w:r>
      <w:r>
        <w:rPr>
          <w:rFonts w:ascii="仿宋" w:hAnsi="仿宋" w:eastAsia="仿宋" w:cs="仿宋"/>
          <w:sz w:val="32"/>
          <w:szCs w:val="32"/>
        </w:rPr>
        <w:t xml:space="preserve"> </w:t>
      </w:r>
      <w:r>
        <w:rPr>
          <w:rFonts w:ascii="仿宋" w:hAnsi="仿宋" w:eastAsia="仿宋" w:cs="仿宋"/>
          <w:spacing w:val="-3"/>
          <w:sz w:val="32"/>
          <w:szCs w:val="32"/>
        </w:rPr>
        <w:t>行政成本，确保资金安全，进一步推进廉洁高效机关单位。</w:t>
      </w:r>
    </w:p>
    <w:p>
      <w:pPr>
        <w:spacing w:before="19" w:line="318" w:lineRule="auto"/>
        <w:ind w:right="81"/>
        <w:jc w:val="both"/>
        <w:rPr>
          <w:rFonts w:ascii="仿宋" w:hAnsi="仿宋" w:eastAsia="仿宋" w:cs="Times New Roman"/>
          <w:bCs/>
          <w:sz w:val="32"/>
          <w:szCs w:val="32"/>
        </w:rPr>
      </w:pPr>
      <w:r>
        <w:rPr>
          <w:rFonts w:ascii="仿宋" w:hAnsi="仿宋" w:eastAsia="仿宋" w:cs="Times New Roman"/>
          <w:b/>
          <w:bCs/>
          <w:kern w:val="0"/>
          <w:sz w:val="32"/>
          <w:szCs w:val="32"/>
        </w:rPr>
        <w:t>三是事前绩效评估结果。</w:t>
      </w:r>
      <w:r>
        <w:rPr>
          <w:rFonts w:ascii="仿宋" w:hAnsi="仿宋" w:eastAsia="仿宋" w:cs="Times New Roman"/>
          <w:kern w:val="0"/>
          <w:sz w:val="32"/>
          <w:szCs w:val="32"/>
        </w:rPr>
        <w:t>2024年度</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个重大项目事前绩效评估，其中，</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个项目评估通过，涉及资金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个项目评估不通过，涉及资金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p>
    <w:p>
      <w:pPr>
        <w:pStyle w:val="12"/>
        <w:overflowPunct w:val="0"/>
        <w:autoSpaceDE/>
        <w:autoSpaceDN/>
        <w:spacing w:line="600" w:lineRule="exact"/>
        <w:ind w:firstLine="640" w:firstLineChars="200"/>
        <w:jc w:val="both"/>
        <w:rPr>
          <w:rFonts w:ascii="仿宋" w:hAnsi="仿宋" w:eastAsia="仿宋" w:cs="Times New Roman"/>
          <w:b/>
          <w:bCs/>
          <w:color w:val="auto"/>
          <w:kern w:val="2"/>
          <w:sz w:val="32"/>
          <w:szCs w:val="32"/>
        </w:rPr>
      </w:pPr>
      <w:r>
        <w:rPr>
          <w:rFonts w:ascii="仿宋" w:hAnsi="仿宋" w:eastAsia="仿宋" w:cs="Times New Roman"/>
          <w:b/>
          <w:bCs/>
          <w:color w:val="auto"/>
          <w:kern w:val="2"/>
          <w:sz w:val="32"/>
          <w:szCs w:val="32"/>
        </w:rPr>
        <w:t>（三）评价结果应用情况。</w:t>
      </w:r>
    </w:p>
    <w:p>
      <w:pPr>
        <w:pStyle w:val="12"/>
        <w:overflowPunct w:val="0"/>
        <w:autoSpaceDE/>
        <w:autoSpaceDN/>
        <w:spacing w:line="600" w:lineRule="exact"/>
        <w:ind w:firstLine="640" w:firstLineChars="200"/>
        <w:jc w:val="both"/>
        <w:rPr>
          <w:rFonts w:hint="eastAsia" w:ascii="仿宋" w:hAnsi="仿宋" w:eastAsia="仿宋" w:cs="Times New Roman"/>
          <w:color w:val="auto"/>
          <w:sz w:val="32"/>
          <w:szCs w:val="32"/>
        </w:rPr>
      </w:pPr>
      <w:r>
        <w:rPr>
          <w:rFonts w:hint="eastAsia" w:ascii="仿宋" w:hAnsi="仿宋" w:eastAsia="仿宋" w:cs="Times New Roman"/>
          <w:color w:val="auto"/>
          <w:sz w:val="32"/>
          <w:szCs w:val="32"/>
        </w:rPr>
        <w:t>现围绕2024年度绩效自评结果、项目评价结果从支出结构调整，资金管理，制度建设四方面说明2025年度结果</w:t>
      </w:r>
      <w:r>
        <w:rPr>
          <w:rFonts w:hint="eastAsia" w:ascii="仿宋" w:hAnsi="仿宋" w:eastAsia="仿宋" w:cs="Times New Roman"/>
          <w:color w:val="auto"/>
          <w:sz w:val="32"/>
          <w:szCs w:val="32"/>
          <w:lang w:val="en-US" w:eastAsia="zh-CN"/>
        </w:rPr>
        <w:t>应</w:t>
      </w:r>
      <w:r>
        <w:rPr>
          <w:rFonts w:hint="eastAsia" w:ascii="仿宋" w:hAnsi="仿宋" w:eastAsia="仿宋" w:cs="Times New Roman"/>
          <w:color w:val="auto"/>
          <w:sz w:val="32"/>
          <w:szCs w:val="32"/>
        </w:rPr>
        <w:t>用方向。</w:t>
      </w:r>
    </w:p>
    <w:p>
      <w:pPr>
        <w:pStyle w:val="12"/>
        <w:overflowPunct w:val="0"/>
        <w:autoSpaceDE/>
        <w:autoSpaceDN/>
        <w:spacing w:line="600" w:lineRule="exact"/>
        <w:ind w:firstLine="640" w:firstLineChars="200"/>
        <w:jc w:val="both"/>
        <w:rPr>
          <w:rFonts w:hint="eastAsia" w:ascii="仿宋" w:hAnsi="仿宋" w:eastAsia="仿宋" w:cs="Times New Roman"/>
          <w:color w:val="auto"/>
          <w:sz w:val="32"/>
          <w:szCs w:val="32"/>
        </w:rPr>
      </w:pPr>
      <w:r>
        <w:rPr>
          <w:rFonts w:hint="eastAsia" w:ascii="仿宋" w:hAnsi="仿宋" w:eastAsia="仿宋" w:cs="Times New Roman"/>
          <w:color w:val="auto"/>
          <w:sz w:val="32"/>
          <w:szCs w:val="32"/>
        </w:rPr>
        <w:t>一、预算安排：优先保障优质项目，对评价结果为优秀的项目，结合2025年需求与财力状况优先安排预算。</w:t>
      </w:r>
    </w:p>
    <w:p>
      <w:pPr>
        <w:pStyle w:val="12"/>
        <w:overflowPunct w:val="0"/>
        <w:autoSpaceDE/>
        <w:autoSpaceDN/>
        <w:spacing w:line="600" w:lineRule="exact"/>
        <w:ind w:firstLine="640" w:firstLineChars="200"/>
        <w:jc w:val="both"/>
        <w:rPr>
          <w:rFonts w:hint="eastAsia" w:ascii="仿宋" w:hAnsi="仿宋" w:eastAsia="仿宋" w:cs="Times New Roman"/>
          <w:color w:val="auto"/>
          <w:sz w:val="32"/>
          <w:szCs w:val="32"/>
        </w:rPr>
      </w:pPr>
      <w:r>
        <w:rPr>
          <w:rFonts w:hint="eastAsia" w:ascii="仿宋" w:hAnsi="仿宋" w:eastAsia="仿宋" w:cs="Times New Roman"/>
          <w:color w:val="auto"/>
          <w:sz w:val="32"/>
          <w:szCs w:val="32"/>
        </w:rPr>
        <w:t>二、支出结构调整：重点倾斜核心高效领域及重点任务，严控无效支出。</w:t>
      </w:r>
    </w:p>
    <w:p>
      <w:pPr>
        <w:pStyle w:val="12"/>
        <w:overflowPunct w:val="0"/>
        <w:autoSpaceDE/>
        <w:autoSpaceDN/>
        <w:spacing w:line="600" w:lineRule="exact"/>
        <w:ind w:firstLine="640" w:firstLineChars="200"/>
        <w:jc w:val="both"/>
        <w:rPr>
          <w:rFonts w:hint="eastAsia" w:ascii="仿宋" w:hAnsi="仿宋" w:eastAsia="仿宋" w:cs="Times New Roman"/>
          <w:color w:val="auto"/>
          <w:sz w:val="32"/>
          <w:szCs w:val="32"/>
        </w:rPr>
      </w:pPr>
      <w:r>
        <w:rPr>
          <w:rFonts w:hint="eastAsia" w:ascii="仿宋" w:hAnsi="仿宋" w:eastAsia="仿宋" w:cs="Times New Roman"/>
          <w:color w:val="auto"/>
          <w:sz w:val="32"/>
          <w:szCs w:val="32"/>
        </w:rPr>
        <w:t>三、资金管理：精准监控重点项目，2025年纳入重点绩效监控，强化过程监管，确保资金安全高效。</w:t>
      </w:r>
    </w:p>
    <w:p>
      <w:pPr>
        <w:pStyle w:val="12"/>
        <w:overflowPunct w:val="0"/>
        <w:autoSpaceDE/>
        <w:autoSpaceDN/>
        <w:spacing w:line="600" w:lineRule="exact"/>
        <w:ind w:firstLine="640" w:firstLineChars="200"/>
        <w:jc w:val="both"/>
        <w:rPr>
          <w:rFonts w:ascii="仿宋" w:hAnsi="仿宋" w:eastAsia="仿宋" w:cs="Times New Roman"/>
          <w:b/>
          <w:bCs/>
          <w:color w:val="auto"/>
          <w:kern w:val="2"/>
          <w:sz w:val="32"/>
          <w:szCs w:val="32"/>
        </w:rPr>
      </w:pPr>
      <w:r>
        <w:rPr>
          <w:rFonts w:hint="eastAsia" w:ascii="仿宋" w:hAnsi="仿宋" w:eastAsia="仿宋" w:cs="Times New Roman"/>
          <w:color w:val="auto"/>
          <w:sz w:val="32"/>
          <w:szCs w:val="32"/>
        </w:rPr>
        <w:t>四、制度建设：细化2025年绩效目标编制标准，侧重社会效益，建立长效考核机制，形成“重绩效、讲实效”的管理氛围。</w:t>
      </w:r>
    </w:p>
    <w:p>
      <w:pPr>
        <w:pStyle w:val="12"/>
        <w:jc w:val="center"/>
        <w:rPr>
          <w:rFonts w:ascii="仿宋" w:hAnsi="仿宋" w:eastAsia="仿宋" w:cs="Times New Roman"/>
          <w:sz w:val="32"/>
          <w:szCs w:val="32"/>
        </w:rPr>
      </w:pPr>
    </w:p>
    <w:p>
      <w:pPr>
        <w:pStyle w:val="12"/>
        <w:jc w:val="center"/>
        <w:rPr>
          <w:rFonts w:ascii="仿宋" w:hAnsi="仿宋" w:eastAsia="仿宋" w:cs="Times New Roman"/>
          <w:sz w:val="32"/>
          <w:szCs w:val="32"/>
        </w:rPr>
      </w:pPr>
    </w:p>
    <w:p>
      <w:pPr>
        <w:pStyle w:val="12"/>
        <w:spacing w:line="360" w:lineRule="auto"/>
        <w:ind w:firstLine="3200" w:firstLineChars="1000"/>
        <w:jc w:val="both"/>
        <w:rPr>
          <w:rFonts w:ascii="仿宋" w:hAnsi="仿宋" w:eastAsia="仿宋" w:cs="Times New Roman"/>
          <w:sz w:val="32"/>
          <w:szCs w:val="32"/>
        </w:rPr>
      </w:pPr>
      <w:r>
        <w:rPr>
          <w:rFonts w:ascii="仿宋" w:hAnsi="仿宋" w:eastAsia="仿宋" w:cs="Times New Roman"/>
          <w:sz w:val="32"/>
          <w:szCs w:val="32"/>
        </w:rPr>
        <w:t>第四部分    名词解释</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1</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财政拨款收入：指单位本年度从同级财政部门取得的各类</w:t>
      </w:r>
      <w:r>
        <w:rPr>
          <w:rFonts w:hint="eastAsia" w:ascii="仿宋" w:hAnsi="仿宋" w:eastAsia="仿宋" w:cs="仿宋"/>
          <w:spacing w:val="0"/>
          <w:position w:val="0"/>
          <w:sz w:val="32"/>
          <w:szCs w:val="32"/>
          <w:lang w:eastAsia="zh-CN"/>
        </w:rPr>
        <w:t>财</w:t>
      </w:r>
      <w:r>
        <w:rPr>
          <w:rFonts w:ascii="仿宋" w:hAnsi="仿宋" w:eastAsia="仿宋" w:cs="仿宋"/>
          <w:spacing w:val="0"/>
          <w:position w:val="0"/>
          <w:sz w:val="32"/>
          <w:szCs w:val="32"/>
        </w:rPr>
        <w:t>政拨款。</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2</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3</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事业收入：指事业单位开展专业业务活动及其辅助活动取得的收入，事业单位收到的财政专户实际核拨的教育收费等资金在此反映。</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4</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经营收入：指事业单位在专业业务活动及其辅助活动之外开展非独立核算经营活动取得的收入。</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5</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附属单位上缴收入：指事业单位附属独立核算单位按照有关规定上缴的收入。</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6</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其他收入：指单位取得的除上述“财政拨款收入 ”、“事业收入”、“经营收入”等以外的各项收入。</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7</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使用非财政拨款结余：指事业单位使用非财政拨款结余（原事业基金）弥补当年收支差额的数额。</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8</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年初结转和结余：指单位上年结转本年使用的基本支出结转、项目支出结转和结余和经营结余。</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2"/>
          <w:szCs w:val="32"/>
        </w:rPr>
      </w:pPr>
      <w:r>
        <w:rPr>
          <w:rFonts w:ascii="仿宋" w:hAnsi="仿宋" w:eastAsia="仿宋" w:cs="仿宋"/>
          <w:spacing w:val="0"/>
          <w:position w:val="0"/>
          <w:sz w:val="32"/>
          <w:szCs w:val="32"/>
        </w:rPr>
        <w:t>9</w:t>
      </w:r>
      <w:r>
        <w:rPr>
          <w:rFonts w:hint="eastAsia" w:ascii="仿宋" w:hAnsi="仿宋" w:eastAsia="仿宋" w:cs="仿宋"/>
          <w:spacing w:val="0"/>
          <w:position w:val="0"/>
          <w:sz w:val="32"/>
          <w:szCs w:val="32"/>
          <w:lang w:val="en-US" w:eastAsia="zh-CN"/>
        </w:rPr>
        <w:t>.</w:t>
      </w:r>
      <w:r>
        <w:rPr>
          <w:rFonts w:ascii="仿宋" w:hAnsi="仿宋" w:eastAsia="仿宋" w:cs="仿宋"/>
          <w:spacing w:val="0"/>
          <w:position w:val="0"/>
          <w:sz w:val="32"/>
          <w:szCs w:val="32"/>
        </w:rPr>
        <w:t>结余分配：指事业单位按规定对非财政拨款结余资金提取的专用基金、缴纳的所得税和转入非财政拨款结余等。</w:t>
      </w:r>
    </w:p>
    <w:p>
      <w:pPr>
        <w:pStyle w:val="12"/>
        <w:spacing w:line="360" w:lineRule="auto"/>
        <w:ind w:firstLine="2560" w:firstLineChars="800"/>
        <w:jc w:val="both"/>
        <w:rPr>
          <w:rFonts w:ascii="仿宋" w:hAnsi="仿宋" w:eastAsia="仿宋" w:cs="Times New Roman"/>
          <w:sz w:val="32"/>
          <w:szCs w:val="32"/>
        </w:rPr>
      </w:pPr>
      <w:r>
        <w:rPr>
          <w:rFonts w:ascii="仿宋" w:hAnsi="仿宋" w:eastAsia="仿宋" w:cs="Times New Roman"/>
          <w:sz w:val="32"/>
          <w:szCs w:val="32"/>
        </w:rPr>
        <w:t>第五部分   附 件</w:t>
      </w:r>
    </w:p>
    <w:p>
      <w:pPr>
        <w:rPr>
          <w:rFonts w:ascii="仿宋" w:hAnsi="仿宋" w:eastAsia="仿宋" w:cs="Times New Roman"/>
          <w:sz w:val="32"/>
          <w:szCs w:val="32"/>
        </w:rPr>
      </w:pPr>
    </w:p>
    <w:p>
      <w:pPr>
        <w:pStyle w:val="12"/>
        <w:spacing w:line="600" w:lineRule="exact"/>
        <w:ind w:firstLine="640" w:firstLineChars="200"/>
        <w:rPr>
          <w:rFonts w:ascii="仿宋" w:hAnsi="仿宋" w:eastAsia="仿宋" w:cs="Times New Roman"/>
          <w:sz w:val="32"/>
          <w:szCs w:val="32"/>
        </w:rPr>
      </w:pPr>
    </w:p>
    <w:p>
      <w:pPr>
        <w:pStyle w:val="12"/>
        <w:jc w:val="center"/>
        <w:rPr>
          <w:rFonts w:ascii="仿宋" w:hAnsi="仿宋" w:eastAsia="仿宋" w:cs="Times New Roman"/>
          <w:sz w:val="32"/>
          <w:szCs w:val="32"/>
        </w:rPr>
      </w:pPr>
    </w:p>
    <w:p>
      <w:pPr>
        <w:pStyle w:val="12"/>
        <w:jc w:val="center"/>
        <w:rPr>
          <w:rFonts w:ascii="仿宋" w:hAnsi="仿宋" w:eastAsia="仿宋" w:cs="Times New Roman"/>
          <w:sz w:val="32"/>
          <w:szCs w:val="32"/>
        </w:rPr>
      </w:pPr>
    </w:p>
    <w:p>
      <w:pPr>
        <w:jc w:val="left"/>
        <w:rPr>
          <w:rFonts w:ascii="仿宋" w:hAnsi="仿宋" w:eastAsia="仿宋" w:cs="Times New Roman"/>
          <w:color w:val="000000"/>
          <w:kern w:val="0"/>
          <w:sz w:val="32"/>
          <w:szCs w:val="32"/>
        </w:rPr>
      </w:pPr>
      <w:bookmarkStart w:id="0" w:name="_GoBack"/>
      <w:bookmarkEnd w:id="0"/>
    </w:p>
    <w:sectPr>
      <w:footerReference r:id="rId7"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124"/>
      <w:rPr>
        <w:rFonts w:ascii="Calibri" w:hAnsi="Calibri" w:eastAsia="Calibri" w:cs="Calibri"/>
        <w:sz w:val="18"/>
        <w:szCs w:val="18"/>
      </w:rPr>
    </w:pPr>
    <w:r>
      <w:rPr>
        <w:rFonts w:ascii="Calibri" w:hAnsi="Calibri" w:eastAsia="Calibri" w:cs="Calibri"/>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13"/>
      <w:rPr>
        <w:rFonts w:ascii="黑体" w:hAnsi="黑体" w:eastAsia="黑体" w:cs="黑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Q0NjRhZWI0OTMzY2IyM2U5YmZhZWU2OTUzMWNlNzk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33A78"/>
    <w:rsid w:val="00152C6D"/>
    <w:rsid w:val="00162D39"/>
    <w:rsid w:val="001678BD"/>
    <w:rsid w:val="00182373"/>
    <w:rsid w:val="001A67DB"/>
    <w:rsid w:val="001B67D1"/>
    <w:rsid w:val="001C3C29"/>
    <w:rsid w:val="001D2B79"/>
    <w:rsid w:val="001D51E5"/>
    <w:rsid w:val="001E080D"/>
    <w:rsid w:val="001E1AF4"/>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2F52"/>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50F86"/>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F37411"/>
    <w:rsid w:val="066D2B0D"/>
    <w:rsid w:val="0D9F44AC"/>
    <w:rsid w:val="115522FD"/>
    <w:rsid w:val="11EC2F35"/>
    <w:rsid w:val="19216C19"/>
    <w:rsid w:val="1ACD623A"/>
    <w:rsid w:val="1D97DEFF"/>
    <w:rsid w:val="1DFF72E5"/>
    <w:rsid w:val="1ECF1DF3"/>
    <w:rsid w:val="1EFC6F07"/>
    <w:rsid w:val="2FDF85B8"/>
    <w:rsid w:val="2FFFEE04"/>
    <w:rsid w:val="34DF85B0"/>
    <w:rsid w:val="3B8F36BC"/>
    <w:rsid w:val="491FF225"/>
    <w:rsid w:val="4C4F79D3"/>
    <w:rsid w:val="4FFD214C"/>
    <w:rsid w:val="51046FBD"/>
    <w:rsid w:val="5777D4F5"/>
    <w:rsid w:val="59DD8326"/>
    <w:rsid w:val="5DEF592A"/>
    <w:rsid w:val="5FC6BB1E"/>
    <w:rsid w:val="5FF720F1"/>
    <w:rsid w:val="675148F4"/>
    <w:rsid w:val="67FF5C0B"/>
    <w:rsid w:val="6EFC0924"/>
    <w:rsid w:val="6FB74722"/>
    <w:rsid w:val="6FEF8B7E"/>
    <w:rsid w:val="71A6591B"/>
    <w:rsid w:val="737D59BA"/>
    <w:rsid w:val="77C37683"/>
    <w:rsid w:val="77F86BB9"/>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7396</Words>
  <Characters>8199</Characters>
  <Lines>68</Lines>
  <Paragraphs>19</Paragraphs>
  <TotalTime>8</TotalTime>
  <ScaleCrop>false</ScaleCrop>
  <LinksUpToDate>false</LinksUpToDate>
  <CharactersWithSpaces>9445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2025-10-17T00:31:00Z</dcterms:created>
  <dc:creator>李航 null</dc:creator>
  <cp:lastModifiedBy>红苹果</cp:lastModifiedBy>
  <cp:lastPrinted>2024-08-08T18:20:00Z</cp:lastPrinted>
  <dcterms:modified xsi:type="dcterms:W3CDTF">2025-10-31T03:35:36Z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BB7B6AA21D207914D6FDA268992A22D6</vt:lpwstr>
  </property>
</Properties>
</file>