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25F3">
      <w:pPr>
        <w:spacing w:line="560" w:lineRule="exact"/>
        <w:jc w:val="center"/>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val="en-US" w:eastAsia="zh-CN"/>
        </w:rPr>
        <w:t>2024年度</w:t>
      </w:r>
      <w:r>
        <w:rPr>
          <w:rFonts w:hint="eastAsia" w:ascii="Times New Roman" w:hAnsi="Times New Roman" w:eastAsia="方正小标宋简体" w:cs="Times New Roman"/>
          <w:kern w:val="2"/>
          <w:sz w:val="44"/>
          <w:szCs w:val="44"/>
          <w:lang w:val="en-US" w:eastAsia="zh-CN"/>
        </w:rPr>
        <w:t>南岳</w:t>
      </w:r>
      <w:r>
        <w:rPr>
          <w:rFonts w:hint="default" w:ascii="Times New Roman" w:hAnsi="Times New Roman" w:eastAsia="方正小标宋简体" w:cs="Times New Roman"/>
          <w:kern w:val="2"/>
          <w:sz w:val="44"/>
          <w:szCs w:val="44"/>
          <w:lang w:val="en-US" w:eastAsia="zh-CN"/>
        </w:rPr>
        <w:t>区</w:t>
      </w:r>
      <w:r>
        <w:rPr>
          <w:rFonts w:hint="eastAsia" w:ascii="Times New Roman" w:hAnsi="Times New Roman" w:eastAsia="方正小标宋简体" w:cs="Times New Roman"/>
          <w:kern w:val="2"/>
          <w:sz w:val="44"/>
          <w:szCs w:val="44"/>
          <w:lang w:val="en-US" w:eastAsia="zh-CN"/>
        </w:rPr>
        <w:t>自然资源局植被恢复费返还</w:t>
      </w:r>
      <w:r>
        <w:rPr>
          <w:rFonts w:hint="default" w:ascii="Times New Roman" w:hAnsi="Times New Roman" w:eastAsia="方正小标宋简体" w:cs="Times New Roman"/>
          <w:kern w:val="2"/>
          <w:sz w:val="44"/>
          <w:szCs w:val="44"/>
          <w:lang w:val="en-US" w:eastAsia="zh-CN"/>
        </w:rPr>
        <w:t>专项资金部门绩效评价报告</w:t>
      </w:r>
    </w:p>
    <w:p w14:paraId="6C107ECC">
      <w:pPr>
        <w:spacing w:line="560" w:lineRule="exact"/>
        <w:jc w:val="center"/>
        <w:rPr>
          <w:rFonts w:hint="default" w:ascii="Times New Roman" w:hAnsi="Times New Roman" w:eastAsia="仿宋" w:cs="Times New Roman"/>
          <w:kern w:val="2"/>
          <w:sz w:val="32"/>
          <w:szCs w:val="32"/>
          <w:lang w:eastAsia="zh-CN"/>
        </w:rPr>
      </w:pPr>
    </w:p>
    <w:p w14:paraId="159A0A28">
      <w:pPr>
        <w:spacing w:line="560" w:lineRule="exact"/>
        <w:ind w:firstLine="640" w:firstLineChars="200"/>
        <w:rPr>
          <w:rFonts w:hint="default" w:ascii="Times New Roman" w:hAnsi="Times New Roman" w:eastAsia="仿宋" w:cs="Times New Roman"/>
          <w:kern w:val="2"/>
          <w:sz w:val="32"/>
          <w:szCs w:val="32"/>
        </w:rPr>
      </w:pPr>
    </w:p>
    <w:p w14:paraId="5C67411B">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为进一步规范财政资金管理，提高资金使用效益，强化绩效和责任意识，根据《关于开展202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default" w:ascii="Times New Roman" w:hAnsi="Times New Roman" w:eastAsia="仿宋" w:cs="Times New Roman"/>
          <w:kern w:val="2"/>
          <w:sz w:val="32"/>
          <w:szCs w:val="32"/>
          <w:lang w:eastAsia="zh-CN"/>
        </w:rPr>
        <w:t>区</w:t>
      </w:r>
      <w:r>
        <w:rPr>
          <w:rFonts w:hint="default" w:ascii="Times New Roman" w:hAnsi="Times New Roman" w:eastAsia="仿宋" w:cs="Times New Roman"/>
          <w:kern w:val="2"/>
          <w:sz w:val="32"/>
          <w:szCs w:val="32"/>
        </w:rPr>
        <w:t>预算</w:t>
      </w:r>
      <w:r>
        <w:rPr>
          <w:rFonts w:hint="default" w:ascii="Times New Roman" w:hAnsi="Times New Roman" w:eastAsia="仿宋" w:cs="Times New Roman"/>
          <w:kern w:val="2"/>
          <w:sz w:val="32"/>
          <w:szCs w:val="32"/>
          <w:lang w:eastAsia="zh-CN"/>
        </w:rPr>
        <w:t>单位</w:t>
      </w:r>
      <w:r>
        <w:rPr>
          <w:rFonts w:hint="default" w:ascii="Times New Roman" w:hAnsi="Times New Roman" w:eastAsia="仿宋" w:cs="Times New Roman"/>
          <w:kern w:val="2"/>
          <w:sz w:val="32"/>
          <w:szCs w:val="32"/>
        </w:rPr>
        <w:t>绩效自评和部门评价的通知》（</w:t>
      </w:r>
      <w:r>
        <w:rPr>
          <w:rFonts w:hint="default" w:ascii="Times New Roman" w:hAnsi="Times New Roman" w:eastAsia="仿宋" w:cs="Times New Roman"/>
          <w:kern w:val="2"/>
          <w:sz w:val="32"/>
          <w:szCs w:val="32"/>
          <w:lang w:eastAsia="zh-CN"/>
        </w:rPr>
        <w:t>岳</w:t>
      </w:r>
      <w:r>
        <w:rPr>
          <w:rFonts w:hint="default" w:ascii="Times New Roman" w:hAnsi="Times New Roman" w:eastAsia="仿宋" w:cs="Times New Roman"/>
          <w:kern w:val="2"/>
          <w:sz w:val="32"/>
          <w:szCs w:val="32"/>
        </w:rPr>
        <w:t>财</w:t>
      </w:r>
      <w:r>
        <w:rPr>
          <w:rFonts w:hint="default" w:ascii="Times New Roman" w:hAnsi="Times New Roman" w:eastAsia="仿宋" w:cs="Times New Roman"/>
          <w:kern w:val="2"/>
          <w:sz w:val="32"/>
          <w:szCs w:val="32"/>
          <w:lang w:eastAsia="zh-CN"/>
        </w:rPr>
        <w:t>字</w:t>
      </w: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w:t>
      </w:r>
      <w:r>
        <w:rPr>
          <w:rFonts w:hint="eastAsia" w:ascii="Times New Roman" w:hAnsi="Times New Roman" w:eastAsia="仿宋" w:cs="Times New Roman"/>
          <w:kern w:val="2"/>
          <w:sz w:val="32"/>
          <w:szCs w:val="32"/>
          <w:lang w:val="en-US" w:eastAsia="zh-CN"/>
        </w:rPr>
        <w:t>14</w:t>
      </w:r>
      <w:r>
        <w:rPr>
          <w:rFonts w:hint="default" w:ascii="Times New Roman" w:hAnsi="Times New Roman" w:eastAsia="仿宋" w:cs="Times New Roman"/>
          <w:kern w:val="2"/>
          <w:sz w:val="32"/>
          <w:szCs w:val="32"/>
        </w:rPr>
        <w:t>号）、《湖南省预算支出绩效评价管理办法》（湘财绩〔2020〕7号）等文件要求，我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绩效评价小组于2024年</w:t>
      </w:r>
      <w:r>
        <w:rPr>
          <w:rFonts w:hint="default"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月对202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进行了绩效评价。在项目实施单位提供资料的基础上，按照重要性原则，根据项目的实际情况，开展了资料审阅、账务核实、现场查勘等现场评价程序，并结合项目决策、项目实施、项目产出、项目效益等情况对</w:t>
      </w:r>
      <w:r>
        <w:rPr>
          <w:rFonts w:hint="default" w:ascii="Times New Roman" w:hAnsi="Times New Roman" w:eastAsia="仿宋" w:cs="Times New Roman"/>
          <w:kern w:val="2"/>
          <w:sz w:val="32"/>
          <w:szCs w:val="32"/>
          <w:lang w:eastAsia="zh-CN"/>
        </w:rPr>
        <w:t>本单位及使用该专项资金的相关所辖二级预算单位的本</w:t>
      </w:r>
      <w:r>
        <w:rPr>
          <w:rFonts w:hint="default" w:ascii="Times New Roman" w:hAnsi="Times New Roman" w:eastAsia="仿宋" w:cs="Times New Roman"/>
          <w:kern w:val="2"/>
          <w:sz w:val="32"/>
          <w:szCs w:val="32"/>
        </w:rPr>
        <w:t>项目进行了综合评价，现将</w:t>
      </w:r>
      <w:r>
        <w:rPr>
          <w:rFonts w:hint="default" w:ascii="Times New Roman" w:hAnsi="Times New Roman" w:eastAsia="仿宋" w:cs="Times New Roman"/>
          <w:kern w:val="2"/>
          <w:sz w:val="32"/>
          <w:szCs w:val="32"/>
          <w:lang w:eastAsia="zh-CN"/>
        </w:rPr>
        <w:t>部门</w:t>
      </w:r>
      <w:r>
        <w:rPr>
          <w:rFonts w:hint="default" w:ascii="Times New Roman" w:hAnsi="Times New Roman" w:eastAsia="仿宋" w:cs="Times New Roman"/>
          <w:kern w:val="2"/>
          <w:sz w:val="32"/>
          <w:szCs w:val="32"/>
        </w:rPr>
        <w:t>评价情况报告如下：</w:t>
      </w:r>
    </w:p>
    <w:p w14:paraId="3DCBC8E4">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一、预算支出基本情况</w:t>
      </w:r>
    </w:p>
    <w:p w14:paraId="1339D874">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（一）预算支出概况</w:t>
      </w:r>
    </w:p>
    <w:p w14:paraId="63C73A81">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1.项目背景</w:t>
      </w:r>
    </w:p>
    <w:p w14:paraId="4B54701D">
      <w:pPr>
        <w:spacing w:line="560" w:lineRule="exact"/>
        <w:ind w:firstLine="640" w:firstLineChars="200"/>
        <w:rPr>
          <w:rFonts w:hint="default" w:ascii="Times New Roman" w:hAnsi="Times New Roman" w:eastAsia="仿宋" w:cs="Times New Roman"/>
          <w:kern w:val="2"/>
          <w:sz w:val="32"/>
          <w:szCs w:val="32"/>
        </w:rPr>
      </w:pPr>
      <w:r>
        <w:rPr>
          <w:rFonts w:hint="default" w:eastAsia="仿宋_GB2312"/>
          <w:sz w:val="32"/>
          <w:szCs w:val="32"/>
        </w:rPr>
        <w:t>根据</w:t>
      </w:r>
      <w:r>
        <w:rPr>
          <w:rFonts w:hint="eastAsia" w:eastAsia="仿宋_GB2312"/>
          <w:sz w:val="32"/>
          <w:szCs w:val="32"/>
          <w:lang w:eastAsia="zh-CN"/>
        </w:rPr>
        <w:t>《</w:t>
      </w:r>
      <w:r>
        <w:rPr>
          <w:rFonts w:hint="default" w:eastAsia="仿宋_GB2312"/>
          <w:sz w:val="32"/>
          <w:szCs w:val="32"/>
        </w:rPr>
        <w:t>湖南省财政厅 湖南省林业局</w:t>
      </w:r>
      <w:r>
        <w:rPr>
          <w:rFonts w:hint="eastAsia" w:eastAsia="仿宋_GB2312"/>
          <w:sz w:val="32"/>
          <w:szCs w:val="32"/>
          <w:lang w:val="en-US" w:eastAsia="zh-CN"/>
        </w:rPr>
        <w:t>&lt;</w:t>
      </w:r>
      <w:r>
        <w:rPr>
          <w:rFonts w:hint="default" w:eastAsia="仿宋_GB2312"/>
          <w:sz w:val="32"/>
          <w:szCs w:val="32"/>
        </w:rPr>
        <w:t>关于印发湖南省森林植被恢复费征收使用管理实施办法</w:t>
      </w:r>
      <w:r>
        <w:rPr>
          <w:rFonts w:hint="eastAsia" w:eastAsia="仿宋_GB2312"/>
          <w:sz w:val="32"/>
          <w:szCs w:val="32"/>
          <w:lang w:val="en-US" w:eastAsia="zh-CN"/>
        </w:rPr>
        <w:t>&gt;</w:t>
      </w:r>
      <w:r>
        <w:rPr>
          <w:rFonts w:hint="default" w:eastAsia="仿宋_GB2312"/>
          <w:sz w:val="32"/>
          <w:szCs w:val="32"/>
        </w:rPr>
        <w:t>的通知</w:t>
      </w:r>
      <w:r>
        <w:rPr>
          <w:rFonts w:hint="eastAsia" w:eastAsia="仿宋_GB2312"/>
          <w:sz w:val="32"/>
          <w:szCs w:val="32"/>
          <w:lang w:eastAsia="zh-CN"/>
        </w:rPr>
        <w:t>》</w:t>
      </w:r>
      <w:r>
        <w:rPr>
          <w:rFonts w:hint="default" w:eastAsia="仿宋_GB2312"/>
          <w:sz w:val="32"/>
          <w:szCs w:val="32"/>
        </w:rPr>
        <w:t>要求，该</w:t>
      </w:r>
      <w:r>
        <w:rPr>
          <w:rFonts w:hint="eastAsia" w:eastAsia="仿宋_GB2312"/>
          <w:sz w:val="32"/>
          <w:szCs w:val="32"/>
          <w:lang w:val="en-US" w:eastAsia="zh-CN"/>
        </w:rPr>
        <w:t>资金</w:t>
      </w:r>
      <w:r>
        <w:rPr>
          <w:rFonts w:hint="default" w:eastAsia="仿宋_GB2312"/>
          <w:sz w:val="32"/>
          <w:szCs w:val="32"/>
        </w:rPr>
        <w:t>主要统筹用于林业主管部门组织的植树造林和恢复森林植被，包括调查规划设计、整地、造林、抚育、封山育林、护林防火、病虫害防治、资源管护等林业发展支出</w:t>
      </w:r>
      <w:r>
        <w:rPr>
          <w:rFonts w:hint="eastAsia" w:eastAsia="仿宋_GB2312"/>
          <w:sz w:val="32"/>
          <w:szCs w:val="32"/>
          <w:lang w:eastAsia="zh-CN"/>
        </w:rPr>
        <w:t>。</w:t>
      </w: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eastAsia="zh-CN"/>
        </w:rPr>
        <w:t>我区</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专项资金预算额度</w:t>
      </w:r>
      <w:r>
        <w:rPr>
          <w:rFonts w:hint="eastAsia" w:ascii="Times New Roman" w:hAnsi="Times New Roman" w:eastAsia="仿宋" w:cs="Times New Roman"/>
          <w:kern w:val="2"/>
          <w:sz w:val="30"/>
          <w:szCs w:val="30"/>
          <w:lang w:val="en-US" w:eastAsia="zh-CN"/>
        </w:rPr>
        <w:t>76.83</w:t>
      </w:r>
      <w:r>
        <w:rPr>
          <w:rFonts w:hint="eastAsia" w:ascii="Times New Roman" w:hAnsi="Times New Roman" w:eastAsia="仿宋" w:cs="Times New Roman"/>
          <w:kern w:val="2"/>
          <w:sz w:val="32"/>
          <w:szCs w:val="32"/>
          <w:lang w:val="en-US" w:eastAsia="zh-CN"/>
        </w:rPr>
        <w:t>48</w:t>
      </w:r>
      <w:r>
        <w:rPr>
          <w:rFonts w:hint="default" w:ascii="Times New Roman" w:hAnsi="Times New Roman" w:eastAsia="仿宋" w:cs="Times New Roman"/>
          <w:kern w:val="2"/>
          <w:sz w:val="32"/>
          <w:szCs w:val="32"/>
        </w:rPr>
        <w:t>万元。其中，按财政</w:t>
      </w:r>
      <w:r>
        <w:rPr>
          <w:rFonts w:hint="default" w:ascii="Times New Roman" w:hAnsi="Times New Roman" w:eastAsia="仿宋" w:cs="Times New Roman"/>
          <w:kern w:val="2"/>
          <w:sz w:val="32"/>
          <w:szCs w:val="32"/>
          <w:lang w:eastAsia="zh-CN"/>
        </w:rPr>
        <w:t>部门</w:t>
      </w:r>
      <w:r>
        <w:rPr>
          <w:rFonts w:hint="default" w:ascii="Times New Roman" w:hAnsi="Times New Roman" w:eastAsia="仿宋" w:cs="Times New Roman"/>
          <w:kern w:val="2"/>
          <w:sz w:val="32"/>
          <w:szCs w:val="32"/>
        </w:rPr>
        <w:t>要求切块用于古树名木保护科普宣传周活动经费2.7648万元、</w:t>
      </w:r>
      <w:r>
        <w:rPr>
          <w:rFonts w:hint="eastAsia" w:ascii="Times New Roman" w:hAnsi="Times New Roman" w:eastAsia="仿宋" w:cs="Times New Roman"/>
          <w:kern w:val="2"/>
          <w:sz w:val="32"/>
          <w:szCs w:val="32"/>
          <w:lang w:val="en-US" w:eastAsia="zh-CN"/>
        </w:rPr>
        <w:t>2024年全民义务植树经费活动经费29.38万元，</w:t>
      </w:r>
      <w:r>
        <w:rPr>
          <w:rFonts w:hint="default" w:ascii="Times New Roman" w:hAnsi="Times New Roman" w:eastAsia="仿宋" w:cs="Times New Roman"/>
          <w:kern w:val="2"/>
          <w:sz w:val="32"/>
          <w:szCs w:val="32"/>
        </w:rPr>
        <w:t>古树群整体保护建设项目可行性研究报告编制经费14.69万元</w:t>
      </w:r>
      <w:r>
        <w:rPr>
          <w:rFonts w:hint="eastAsia" w:ascii="Times New Roman" w:hAnsi="Times New Roman" w:eastAsia="仿宋" w:cs="Times New Roman"/>
          <w:kern w:val="2"/>
          <w:sz w:val="32"/>
          <w:szCs w:val="32"/>
          <w:lang w:eastAsia="zh-CN"/>
        </w:rPr>
        <w:t>，2024年松线虫病除治项目进度</w:t>
      </w:r>
      <w:r>
        <w:rPr>
          <w:rFonts w:hint="eastAsia" w:ascii="Times New Roman" w:hAnsi="Times New Roman" w:eastAsia="仿宋" w:cs="Times New Roman"/>
          <w:kern w:val="2"/>
          <w:sz w:val="32"/>
          <w:szCs w:val="32"/>
          <w:lang w:val="en-US" w:eastAsia="zh-CN"/>
        </w:rPr>
        <w:t>30万元</w:t>
      </w:r>
      <w:r>
        <w:rPr>
          <w:rFonts w:hint="default" w:ascii="Times New Roman" w:hAnsi="Times New Roman" w:eastAsia="仿宋" w:cs="Times New Roman"/>
          <w:kern w:val="2"/>
          <w:sz w:val="32"/>
          <w:szCs w:val="32"/>
        </w:rPr>
        <w:t>。</w:t>
      </w:r>
    </w:p>
    <w:p w14:paraId="47425FEB">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2.项目主要内容</w:t>
      </w:r>
    </w:p>
    <w:p w14:paraId="6DC69C03">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经商</w:t>
      </w:r>
      <w:r>
        <w:rPr>
          <w:rFonts w:hint="default" w:ascii="Times New Roman" w:hAnsi="Times New Roman" w:eastAsia="仿宋" w:cs="Times New Roman"/>
          <w:kern w:val="2"/>
          <w:sz w:val="32"/>
          <w:szCs w:val="32"/>
          <w:lang w:eastAsia="zh-CN"/>
        </w:rPr>
        <w:t>区</w:t>
      </w:r>
      <w:r>
        <w:rPr>
          <w:rFonts w:hint="default" w:ascii="Times New Roman" w:hAnsi="Times New Roman" w:eastAsia="仿宋" w:cs="Times New Roman"/>
          <w:kern w:val="2"/>
          <w:sz w:val="32"/>
          <w:szCs w:val="32"/>
        </w:rPr>
        <w:t>财政</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，结合我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年度重点工作，202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专项资金主要用于古树名木保护科普宣传</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2024年全民义务植树，</w:t>
      </w:r>
      <w:r>
        <w:rPr>
          <w:rFonts w:hint="default" w:ascii="Times New Roman" w:hAnsi="Times New Roman" w:eastAsia="仿宋" w:cs="Times New Roman"/>
          <w:kern w:val="2"/>
          <w:sz w:val="32"/>
          <w:szCs w:val="32"/>
        </w:rPr>
        <w:t>古树群整体保护建设项目可行性研究报告编制</w:t>
      </w:r>
      <w:r>
        <w:rPr>
          <w:rFonts w:hint="eastAsia" w:ascii="Times New Roman" w:hAnsi="Times New Roman" w:eastAsia="仿宋" w:cs="Times New Roman"/>
          <w:kern w:val="2"/>
          <w:sz w:val="32"/>
          <w:szCs w:val="32"/>
          <w:lang w:eastAsia="zh-CN"/>
        </w:rPr>
        <w:t>，2024年松线虫病除治</w:t>
      </w:r>
      <w:r>
        <w:rPr>
          <w:rFonts w:hint="default" w:ascii="Times New Roman" w:hAnsi="Times New Roman" w:eastAsia="仿宋" w:cs="Times New Roman"/>
          <w:kern w:val="2"/>
          <w:sz w:val="32"/>
          <w:szCs w:val="32"/>
        </w:rPr>
        <w:t>。</w:t>
      </w:r>
    </w:p>
    <w:p w14:paraId="7E8257E3">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（二）预算资金使用管理情况</w:t>
      </w:r>
    </w:p>
    <w:p w14:paraId="03E4A223">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1.专项资金组织管理机构</w:t>
      </w:r>
    </w:p>
    <w:p w14:paraId="29A888A4">
      <w:pPr>
        <w:spacing w:line="560" w:lineRule="exact"/>
        <w:ind w:firstLine="640" w:firstLineChars="200"/>
        <w:rPr>
          <w:rFonts w:hint="default"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val="en-US" w:eastAsia="zh-CN"/>
        </w:rPr>
        <w:t>区自然资源局（林业局）</w:t>
      </w:r>
      <w:r>
        <w:rPr>
          <w:rFonts w:hint="default" w:ascii="Times New Roman" w:hAnsi="Times New Roman" w:eastAsia="仿宋" w:cs="Times New Roman"/>
          <w:kern w:val="2"/>
          <w:sz w:val="32"/>
          <w:szCs w:val="32"/>
        </w:rPr>
        <w:t>为</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专项资金的组织管理机构，主要职能</w:t>
      </w:r>
      <w:r>
        <w:rPr>
          <w:rFonts w:hint="eastAsia" w:ascii="Times New Roman" w:hAnsi="Times New Roman" w:eastAsia="仿宋" w:cs="Times New Roman"/>
          <w:kern w:val="2"/>
          <w:sz w:val="32"/>
          <w:szCs w:val="32"/>
          <w:lang w:val="en-US" w:eastAsia="zh-CN"/>
        </w:rPr>
        <w:t>为</w:t>
      </w:r>
      <w:r>
        <w:rPr>
          <w:rFonts w:hint="default" w:ascii="Times New Roman" w:hAnsi="Times New Roman" w:eastAsia="仿宋" w:cs="Times New Roman"/>
          <w:snapToGrid/>
          <w:kern w:val="2"/>
          <w:sz w:val="32"/>
          <w:szCs w:val="32"/>
          <w:lang w:val="en-US" w:eastAsia="en-US" w:bidi="ar-SA"/>
        </w:rPr>
        <w:t>负责统筹</w:t>
      </w:r>
      <w:r>
        <w:rPr>
          <w:rFonts w:hint="default" w:ascii="Times New Roman" w:hAnsi="Times New Roman" w:eastAsia="仿宋" w:cs="Times New Roman"/>
          <w:snapToGrid/>
          <w:kern w:val="2"/>
          <w:sz w:val="32"/>
          <w:szCs w:val="32"/>
          <w:lang w:val="en-US" w:eastAsia="zh-CN" w:bidi="ar-SA"/>
        </w:rPr>
        <w:t>南岳区</w:t>
      </w:r>
      <w:r>
        <w:rPr>
          <w:rFonts w:hint="default" w:ascii="Times New Roman" w:hAnsi="Times New Roman" w:eastAsia="仿宋" w:cs="Times New Roman"/>
          <w:snapToGrid/>
          <w:kern w:val="2"/>
          <w:sz w:val="32"/>
          <w:szCs w:val="32"/>
          <w:lang w:val="en-US" w:eastAsia="en-US" w:bidi="ar-SA"/>
        </w:rPr>
        <w:t>林业相关工作， 负责本地区植树造林和林业保护修复工作，负责本地区各自然保护地管理工作，负责本地区林地使用审批工作，负责本地区动植物保护工作，负责本地区林业有害生物防治工作，负责本地区森林防火工作，负责本地区林长制制度建设工作等。</w:t>
      </w:r>
    </w:p>
    <w:p w14:paraId="6F285549">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2.专项资金和项目管理制度建设</w:t>
      </w:r>
    </w:p>
    <w:p w14:paraId="3BBF02A7">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要求专项资金专款专用，专账核算，同时加强建设资金事中监管，有效控制违纪违规现象，充分发挥专项资金的使用效益。</w:t>
      </w:r>
    </w:p>
    <w:p w14:paraId="5F9B2BB1">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3.专项资金投向结构合理性，资金拨付及时性</w:t>
      </w:r>
    </w:p>
    <w:p w14:paraId="0A3D3A28">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（1）专项资金安排情况</w:t>
      </w:r>
    </w:p>
    <w:p w14:paraId="3FC5C20C">
      <w:pPr>
        <w:spacing w:line="560" w:lineRule="exact"/>
        <w:ind w:firstLine="640" w:firstLineChars="200"/>
        <w:rPr>
          <w:rFonts w:hint="eastAsia"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专项资金共下达</w:t>
      </w:r>
      <w:r>
        <w:rPr>
          <w:rFonts w:hint="eastAsia" w:ascii="Times New Roman" w:hAnsi="Times New Roman" w:eastAsia="仿宋" w:cs="Times New Roman"/>
          <w:kern w:val="2"/>
          <w:sz w:val="32"/>
          <w:szCs w:val="32"/>
          <w:lang w:val="en-US" w:eastAsia="zh-CN"/>
        </w:rPr>
        <w:t>76.8348</w:t>
      </w:r>
      <w:r>
        <w:rPr>
          <w:rFonts w:hint="default" w:ascii="Times New Roman" w:hAnsi="Times New Roman" w:eastAsia="仿宋" w:cs="Times New Roman"/>
          <w:kern w:val="2"/>
          <w:sz w:val="32"/>
          <w:szCs w:val="32"/>
        </w:rPr>
        <w:t>万元。</w:t>
      </w:r>
      <w:r>
        <w:rPr>
          <w:rFonts w:hint="eastAsia" w:ascii="Times New Roman" w:hAnsi="Times New Roman" w:eastAsia="仿宋" w:cs="Times New Roman"/>
          <w:kern w:val="2"/>
          <w:sz w:val="32"/>
          <w:szCs w:val="32"/>
          <w:lang w:val="en-US" w:eastAsia="zh-CN"/>
        </w:rPr>
        <w:t>一、是根据《湖南省林业局办公室关于开展2024年古树名木保护科普宣传周活动的通知》（湘林绿函</w:t>
      </w:r>
      <w:r>
        <w:rPr>
          <w:rFonts w:hint="default" w:ascii="Times New Roman" w:hAnsi="Times New Roman" w:eastAsia="仿宋" w:cs="Times New Roman"/>
          <w:kern w:val="2"/>
          <w:sz w:val="32"/>
          <w:szCs w:val="32"/>
        </w:rPr>
        <w:t>〔202</w:t>
      </w:r>
      <w:r>
        <w:rPr>
          <w:rFonts w:hint="eastAsia"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w:t>
      </w:r>
      <w:r>
        <w:rPr>
          <w:rFonts w:hint="eastAsia" w:ascii="Times New Roman" w:hAnsi="Times New Roman" w:eastAsia="仿宋" w:cs="Times New Roman"/>
          <w:kern w:val="2"/>
          <w:sz w:val="32"/>
          <w:szCs w:val="32"/>
          <w:lang w:val="en-US" w:eastAsia="zh-CN"/>
        </w:rPr>
        <w:t>7</w:t>
      </w:r>
      <w:r>
        <w:rPr>
          <w:rFonts w:hint="default" w:ascii="Times New Roman" w:hAnsi="Times New Roman" w:eastAsia="仿宋" w:cs="Times New Roman"/>
          <w:kern w:val="2"/>
          <w:sz w:val="32"/>
          <w:szCs w:val="32"/>
        </w:rPr>
        <w:t>号</w:t>
      </w:r>
      <w:r>
        <w:rPr>
          <w:rFonts w:hint="eastAsia" w:ascii="Times New Roman" w:hAnsi="Times New Roman" w:eastAsia="仿宋" w:cs="Times New Roman"/>
          <w:kern w:val="2"/>
          <w:sz w:val="32"/>
          <w:szCs w:val="32"/>
          <w:lang w:val="en-US" w:eastAsia="zh-CN"/>
        </w:rPr>
        <w:t>）</w:t>
      </w:r>
      <w:r>
        <w:rPr>
          <w:rFonts w:hint="default" w:ascii="Times New Roman" w:hAnsi="Times New Roman" w:eastAsia="仿宋" w:cs="Times New Roman"/>
          <w:kern w:val="2"/>
          <w:sz w:val="32"/>
          <w:szCs w:val="32"/>
        </w:rPr>
        <w:t>古树名木保护科普宣传</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安排宣传经费</w:t>
      </w:r>
      <w:r>
        <w:rPr>
          <w:rFonts w:hint="default" w:ascii="Times New Roman" w:hAnsi="Times New Roman" w:eastAsia="仿宋" w:cs="Times New Roman"/>
          <w:kern w:val="2"/>
          <w:sz w:val="32"/>
          <w:szCs w:val="32"/>
        </w:rPr>
        <w:t>2.7648万元</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二、是2024年全民义务植树活动经费29.38万元。三、是</w:t>
      </w:r>
      <w:r>
        <w:rPr>
          <w:rFonts w:hint="default" w:ascii="Times New Roman" w:hAnsi="Times New Roman" w:eastAsia="仿宋" w:cs="Times New Roman"/>
          <w:kern w:val="2"/>
          <w:sz w:val="32"/>
          <w:szCs w:val="32"/>
        </w:rPr>
        <w:t>古树群整体保护建设项目可行性研究报告编制经费14.69万元。</w:t>
      </w:r>
      <w:r>
        <w:rPr>
          <w:rFonts w:hint="eastAsia" w:ascii="Times New Roman" w:hAnsi="Times New Roman" w:eastAsia="仿宋" w:cs="Times New Roman"/>
          <w:kern w:val="2"/>
          <w:sz w:val="32"/>
          <w:szCs w:val="32"/>
          <w:lang w:val="en-US" w:eastAsia="zh-CN"/>
        </w:rPr>
        <w:t>四、2024年松线虫病除治项目进度款</w:t>
      </w:r>
    </w:p>
    <w:p w14:paraId="3C09D3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w:t>
      </w:r>
      <w:r>
        <w:rPr>
          <w:rFonts w:hint="default" w:ascii="Times New Roman" w:hAnsi="Times New Roman" w:eastAsia="仿宋" w:cs="Times New Roman"/>
          <w:kern w:val="2"/>
          <w:sz w:val="32"/>
          <w:szCs w:val="32"/>
          <w:lang w:eastAsia="zh-CN"/>
        </w:rPr>
        <w:t>分配安排</w:t>
      </w:r>
      <w:r>
        <w:rPr>
          <w:rFonts w:hint="default" w:ascii="Times New Roman" w:hAnsi="Times New Roman" w:eastAsia="仿宋" w:cs="Times New Roman"/>
          <w:kern w:val="2"/>
          <w:sz w:val="32"/>
          <w:szCs w:val="32"/>
        </w:rPr>
        <w:t>情况（分</w:t>
      </w:r>
      <w:r>
        <w:rPr>
          <w:rFonts w:hint="default" w:ascii="Times New Roman" w:hAnsi="Times New Roman" w:eastAsia="仿宋" w:cs="Times New Roman"/>
          <w:kern w:val="2"/>
          <w:sz w:val="32"/>
          <w:szCs w:val="32"/>
          <w:lang w:eastAsia="zh-CN"/>
        </w:rPr>
        <w:t>单位</w:t>
      </w:r>
      <w:r>
        <w:rPr>
          <w:rFonts w:hint="default" w:ascii="Times New Roman" w:hAnsi="Times New Roman" w:eastAsia="仿宋" w:cs="Times New Roman"/>
          <w:kern w:val="2"/>
          <w:sz w:val="32"/>
          <w:szCs w:val="32"/>
        </w:rPr>
        <w:t>）</w:t>
      </w:r>
    </w:p>
    <w:tbl>
      <w:tblPr>
        <w:tblStyle w:val="1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810"/>
        <w:gridCol w:w="2130"/>
        <w:gridCol w:w="2130"/>
      </w:tblGrid>
      <w:tr w14:paraId="5EB5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20306">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3810" w:type="dxa"/>
            <w:tcBorders>
              <w:top w:val="single" w:color="000000" w:sz="8" w:space="0"/>
              <w:left w:val="nil"/>
              <w:bottom w:val="single" w:color="000000" w:sz="8" w:space="0"/>
              <w:right w:val="single" w:color="000000" w:sz="8" w:space="0"/>
            </w:tcBorders>
            <w:shd w:val="clear" w:color="auto" w:fill="auto"/>
            <w:vAlign w:val="center"/>
          </w:tcPr>
          <w:p w14:paraId="7DCF064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1991A73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金额（万元）</w:t>
            </w: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3036A66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百分比</w:t>
            </w:r>
          </w:p>
        </w:tc>
      </w:tr>
      <w:tr w14:paraId="2B82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1D530158">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w:t>
            </w:r>
          </w:p>
        </w:tc>
        <w:tc>
          <w:tcPr>
            <w:tcW w:w="3810" w:type="dxa"/>
            <w:tcBorders>
              <w:top w:val="nil"/>
              <w:left w:val="nil"/>
              <w:bottom w:val="single" w:color="000000" w:sz="8" w:space="0"/>
              <w:right w:val="single" w:color="000000" w:sz="8" w:space="0"/>
            </w:tcBorders>
            <w:shd w:val="clear" w:color="auto" w:fill="auto"/>
            <w:vAlign w:val="center"/>
          </w:tcPr>
          <w:p w14:paraId="1216618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衡阳雁腾广告文化有限公司</w:t>
            </w:r>
          </w:p>
        </w:tc>
        <w:tc>
          <w:tcPr>
            <w:tcW w:w="2130" w:type="dxa"/>
            <w:tcBorders>
              <w:top w:val="nil"/>
              <w:left w:val="nil"/>
              <w:bottom w:val="single" w:color="000000" w:sz="8" w:space="0"/>
              <w:right w:val="single" w:color="000000" w:sz="8" w:space="0"/>
            </w:tcBorders>
            <w:shd w:val="clear" w:color="auto" w:fill="auto"/>
            <w:vAlign w:val="center"/>
          </w:tcPr>
          <w:p w14:paraId="5C8BF6AB">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2.7648</w:t>
            </w:r>
          </w:p>
        </w:tc>
        <w:tc>
          <w:tcPr>
            <w:tcW w:w="2130" w:type="dxa"/>
            <w:tcBorders>
              <w:top w:val="nil"/>
              <w:left w:val="nil"/>
              <w:bottom w:val="single" w:color="000000" w:sz="8" w:space="0"/>
              <w:right w:val="single" w:color="000000" w:sz="8" w:space="0"/>
            </w:tcBorders>
            <w:shd w:val="clear" w:color="auto" w:fill="auto"/>
            <w:vAlign w:val="center"/>
          </w:tcPr>
          <w:p w14:paraId="77C749F4">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3.60%</w:t>
            </w:r>
          </w:p>
        </w:tc>
      </w:tr>
      <w:tr w14:paraId="3AAA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5684BCAD">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2</w:t>
            </w:r>
          </w:p>
        </w:tc>
        <w:tc>
          <w:tcPr>
            <w:tcW w:w="3810" w:type="dxa"/>
            <w:tcBorders>
              <w:top w:val="nil"/>
              <w:left w:val="nil"/>
              <w:bottom w:val="single" w:color="000000" w:sz="8" w:space="0"/>
              <w:right w:val="single" w:color="000000" w:sz="8" w:space="0"/>
            </w:tcBorders>
            <w:shd w:val="clear" w:color="auto" w:fill="auto"/>
            <w:vAlign w:val="center"/>
          </w:tcPr>
          <w:p w14:paraId="28F42E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衡阳市岳和轩园林有限公司</w:t>
            </w:r>
          </w:p>
        </w:tc>
        <w:tc>
          <w:tcPr>
            <w:tcW w:w="2130" w:type="dxa"/>
            <w:tcBorders>
              <w:top w:val="nil"/>
              <w:left w:val="nil"/>
              <w:bottom w:val="single" w:color="000000" w:sz="8" w:space="0"/>
              <w:right w:val="single" w:color="000000" w:sz="8" w:space="0"/>
            </w:tcBorders>
            <w:shd w:val="clear" w:color="auto" w:fill="auto"/>
            <w:vAlign w:val="center"/>
          </w:tcPr>
          <w:p w14:paraId="76A4BBA3">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9.95</w:t>
            </w:r>
          </w:p>
        </w:tc>
        <w:tc>
          <w:tcPr>
            <w:tcW w:w="2130" w:type="dxa"/>
            <w:tcBorders>
              <w:top w:val="nil"/>
              <w:left w:val="nil"/>
              <w:bottom w:val="single" w:color="000000" w:sz="8" w:space="0"/>
              <w:right w:val="single" w:color="000000" w:sz="8" w:space="0"/>
            </w:tcBorders>
            <w:shd w:val="clear" w:color="auto" w:fill="auto"/>
            <w:vAlign w:val="center"/>
          </w:tcPr>
          <w:p w14:paraId="5D321584">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12.95%</w:t>
            </w:r>
          </w:p>
        </w:tc>
      </w:tr>
      <w:tr w14:paraId="2E22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1C40F56F">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w:t>
            </w:r>
          </w:p>
        </w:tc>
        <w:tc>
          <w:tcPr>
            <w:tcW w:w="3810" w:type="dxa"/>
            <w:tcBorders>
              <w:top w:val="nil"/>
              <w:left w:val="nil"/>
              <w:bottom w:val="single" w:color="000000" w:sz="8" w:space="0"/>
              <w:right w:val="single" w:color="000000" w:sz="8" w:space="0"/>
            </w:tcBorders>
            <w:shd w:val="clear" w:color="auto" w:fill="auto"/>
            <w:vAlign w:val="center"/>
          </w:tcPr>
          <w:p w14:paraId="5C50A18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湖南景辉农林生态科技有限公司</w:t>
            </w:r>
          </w:p>
        </w:tc>
        <w:tc>
          <w:tcPr>
            <w:tcW w:w="2130" w:type="dxa"/>
            <w:tcBorders>
              <w:top w:val="nil"/>
              <w:left w:val="nil"/>
              <w:bottom w:val="single" w:color="000000" w:sz="8" w:space="0"/>
              <w:right w:val="single" w:color="000000" w:sz="8" w:space="0"/>
            </w:tcBorders>
            <w:shd w:val="clear" w:color="auto" w:fill="auto"/>
            <w:vAlign w:val="center"/>
          </w:tcPr>
          <w:p w14:paraId="7CC780B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14.69</w:t>
            </w:r>
          </w:p>
        </w:tc>
        <w:tc>
          <w:tcPr>
            <w:tcW w:w="2130" w:type="dxa"/>
            <w:tcBorders>
              <w:top w:val="nil"/>
              <w:left w:val="nil"/>
              <w:bottom w:val="single" w:color="000000" w:sz="8" w:space="0"/>
              <w:right w:val="single" w:color="000000" w:sz="8" w:space="0"/>
            </w:tcBorders>
            <w:shd w:val="clear" w:color="auto" w:fill="auto"/>
            <w:vAlign w:val="center"/>
          </w:tcPr>
          <w:p w14:paraId="0A55190F">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19.12%</w:t>
            </w:r>
          </w:p>
        </w:tc>
      </w:tr>
      <w:tr w14:paraId="4F4F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355D9B48">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4</w:t>
            </w:r>
          </w:p>
        </w:tc>
        <w:tc>
          <w:tcPr>
            <w:tcW w:w="3810" w:type="dxa"/>
            <w:tcBorders>
              <w:top w:val="nil"/>
              <w:left w:val="nil"/>
              <w:bottom w:val="single" w:color="000000" w:sz="8" w:space="0"/>
              <w:right w:val="single" w:color="000000" w:sz="8" w:space="0"/>
            </w:tcBorders>
            <w:shd w:val="clear" w:color="auto" w:fill="auto"/>
            <w:vAlign w:val="center"/>
          </w:tcPr>
          <w:p w14:paraId="698C7FB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衡阳市南岳区新辉园林有限公司</w:t>
            </w:r>
          </w:p>
        </w:tc>
        <w:tc>
          <w:tcPr>
            <w:tcW w:w="2130" w:type="dxa"/>
            <w:tcBorders>
              <w:top w:val="nil"/>
              <w:left w:val="nil"/>
              <w:bottom w:val="single" w:color="000000" w:sz="8" w:space="0"/>
              <w:right w:val="single" w:color="000000" w:sz="8" w:space="0"/>
            </w:tcBorders>
            <w:shd w:val="clear" w:color="auto" w:fill="auto"/>
            <w:vAlign w:val="center"/>
          </w:tcPr>
          <w:p w14:paraId="20AD394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30</w:t>
            </w:r>
          </w:p>
        </w:tc>
        <w:tc>
          <w:tcPr>
            <w:tcW w:w="2130" w:type="dxa"/>
            <w:tcBorders>
              <w:top w:val="nil"/>
              <w:left w:val="nil"/>
              <w:bottom w:val="single" w:color="000000" w:sz="8" w:space="0"/>
              <w:right w:val="single" w:color="000000" w:sz="8" w:space="0"/>
            </w:tcBorders>
            <w:shd w:val="clear" w:color="auto" w:fill="auto"/>
            <w:vAlign w:val="center"/>
          </w:tcPr>
          <w:p w14:paraId="24F5BBB8">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39.04%</w:t>
            </w:r>
          </w:p>
        </w:tc>
      </w:tr>
      <w:tr w14:paraId="6BA9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965" w:type="dxa"/>
            <w:gridSpan w:val="2"/>
            <w:tcBorders>
              <w:top w:val="nil"/>
              <w:left w:val="single" w:color="000000" w:sz="8" w:space="0"/>
              <w:bottom w:val="single" w:color="000000" w:sz="8" w:space="0"/>
              <w:right w:val="single" w:color="000000" w:sz="8" w:space="0"/>
            </w:tcBorders>
            <w:shd w:val="clear" w:color="auto" w:fill="auto"/>
            <w:vAlign w:val="center"/>
          </w:tcPr>
          <w:p w14:paraId="67292D6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合计</w:t>
            </w:r>
          </w:p>
        </w:tc>
        <w:tc>
          <w:tcPr>
            <w:tcW w:w="2130" w:type="dxa"/>
            <w:tcBorders>
              <w:top w:val="nil"/>
              <w:left w:val="nil"/>
              <w:bottom w:val="single" w:color="000000" w:sz="8" w:space="0"/>
              <w:right w:val="single" w:color="000000" w:sz="8" w:space="0"/>
            </w:tcBorders>
            <w:shd w:val="clear" w:color="auto" w:fill="auto"/>
            <w:vAlign w:val="center"/>
          </w:tcPr>
          <w:p w14:paraId="01053AE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eastAsia" w:ascii="Times New Roman" w:hAnsi="Times New Roman" w:eastAsia="宋体" w:cs="Times New Roman"/>
                <w:i w:val="0"/>
                <w:iCs w:val="0"/>
                <w:color w:val="000000"/>
                <w:kern w:val="0"/>
                <w:sz w:val="32"/>
                <w:szCs w:val="32"/>
                <w:u w:val="none"/>
                <w:lang w:val="en-US" w:eastAsia="zh-CN" w:bidi="ar"/>
              </w:rPr>
              <w:t>57.40</w:t>
            </w:r>
            <w:r>
              <w:rPr>
                <w:rFonts w:hint="default" w:ascii="Times New Roman" w:hAnsi="Times New Roman" w:eastAsia="宋体" w:cs="Times New Roman"/>
                <w:i w:val="0"/>
                <w:iCs w:val="0"/>
                <w:color w:val="000000"/>
                <w:kern w:val="0"/>
                <w:sz w:val="32"/>
                <w:szCs w:val="32"/>
                <w:u w:val="none"/>
                <w:lang w:val="en-US" w:eastAsia="zh-CN" w:bidi="ar"/>
              </w:rPr>
              <w:t>48</w:t>
            </w:r>
          </w:p>
        </w:tc>
        <w:tc>
          <w:tcPr>
            <w:tcW w:w="2130" w:type="dxa"/>
            <w:tcBorders>
              <w:top w:val="nil"/>
              <w:left w:val="nil"/>
              <w:bottom w:val="single" w:color="000000" w:sz="8" w:space="0"/>
              <w:right w:val="single" w:color="000000" w:sz="8" w:space="0"/>
            </w:tcBorders>
            <w:shd w:val="clear" w:color="auto" w:fill="auto"/>
            <w:vAlign w:val="center"/>
          </w:tcPr>
          <w:p w14:paraId="15D54AD6">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74.71%</w:t>
            </w:r>
          </w:p>
        </w:tc>
      </w:tr>
    </w:tbl>
    <w:p w14:paraId="6EFC73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专项资金下达情况（分类别）</w:t>
      </w:r>
    </w:p>
    <w:p w14:paraId="7CB042C3">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（2）专项资金拨付和使用情况</w:t>
      </w:r>
    </w:p>
    <w:tbl>
      <w:tblPr>
        <w:tblStyle w:val="1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810"/>
        <w:gridCol w:w="2130"/>
        <w:gridCol w:w="2130"/>
      </w:tblGrid>
      <w:tr w14:paraId="2C12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2CC8B">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3810" w:type="dxa"/>
            <w:tcBorders>
              <w:top w:val="single" w:color="000000" w:sz="8" w:space="0"/>
              <w:left w:val="nil"/>
              <w:bottom w:val="single" w:color="000000" w:sz="8" w:space="0"/>
              <w:right w:val="single" w:color="000000" w:sz="8" w:space="0"/>
            </w:tcBorders>
            <w:shd w:val="clear" w:color="auto" w:fill="auto"/>
            <w:vAlign w:val="center"/>
          </w:tcPr>
          <w:p w14:paraId="0FCB669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支持方向</w:t>
            </w:r>
          </w:p>
        </w:tc>
        <w:tc>
          <w:tcPr>
            <w:tcW w:w="21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8B3A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资金总额（万元）</w:t>
            </w: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3A7884F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占比</w:t>
            </w:r>
          </w:p>
        </w:tc>
      </w:tr>
      <w:tr w14:paraId="7BEE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1973305D">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w:t>
            </w:r>
          </w:p>
        </w:tc>
        <w:tc>
          <w:tcPr>
            <w:tcW w:w="3810" w:type="dxa"/>
            <w:tcBorders>
              <w:top w:val="nil"/>
              <w:left w:val="nil"/>
              <w:bottom w:val="single" w:color="000000" w:sz="8" w:space="0"/>
              <w:right w:val="single" w:color="000000" w:sz="8" w:space="0"/>
            </w:tcBorders>
            <w:shd w:val="clear" w:color="auto" w:fill="auto"/>
            <w:vAlign w:val="center"/>
          </w:tcPr>
          <w:p w14:paraId="171E099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古树名木保护科普宣传</w:t>
            </w:r>
          </w:p>
        </w:tc>
        <w:tc>
          <w:tcPr>
            <w:tcW w:w="2130" w:type="dxa"/>
            <w:tcBorders>
              <w:top w:val="nil"/>
              <w:left w:val="nil"/>
              <w:bottom w:val="single" w:color="000000" w:sz="8" w:space="0"/>
              <w:right w:val="single" w:color="000000" w:sz="8" w:space="0"/>
            </w:tcBorders>
            <w:shd w:val="clear" w:color="auto" w:fill="auto"/>
            <w:vAlign w:val="center"/>
          </w:tcPr>
          <w:p w14:paraId="521119E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2.7648</w:t>
            </w:r>
          </w:p>
        </w:tc>
        <w:tc>
          <w:tcPr>
            <w:tcW w:w="2130" w:type="dxa"/>
            <w:tcBorders>
              <w:top w:val="nil"/>
              <w:left w:val="nil"/>
              <w:bottom w:val="single" w:color="000000" w:sz="8" w:space="0"/>
              <w:right w:val="single" w:color="000000" w:sz="8" w:space="0"/>
            </w:tcBorders>
            <w:shd w:val="clear" w:color="auto" w:fill="auto"/>
            <w:vAlign w:val="center"/>
          </w:tcPr>
          <w:p w14:paraId="07B69FE7">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3.60%</w:t>
            </w:r>
          </w:p>
        </w:tc>
      </w:tr>
      <w:tr w14:paraId="3DD5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4DEF121B">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2</w:t>
            </w:r>
          </w:p>
        </w:tc>
        <w:tc>
          <w:tcPr>
            <w:tcW w:w="3810" w:type="dxa"/>
            <w:tcBorders>
              <w:top w:val="nil"/>
              <w:left w:val="nil"/>
              <w:bottom w:val="single" w:color="000000" w:sz="8" w:space="0"/>
              <w:right w:val="single" w:color="000000" w:sz="8" w:space="0"/>
            </w:tcBorders>
            <w:shd w:val="clear" w:color="auto" w:fill="auto"/>
            <w:vAlign w:val="center"/>
          </w:tcPr>
          <w:p w14:paraId="1E3B2A55">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2024</w:t>
            </w:r>
            <w:r>
              <w:rPr>
                <w:rFonts w:hint="eastAsia" w:ascii="仿宋" w:hAnsi="仿宋" w:eastAsia="仿宋" w:cs="仿宋"/>
                <w:i w:val="0"/>
                <w:iCs w:val="0"/>
                <w:color w:val="000000"/>
                <w:kern w:val="0"/>
                <w:sz w:val="32"/>
                <w:szCs w:val="32"/>
                <w:u w:val="none"/>
                <w:lang w:val="en-US" w:eastAsia="zh-CN" w:bidi="ar"/>
              </w:rPr>
              <w:t>年全民义务植树</w:t>
            </w:r>
          </w:p>
        </w:tc>
        <w:tc>
          <w:tcPr>
            <w:tcW w:w="2130" w:type="dxa"/>
            <w:tcBorders>
              <w:top w:val="nil"/>
              <w:left w:val="nil"/>
              <w:bottom w:val="single" w:color="000000" w:sz="8" w:space="0"/>
              <w:right w:val="single" w:color="000000" w:sz="8" w:space="0"/>
            </w:tcBorders>
            <w:shd w:val="clear" w:color="auto" w:fill="auto"/>
            <w:vAlign w:val="center"/>
          </w:tcPr>
          <w:p w14:paraId="1D1B646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29.38</w:t>
            </w:r>
          </w:p>
        </w:tc>
        <w:tc>
          <w:tcPr>
            <w:tcW w:w="2130" w:type="dxa"/>
            <w:tcBorders>
              <w:top w:val="nil"/>
              <w:left w:val="nil"/>
              <w:bottom w:val="single" w:color="000000" w:sz="8" w:space="0"/>
              <w:right w:val="single" w:color="000000" w:sz="8" w:space="0"/>
            </w:tcBorders>
            <w:shd w:val="clear" w:color="auto" w:fill="auto"/>
            <w:vAlign w:val="center"/>
          </w:tcPr>
          <w:p w14:paraId="0F3F13E2">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38.24%</w:t>
            </w:r>
          </w:p>
        </w:tc>
      </w:tr>
      <w:tr w14:paraId="656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0A8AAA46">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w:t>
            </w:r>
          </w:p>
        </w:tc>
        <w:tc>
          <w:tcPr>
            <w:tcW w:w="3810" w:type="dxa"/>
            <w:tcBorders>
              <w:top w:val="nil"/>
              <w:left w:val="nil"/>
              <w:bottom w:val="single" w:color="000000" w:sz="8" w:space="0"/>
              <w:right w:val="single" w:color="000000" w:sz="8" w:space="0"/>
            </w:tcBorders>
            <w:shd w:val="clear" w:color="auto" w:fill="auto"/>
            <w:vAlign w:val="center"/>
          </w:tcPr>
          <w:p w14:paraId="18F5E29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古树群整体保护建设项目可行性研究报告编制</w:t>
            </w:r>
          </w:p>
        </w:tc>
        <w:tc>
          <w:tcPr>
            <w:tcW w:w="2130" w:type="dxa"/>
            <w:tcBorders>
              <w:top w:val="nil"/>
              <w:left w:val="nil"/>
              <w:bottom w:val="single" w:color="000000" w:sz="8" w:space="0"/>
              <w:right w:val="single" w:color="000000" w:sz="8" w:space="0"/>
            </w:tcBorders>
            <w:shd w:val="clear" w:color="auto" w:fill="auto"/>
            <w:vAlign w:val="center"/>
          </w:tcPr>
          <w:p w14:paraId="3E504C1A">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14.69</w:t>
            </w:r>
          </w:p>
        </w:tc>
        <w:tc>
          <w:tcPr>
            <w:tcW w:w="2130" w:type="dxa"/>
            <w:tcBorders>
              <w:top w:val="nil"/>
              <w:left w:val="nil"/>
              <w:bottom w:val="single" w:color="000000" w:sz="8" w:space="0"/>
              <w:right w:val="single" w:color="000000" w:sz="8" w:space="0"/>
            </w:tcBorders>
            <w:shd w:val="clear" w:color="auto" w:fill="auto"/>
            <w:vAlign w:val="center"/>
          </w:tcPr>
          <w:p w14:paraId="25EEE9B9">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19.12%</w:t>
            </w:r>
          </w:p>
        </w:tc>
      </w:tr>
      <w:tr w14:paraId="1AF9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155" w:type="dxa"/>
            <w:tcBorders>
              <w:top w:val="nil"/>
              <w:left w:val="single" w:color="000000" w:sz="8" w:space="0"/>
              <w:bottom w:val="single" w:color="000000" w:sz="8" w:space="0"/>
              <w:right w:val="single" w:color="000000" w:sz="8" w:space="0"/>
            </w:tcBorders>
            <w:shd w:val="clear" w:color="auto" w:fill="auto"/>
            <w:vAlign w:val="center"/>
          </w:tcPr>
          <w:p w14:paraId="49348010">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4</w:t>
            </w:r>
          </w:p>
        </w:tc>
        <w:tc>
          <w:tcPr>
            <w:tcW w:w="3810" w:type="dxa"/>
            <w:tcBorders>
              <w:top w:val="nil"/>
              <w:left w:val="nil"/>
              <w:bottom w:val="single" w:color="000000" w:sz="8" w:space="0"/>
              <w:right w:val="single" w:color="000000" w:sz="8" w:space="0"/>
            </w:tcBorders>
            <w:shd w:val="clear" w:color="auto" w:fill="auto"/>
            <w:vAlign w:val="center"/>
          </w:tcPr>
          <w:p w14:paraId="5BE4874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2024年松线虫病除治</w:t>
            </w:r>
          </w:p>
        </w:tc>
        <w:tc>
          <w:tcPr>
            <w:tcW w:w="2130" w:type="dxa"/>
            <w:tcBorders>
              <w:top w:val="nil"/>
              <w:left w:val="nil"/>
              <w:bottom w:val="single" w:color="000000" w:sz="8" w:space="0"/>
              <w:right w:val="single" w:color="000000" w:sz="8" w:space="0"/>
            </w:tcBorders>
            <w:shd w:val="clear" w:color="auto" w:fill="auto"/>
            <w:vAlign w:val="center"/>
          </w:tcPr>
          <w:p w14:paraId="796F0A01">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30</w:t>
            </w:r>
          </w:p>
        </w:tc>
        <w:tc>
          <w:tcPr>
            <w:tcW w:w="2130" w:type="dxa"/>
            <w:tcBorders>
              <w:top w:val="nil"/>
              <w:left w:val="nil"/>
              <w:bottom w:val="single" w:color="000000" w:sz="8" w:space="0"/>
              <w:right w:val="single" w:color="000000" w:sz="8" w:space="0"/>
            </w:tcBorders>
            <w:shd w:val="clear" w:color="auto" w:fill="auto"/>
            <w:vAlign w:val="center"/>
          </w:tcPr>
          <w:p w14:paraId="031C71FB">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39.04%</w:t>
            </w:r>
          </w:p>
        </w:tc>
      </w:tr>
      <w:tr w14:paraId="22BF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965" w:type="dxa"/>
            <w:gridSpan w:val="2"/>
            <w:tcBorders>
              <w:top w:val="nil"/>
              <w:left w:val="single" w:color="000000" w:sz="8" w:space="0"/>
              <w:bottom w:val="single" w:color="000000" w:sz="8" w:space="0"/>
              <w:right w:val="single" w:color="000000" w:sz="8" w:space="0"/>
            </w:tcBorders>
            <w:shd w:val="clear" w:color="auto" w:fill="auto"/>
            <w:vAlign w:val="center"/>
          </w:tcPr>
          <w:p w14:paraId="3F9C39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合计</w:t>
            </w:r>
          </w:p>
        </w:tc>
        <w:tc>
          <w:tcPr>
            <w:tcW w:w="2130" w:type="dxa"/>
            <w:tcBorders>
              <w:top w:val="nil"/>
              <w:left w:val="nil"/>
              <w:bottom w:val="single" w:color="000000" w:sz="8" w:space="0"/>
              <w:right w:val="single" w:color="000000" w:sz="8" w:space="0"/>
            </w:tcBorders>
            <w:shd w:val="clear" w:color="auto" w:fill="auto"/>
            <w:vAlign w:val="center"/>
          </w:tcPr>
          <w:p w14:paraId="7AC61AFD">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76.8348</w:t>
            </w:r>
          </w:p>
        </w:tc>
        <w:tc>
          <w:tcPr>
            <w:tcW w:w="2130" w:type="dxa"/>
            <w:tcBorders>
              <w:top w:val="nil"/>
              <w:left w:val="nil"/>
              <w:bottom w:val="single" w:color="000000" w:sz="8" w:space="0"/>
              <w:right w:val="single" w:color="000000" w:sz="8" w:space="0"/>
            </w:tcBorders>
            <w:shd w:val="clear" w:color="auto" w:fill="auto"/>
            <w:vAlign w:val="center"/>
          </w:tcPr>
          <w:p w14:paraId="1F4C8184">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i w:val="0"/>
                <w:iCs w:val="0"/>
                <w:color w:val="000000"/>
                <w:kern w:val="0"/>
                <w:sz w:val="30"/>
                <w:szCs w:val="30"/>
                <w:u w:val="none"/>
                <w:lang w:val="en-US" w:eastAsia="zh-CN" w:bidi="ar"/>
              </w:rPr>
              <w:t>100.00%</w:t>
            </w:r>
          </w:p>
        </w:tc>
      </w:tr>
    </w:tbl>
    <w:p w14:paraId="57B8E292">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根据项目实施单位提交的自评材料，结合现场评价实际情况，截至现场评价日，财政部门已拨付专项资金</w:t>
      </w:r>
      <w:r>
        <w:rPr>
          <w:rFonts w:hint="eastAsia" w:ascii="Times New Roman" w:hAnsi="Times New Roman" w:eastAsia="仿宋" w:cs="Times New Roman"/>
          <w:kern w:val="2"/>
          <w:sz w:val="32"/>
          <w:szCs w:val="32"/>
          <w:lang w:val="en-US" w:eastAsia="zh-CN"/>
        </w:rPr>
        <w:t>76.8348</w:t>
      </w:r>
      <w:r>
        <w:rPr>
          <w:rFonts w:hint="default" w:ascii="Times New Roman" w:hAnsi="Times New Roman" w:eastAsia="仿宋" w:cs="Times New Roman"/>
          <w:kern w:val="2"/>
          <w:sz w:val="32"/>
          <w:szCs w:val="32"/>
        </w:rPr>
        <w:t>万元，资金到位率</w:t>
      </w:r>
      <w:r>
        <w:rPr>
          <w:rFonts w:hint="eastAsia" w:ascii="Times New Roman" w:hAnsi="Times New Roman" w:eastAsia="仿宋" w:cs="Times New Roman"/>
          <w:kern w:val="2"/>
          <w:sz w:val="32"/>
          <w:szCs w:val="32"/>
          <w:lang w:val="en-US" w:eastAsia="zh-CN"/>
        </w:rPr>
        <w:t>100</w:t>
      </w:r>
      <w:r>
        <w:rPr>
          <w:rFonts w:hint="default" w:ascii="Times New Roman" w:hAnsi="Times New Roman" w:eastAsia="仿宋" w:cs="Times New Roman"/>
          <w:kern w:val="2"/>
          <w:sz w:val="32"/>
          <w:szCs w:val="32"/>
        </w:rPr>
        <w:t>%；项目实施单位已使用专项资金</w:t>
      </w:r>
      <w:r>
        <w:rPr>
          <w:rFonts w:hint="eastAsia" w:ascii="Times New Roman" w:hAnsi="Times New Roman" w:eastAsia="仿宋" w:cs="Times New Roman"/>
          <w:kern w:val="2"/>
          <w:sz w:val="32"/>
          <w:szCs w:val="32"/>
          <w:lang w:val="en-US" w:eastAsia="zh-CN"/>
        </w:rPr>
        <w:t>57.4048</w:t>
      </w:r>
      <w:r>
        <w:rPr>
          <w:rFonts w:hint="default" w:ascii="Times New Roman" w:hAnsi="Times New Roman" w:eastAsia="仿宋" w:cs="Times New Roman"/>
          <w:kern w:val="2"/>
          <w:sz w:val="32"/>
          <w:szCs w:val="32"/>
        </w:rPr>
        <w:t>万元，预算执行率为</w:t>
      </w:r>
      <w:r>
        <w:rPr>
          <w:rFonts w:hint="eastAsia" w:ascii="Times New Roman" w:hAnsi="Times New Roman" w:eastAsia="仿宋" w:cs="Times New Roman"/>
          <w:kern w:val="2"/>
          <w:sz w:val="32"/>
          <w:szCs w:val="32"/>
          <w:lang w:val="en-US" w:eastAsia="zh-CN"/>
        </w:rPr>
        <w:t>74.71</w:t>
      </w:r>
      <w:r>
        <w:rPr>
          <w:rFonts w:hint="default" w:ascii="Times New Roman" w:hAnsi="Times New Roman" w:eastAsia="仿宋" w:cs="Times New Roman"/>
          <w:kern w:val="2"/>
          <w:sz w:val="32"/>
          <w:szCs w:val="32"/>
        </w:rPr>
        <w:t>%。</w:t>
      </w:r>
    </w:p>
    <w:p w14:paraId="39A0C390">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4.项目组织实施的合规性</w:t>
      </w:r>
    </w:p>
    <w:p w14:paraId="09DFD34A">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eastAsia="zh-CN"/>
        </w:rPr>
        <w:t>我局</w:t>
      </w:r>
      <w:r>
        <w:rPr>
          <w:rFonts w:hint="default" w:ascii="Times New Roman" w:hAnsi="Times New Roman" w:eastAsia="仿宋" w:cs="Times New Roman"/>
          <w:kern w:val="2"/>
          <w:sz w:val="32"/>
          <w:szCs w:val="32"/>
        </w:rPr>
        <w:t>在专项资金支持范围内商财政</w:t>
      </w:r>
      <w:r>
        <w:rPr>
          <w:rFonts w:hint="default" w:ascii="Times New Roman" w:hAnsi="Times New Roman" w:eastAsia="仿宋" w:cs="Times New Roman"/>
          <w:kern w:val="2"/>
          <w:sz w:val="32"/>
          <w:szCs w:val="32"/>
          <w:lang w:eastAsia="zh-CN"/>
        </w:rPr>
        <w:t>部门</w:t>
      </w:r>
      <w:r>
        <w:rPr>
          <w:rFonts w:hint="default" w:ascii="Times New Roman" w:hAnsi="Times New Roman" w:eastAsia="仿宋" w:cs="Times New Roman"/>
          <w:kern w:val="2"/>
          <w:sz w:val="32"/>
          <w:szCs w:val="32"/>
        </w:rPr>
        <w:t>确定年度支持方向和资金分配方式。按程序进行公示，及时下拨资金，并对项目执行、资金使用等进行全过程监管。</w:t>
      </w:r>
    </w:p>
    <w:p w14:paraId="234A2DCA">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（三）预算支出绩效目标完成程度</w:t>
      </w:r>
    </w:p>
    <w:p w14:paraId="34372E9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baseline"/>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一是古树名木保护科普宣传。</w:t>
      </w:r>
      <w:r>
        <w:rPr>
          <w:rFonts w:hint="eastAsia" w:ascii="仿宋" w:hAnsi="仿宋" w:eastAsia="仿宋" w:cs="仿宋"/>
          <w:sz w:val="32"/>
          <w:szCs w:val="32"/>
          <w:lang w:val="en-US" w:eastAsia="zh-CN"/>
        </w:rPr>
        <w:t>组织</w:t>
      </w:r>
      <w:r>
        <w:rPr>
          <w:rFonts w:hint="eastAsia" w:eastAsia="仿宋" w:cs="仿宋"/>
          <w:sz w:val="32"/>
          <w:szCs w:val="32"/>
          <w:lang w:val="en-US" w:eastAsia="zh-CN"/>
        </w:rPr>
        <w:t>林业部门各</w:t>
      </w:r>
      <w:r>
        <w:rPr>
          <w:rFonts w:hint="eastAsia" w:ascii="仿宋" w:hAnsi="仿宋" w:eastAsia="仿宋" w:cs="仿宋"/>
          <w:sz w:val="32"/>
          <w:szCs w:val="32"/>
          <w:lang w:val="en-US" w:eastAsia="zh-CN"/>
        </w:rPr>
        <w:t>单位在南岳牌坊开展以“保护古树名木 全民共建共享”为主题的古树名木保护科普宣传周活动</w:t>
      </w:r>
      <w:r>
        <w:rPr>
          <w:rFonts w:hint="eastAsia" w:eastAsia="仿宋" w:cs="仿宋"/>
          <w:sz w:val="32"/>
          <w:szCs w:val="32"/>
          <w:lang w:val="en-US" w:eastAsia="zh-CN"/>
        </w:rPr>
        <w:t>，</w:t>
      </w:r>
      <w:r>
        <w:rPr>
          <w:rFonts w:hint="eastAsia" w:ascii="仿宋_GB2312" w:hAnsi="仿宋_GB2312" w:eastAsia="仿宋_GB2312" w:cs="仿宋_GB2312"/>
          <w:sz w:val="32"/>
          <w:szCs w:val="32"/>
          <w:lang w:val="en-US" w:eastAsia="zh-CN"/>
        </w:rPr>
        <w:t>联合万福小学开展古树名木保护知识进校园活动。</w:t>
      </w:r>
      <w:r>
        <w:rPr>
          <w:rFonts w:hint="default" w:ascii="Times New Roman" w:hAnsi="Times New Roman" w:eastAsia="仿宋" w:cs="Times New Roman"/>
          <w:kern w:val="2"/>
          <w:sz w:val="32"/>
          <w:szCs w:val="32"/>
        </w:rPr>
        <w:t>二是</w:t>
      </w:r>
      <w:r>
        <w:rPr>
          <w:rFonts w:hint="eastAsia" w:ascii="Times New Roman" w:hAnsi="Times New Roman" w:eastAsia="仿宋" w:cs="Times New Roman"/>
          <w:kern w:val="2"/>
          <w:sz w:val="32"/>
          <w:szCs w:val="32"/>
          <w:lang w:val="en-US" w:eastAsia="zh-CN"/>
        </w:rPr>
        <w:t>2024年全民义务植树</w:t>
      </w:r>
      <w:r>
        <w:rPr>
          <w:rFonts w:hint="default" w:ascii="Times New Roman" w:hAnsi="Times New Roman" w:eastAsia="仿宋" w:cs="Times New Roman"/>
          <w:kern w:val="2"/>
          <w:sz w:val="32"/>
          <w:szCs w:val="32"/>
        </w:rPr>
        <w:t>。</w:t>
      </w:r>
      <w:r>
        <w:rPr>
          <w:rFonts w:hint="eastAsia" w:ascii="仿宋_GB2312" w:hAnsi="仿宋_GB2312" w:eastAsia="仿宋_GB2312" w:cs="仿宋_GB2312"/>
          <w:sz w:val="32"/>
          <w:szCs w:val="32"/>
          <w:lang w:val="en-US" w:eastAsia="zh-CN"/>
        </w:rPr>
        <w:t>开展了以“为绿水青山增绿、为旅发大会添彩”为主题的</w:t>
      </w:r>
      <w:r>
        <w:rPr>
          <w:rFonts w:hint="eastAsia" w:ascii="Times New Roman" w:hAnsi="Times New Roman" w:eastAsia="仿宋" w:cs="Times New Roman"/>
          <w:kern w:val="2"/>
          <w:sz w:val="32"/>
          <w:szCs w:val="32"/>
          <w:lang w:val="en-US" w:eastAsia="zh-CN"/>
        </w:rPr>
        <w:t>2024</w:t>
      </w:r>
      <w:r>
        <w:rPr>
          <w:rFonts w:hint="eastAsia" w:ascii="仿宋_GB2312" w:hAnsi="仿宋_GB2312" w:eastAsia="仿宋_GB2312" w:cs="仿宋_GB2312"/>
          <w:sz w:val="32"/>
          <w:szCs w:val="32"/>
          <w:lang w:val="en-US" w:eastAsia="zh-CN"/>
        </w:rPr>
        <w:t>年义务植树活动，区四大家领导和直机关干部带头在金月湖参加义务植树活动，种下楠木、碧桃、银杏和紫荆等苗木。</w:t>
      </w:r>
      <w:r>
        <w:rPr>
          <w:rFonts w:hint="default" w:ascii="Times New Roman" w:hAnsi="Times New Roman" w:eastAsia="仿宋" w:cs="Times New Roman"/>
          <w:kern w:val="2"/>
          <w:sz w:val="32"/>
          <w:szCs w:val="32"/>
        </w:rPr>
        <w:t>三是古树群整体保护建设项目可行性研究报告编制</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该项目建设有益于古树名木保护，能发挥其独特价值，具有显著的生态效益和良好的经济效益。四是2024年松材线虫病枯死木除治，已对南岳区16050棵松材线虫病枯死木进行清除。</w:t>
      </w:r>
    </w:p>
    <w:p w14:paraId="5AC1F6FB">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3.目标完成情况</w:t>
      </w:r>
    </w:p>
    <w:p w14:paraId="51BE0BDC">
      <w:pPr>
        <w:spacing w:line="560" w:lineRule="exact"/>
        <w:ind w:firstLine="640" w:firstLineChars="200"/>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一是古树名木保护科普宣传。</w:t>
      </w:r>
      <w:r>
        <w:rPr>
          <w:rFonts w:hint="eastAsia" w:ascii="Times New Roman" w:hAnsi="Times New Roman" w:eastAsia="仿宋" w:cs="Times New Roman"/>
          <w:kern w:val="2"/>
          <w:sz w:val="32"/>
          <w:szCs w:val="32"/>
          <w:lang w:val="en-US" w:eastAsia="zh-CN"/>
        </w:rPr>
        <w:t>9月27日</w:t>
      </w:r>
      <w:r>
        <w:rPr>
          <w:rFonts w:hint="eastAsia" w:ascii="仿宋" w:hAnsi="仿宋" w:eastAsia="仿宋" w:cs="仿宋"/>
          <w:sz w:val="32"/>
          <w:szCs w:val="32"/>
          <w:lang w:val="en-US" w:eastAsia="zh-CN"/>
        </w:rPr>
        <w:t>，南岳区自然资源局（林业局）组织国有林场、风景名胜资源事务中心等单位在南岳牌坊开展古树名木保护科普宣传周活动</w:t>
      </w:r>
      <w:r>
        <w:rPr>
          <w:rFonts w:hint="eastAsia" w:eastAsia="仿宋" w:cs="仿宋"/>
          <w:sz w:val="32"/>
          <w:szCs w:val="32"/>
          <w:lang w:val="en-US" w:eastAsia="zh-CN"/>
        </w:rPr>
        <w:t>，</w:t>
      </w:r>
      <w:r>
        <w:rPr>
          <w:rFonts w:hint="eastAsia" w:ascii="仿宋" w:hAnsi="仿宋" w:eastAsia="仿宋" w:cs="仿宋"/>
          <w:sz w:val="32"/>
          <w:szCs w:val="32"/>
          <w:lang w:val="en-US" w:eastAsia="zh-CN"/>
        </w:rPr>
        <w:t>共展出宣传展板</w:t>
      </w:r>
      <w:r>
        <w:rPr>
          <w:rFonts w:hint="eastAsia" w:ascii="Times New Roman" w:hAnsi="Times New Roman" w:eastAsia="仿宋" w:cs="Times New Roman"/>
          <w:kern w:val="2"/>
          <w:sz w:val="32"/>
          <w:szCs w:val="32"/>
          <w:lang w:val="en-US" w:eastAsia="zh-CN"/>
        </w:rPr>
        <w:t>10块，发放宣传资料2000余份，古树名木有奖知识问答纪念品100余</w:t>
      </w:r>
      <w:r>
        <w:rPr>
          <w:rFonts w:hint="eastAsia" w:ascii="仿宋" w:hAnsi="仿宋" w:eastAsia="仿宋" w:cs="仿宋"/>
          <w:sz w:val="32"/>
          <w:szCs w:val="32"/>
          <w:lang w:val="en-US" w:eastAsia="zh-CN"/>
        </w:rPr>
        <w:t>份。</w:t>
      </w:r>
      <w:r>
        <w:rPr>
          <w:rFonts w:hint="eastAsia" w:ascii="仿宋_GB2312" w:hAnsi="仿宋_GB2312" w:eastAsia="仿宋_GB2312" w:cs="仿宋_GB2312"/>
          <w:sz w:val="32"/>
          <w:szCs w:val="32"/>
          <w:lang w:val="en-US" w:eastAsia="zh-CN"/>
        </w:rPr>
        <w:t>联合万福小学开展古树名木保护知识进校园活动</w:t>
      </w:r>
      <w:r>
        <w:rPr>
          <w:rFonts w:hint="default" w:ascii="Times New Roman" w:hAnsi="Times New Roman" w:eastAsia="仿宋" w:cs="Times New Roman"/>
          <w:kern w:val="2"/>
          <w:sz w:val="32"/>
          <w:szCs w:val="32"/>
        </w:rPr>
        <w:t>；二是</w:t>
      </w:r>
      <w:r>
        <w:rPr>
          <w:rFonts w:hint="eastAsia" w:ascii="Times New Roman" w:hAnsi="Times New Roman" w:eastAsia="仿宋" w:cs="Times New Roman"/>
          <w:kern w:val="2"/>
          <w:sz w:val="32"/>
          <w:szCs w:val="32"/>
          <w:lang w:val="en-US" w:eastAsia="zh-CN"/>
        </w:rPr>
        <w:t>2024年全民义务植树</w:t>
      </w:r>
      <w:r>
        <w:rPr>
          <w:rFonts w:hint="default" w:ascii="Times New Roman" w:hAnsi="Times New Roman" w:eastAsia="仿宋" w:cs="Times New Roman"/>
          <w:kern w:val="2"/>
          <w:sz w:val="32"/>
          <w:szCs w:val="32"/>
        </w:rPr>
        <w:t>，</w:t>
      </w:r>
      <w:r>
        <w:rPr>
          <w:rFonts w:hint="eastAsia" w:ascii="Times New Roman" w:hAnsi="Times New Roman" w:eastAsia="仿宋" w:cs="Times New Roman"/>
          <w:kern w:val="2"/>
          <w:sz w:val="32"/>
          <w:szCs w:val="32"/>
          <w:lang w:val="en-US" w:eastAsia="zh-CN"/>
        </w:rPr>
        <w:t>南岳区2024年全民义务植树尽责形式为造林绿化、抚育管护等共计2.6万人次，尽责率85%，种植</w:t>
      </w:r>
      <w:r>
        <w:rPr>
          <w:rFonts w:hint="eastAsia" w:ascii="仿宋_GB2312" w:hAnsi="仿宋_GB2312" w:eastAsia="仿宋_GB2312" w:cs="仿宋_GB2312"/>
          <w:sz w:val="32"/>
          <w:szCs w:val="32"/>
          <w:lang w:val="en-US" w:eastAsia="zh-CN"/>
        </w:rPr>
        <w:t>楠木、碧桃、银杏和紫荆</w:t>
      </w:r>
      <w:r>
        <w:rPr>
          <w:rFonts w:hint="eastAsia" w:ascii="Times New Roman" w:hAnsi="Times New Roman" w:eastAsia="仿宋" w:cs="Times New Roman"/>
          <w:kern w:val="2"/>
          <w:sz w:val="32"/>
          <w:szCs w:val="32"/>
          <w:lang w:val="en-US" w:eastAsia="zh-CN"/>
        </w:rPr>
        <w:t>1.2万株</w:t>
      </w:r>
      <w:r>
        <w:rPr>
          <w:rFonts w:hint="default" w:ascii="Times New Roman" w:hAnsi="Times New Roman" w:eastAsia="仿宋" w:cs="Times New Roman"/>
          <w:kern w:val="2"/>
          <w:sz w:val="32"/>
          <w:szCs w:val="32"/>
        </w:rPr>
        <w:t>；三是古树群整体保护建设项目可行性研究报告编制</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对南岳区</w:t>
      </w:r>
      <w:r>
        <w:rPr>
          <w:rFonts w:hint="default" w:ascii="Times New Roman" w:hAnsi="Times New Roman" w:eastAsia="仿宋" w:cs="Times New Roman"/>
          <w:kern w:val="2"/>
          <w:sz w:val="32"/>
          <w:szCs w:val="32"/>
        </w:rPr>
        <w:t>古树群整体保护</w:t>
      </w:r>
      <w:r>
        <w:rPr>
          <w:rFonts w:hint="eastAsia" w:ascii="Times New Roman" w:hAnsi="Times New Roman" w:eastAsia="仿宋" w:cs="Times New Roman"/>
          <w:kern w:val="2"/>
          <w:sz w:val="32"/>
          <w:szCs w:val="32"/>
          <w:lang w:val="en-US" w:eastAsia="zh-CN"/>
        </w:rPr>
        <w:t>建设项目的可行性和建设必要性进行了论证，并对项目选址、项目建设方案、运营方案、风险管控方案进行了说明。四是2024年松线虫病除治，</w:t>
      </w:r>
      <w:r>
        <w:rPr>
          <w:rFonts w:hint="default" w:ascii="Times New Roman" w:hAnsi="Times New Roman" w:eastAsia="仿宋" w:cs="Times New Roman"/>
          <w:kern w:val="2"/>
          <w:sz w:val="32"/>
          <w:szCs w:val="32"/>
          <w:lang w:val="en-US" w:eastAsia="zh-CN"/>
        </w:rPr>
        <w:t>松材线虫枯死木全部砍伐完毕，基本控制疫情没有向周边蔓延扩散</w:t>
      </w:r>
      <w:r>
        <w:rPr>
          <w:rFonts w:hint="eastAsia" w:ascii="Times New Roman" w:hAnsi="Times New Roman" w:eastAsia="仿宋" w:cs="Times New Roman"/>
          <w:kern w:val="2"/>
          <w:sz w:val="32"/>
          <w:szCs w:val="32"/>
          <w:lang w:val="en-US" w:eastAsia="zh-CN"/>
        </w:rPr>
        <w:t>。</w:t>
      </w:r>
    </w:p>
    <w:p w14:paraId="0B5CB67B">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二、绩效评价工作情况</w:t>
      </w:r>
    </w:p>
    <w:p w14:paraId="2DEB6A26">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为深入贯彻生态文明建设理念，强化古树名木资源保护，提升森林生态质量，南岳区自然资源局（林业局）围绕2024年度林业重点任务，开展古树名木保护宣传、全民义务植树、古树群保护项目研究及松材线虫病防治等工作。本次绩效评价旨在检验工作成效，为后续林业生态建设提供决策依据。</w:t>
      </w:r>
    </w:p>
    <w:p w14:paraId="16684824">
      <w:pPr>
        <w:spacing w:line="560" w:lineRule="exact"/>
        <w:ind w:firstLine="643" w:firstLineChars="200"/>
        <w:rPr>
          <w:rFonts w:hint="eastAsia" w:ascii="仿宋" w:hAnsi="仿宋" w:eastAsia="仿宋" w:cs="仿宋"/>
          <w:b/>
          <w:bCs/>
          <w:kern w:val="2"/>
          <w:sz w:val="32"/>
          <w:szCs w:val="32"/>
        </w:rPr>
      </w:pPr>
      <w:r>
        <w:rPr>
          <w:rFonts w:hint="eastAsia" w:eastAsia="仿宋" w:cs="仿宋"/>
          <w:b/>
          <w:bCs/>
          <w:kern w:val="2"/>
          <w:sz w:val="32"/>
          <w:szCs w:val="32"/>
          <w:lang w:val="en-US" w:eastAsia="zh-CN"/>
        </w:rPr>
        <w:t>一</w:t>
      </w:r>
      <w:r>
        <w:rPr>
          <w:rFonts w:hint="eastAsia" w:ascii="仿宋" w:hAnsi="仿宋" w:eastAsia="仿宋" w:cs="仿宋"/>
          <w:b/>
          <w:bCs/>
          <w:kern w:val="2"/>
          <w:sz w:val="32"/>
          <w:szCs w:val="32"/>
        </w:rPr>
        <w:t xml:space="preserve">、评价范围与对象 </w:t>
      </w:r>
    </w:p>
    <w:p w14:paraId="47F3415C">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本次评价覆盖202</w:t>
      </w:r>
      <w:bookmarkStart w:id="0" w:name="_GoBack"/>
      <w:bookmarkEnd w:id="0"/>
      <w:r>
        <w:rPr>
          <w:rFonts w:hint="eastAsia" w:ascii="仿宋" w:hAnsi="仿宋" w:eastAsia="仿宋" w:cs="仿宋"/>
          <w:b w:val="0"/>
          <w:bCs w:val="0"/>
          <w:kern w:val="2"/>
          <w:sz w:val="32"/>
          <w:szCs w:val="32"/>
        </w:rPr>
        <w:t>4年度南岳区林业系统四大重点工作，包括古树名木保护科普宣传、全民义务植树活动、古树群整体保护建设项目可行性研究、松材线虫病除治等工作内容及实施成效。</w:t>
      </w:r>
    </w:p>
    <w:p w14:paraId="31FB5AD9">
      <w:pPr>
        <w:spacing w:line="560" w:lineRule="exact"/>
        <w:ind w:firstLine="643" w:firstLineChars="200"/>
        <w:rPr>
          <w:rFonts w:hint="eastAsia" w:ascii="仿宋" w:hAnsi="仿宋" w:eastAsia="仿宋" w:cs="仿宋"/>
          <w:b/>
          <w:bCs/>
          <w:kern w:val="2"/>
          <w:sz w:val="32"/>
          <w:szCs w:val="32"/>
        </w:rPr>
      </w:pPr>
      <w:r>
        <w:rPr>
          <w:rFonts w:hint="eastAsia" w:eastAsia="仿宋" w:cs="仿宋"/>
          <w:b/>
          <w:bCs/>
          <w:kern w:val="2"/>
          <w:sz w:val="32"/>
          <w:szCs w:val="32"/>
          <w:lang w:val="en-US" w:eastAsia="zh-CN"/>
        </w:rPr>
        <w:t>二</w:t>
      </w:r>
      <w:r>
        <w:rPr>
          <w:rFonts w:hint="eastAsia" w:ascii="仿宋" w:hAnsi="仿宋" w:eastAsia="仿宋" w:cs="仿宋"/>
          <w:b/>
          <w:bCs/>
          <w:kern w:val="2"/>
          <w:sz w:val="32"/>
          <w:szCs w:val="32"/>
        </w:rPr>
        <w:t>. 实施流程</w:t>
      </w:r>
    </w:p>
    <w:p w14:paraId="592A8088">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成立专项评价小组，通过资料核查、实地勘察、数据比对等方式收集信息，对照年初目标进行逐项评分，形成绩效评价报告。</w:t>
      </w:r>
    </w:p>
    <w:p w14:paraId="669187BC">
      <w:pPr>
        <w:spacing w:line="560" w:lineRule="exact"/>
        <w:ind w:firstLine="643" w:firstLineChars="200"/>
        <w:rPr>
          <w:rFonts w:hint="eastAsia" w:ascii="仿宋" w:hAnsi="仿宋" w:eastAsia="仿宋" w:cs="仿宋"/>
          <w:b/>
          <w:bCs/>
          <w:kern w:val="2"/>
          <w:sz w:val="32"/>
          <w:szCs w:val="32"/>
        </w:rPr>
      </w:pPr>
      <w:r>
        <w:rPr>
          <w:rFonts w:hint="eastAsia" w:eastAsia="仿宋" w:cs="仿宋"/>
          <w:b/>
          <w:bCs/>
          <w:kern w:val="2"/>
          <w:sz w:val="32"/>
          <w:szCs w:val="32"/>
          <w:lang w:val="en-US" w:eastAsia="zh-CN"/>
        </w:rPr>
        <w:t>三</w:t>
      </w:r>
      <w:r>
        <w:rPr>
          <w:rFonts w:hint="eastAsia" w:ascii="仿宋" w:hAnsi="仿宋" w:eastAsia="仿宋" w:cs="仿宋"/>
          <w:b/>
          <w:bCs/>
          <w:kern w:val="2"/>
          <w:sz w:val="32"/>
          <w:szCs w:val="32"/>
        </w:rPr>
        <w:t>、评价结果</w:t>
      </w:r>
    </w:p>
    <w:p w14:paraId="10747149">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四大重点工作均按计划完成，在生态保护、公众参与、项目储备及疫情防控等方面取得显著成果。</w:t>
      </w:r>
    </w:p>
    <w:p w14:paraId="7769D380">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古树名木保护科普宣传：通过“宣传周+进校园”活动，共展出展板10块、发放资料2000余份、赠送纪念品100余份，有效提升公众保护意识；</w:t>
      </w:r>
    </w:p>
    <w:p w14:paraId="1E03786B">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全民义务植树：累计2.6万人次参与造林绿化与抚育管护，尽责率达85%，种植楠木、碧桃等苗木1.2万株，生态修复成效显著；</w:t>
      </w:r>
    </w:p>
    <w:p w14:paraId="56A75BD7">
      <w:pPr>
        <w:spacing w:line="560" w:lineRule="exact"/>
        <w:ind w:firstLine="640" w:firstLineChars="20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 古树群整体保护建设项目可行性研究：完成项目选址、建设方案等全流程论证，为后续项目落地奠定科学基础；</w:t>
      </w:r>
    </w:p>
    <w:p w14:paraId="6BA09B6C">
      <w:pPr>
        <w:spacing w:line="560" w:lineRule="exact"/>
        <w:ind w:firstLine="640" w:firstLineChars="200"/>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rPr>
        <w:t>- 松材线虫病除治：全面砍伐枯死木，实现疫情零扩散，有效保护区域森林资源安全</w:t>
      </w:r>
      <w:r>
        <w:rPr>
          <w:rFonts w:hint="eastAsia" w:eastAsia="仿宋" w:cs="仿宋"/>
          <w:b w:val="0"/>
          <w:bCs w:val="0"/>
          <w:kern w:val="2"/>
          <w:sz w:val="32"/>
          <w:szCs w:val="32"/>
          <w:lang w:eastAsia="zh-CN"/>
        </w:rPr>
        <w:t>。</w:t>
      </w:r>
    </w:p>
    <w:p w14:paraId="2496B1DF">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三、预算支出主要绩效及评价结论</w:t>
      </w:r>
    </w:p>
    <w:p w14:paraId="56AD3250">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（一）主要绩效情况</w:t>
      </w:r>
    </w:p>
    <w:p w14:paraId="14CFD8CB">
      <w:pPr>
        <w:spacing w:line="560" w:lineRule="exact"/>
        <w:ind w:firstLine="643" w:firstLineChars="200"/>
        <w:rPr>
          <w:rFonts w:hint="default" w:ascii="Times New Roman" w:hAnsi="Times New Roman" w:eastAsia="仿宋" w:cs="Times New Roman"/>
          <w:b/>
          <w:bCs/>
          <w:kern w:val="2"/>
          <w:sz w:val="32"/>
          <w:szCs w:val="32"/>
          <w:lang w:val="en-US" w:eastAsia="zh-CN"/>
        </w:rPr>
      </w:pPr>
      <w:r>
        <w:rPr>
          <w:rFonts w:hint="default" w:ascii="Times New Roman" w:hAnsi="Times New Roman" w:eastAsia="仿宋" w:cs="Times New Roman"/>
          <w:b/>
          <w:bCs/>
          <w:kern w:val="2"/>
          <w:sz w:val="32"/>
          <w:szCs w:val="32"/>
        </w:rPr>
        <w:t>1.</w:t>
      </w:r>
      <w:r>
        <w:rPr>
          <w:rFonts w:hint="eastAsia" w:ascii="Times New Roman" w:hAnsi="Times New Roman" w:eastAsia="仿宋" w:cs="Times New Roman"/>
          <w:b/>
          <w:bCs/>
          <w:kern w:val="2"/>
          <w:sz w:val="32"/>
          <w:szCs w:val="32"/>
          <w:lang w:val="en-US" w:eastAsia="zh-CN"/>
        </w:rPr>
        <w:t>古树名木宣传氛围浓厚</w:t>
      </w:r>
    </w:p>
    <w:p w14:paraId="5ED390F6">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default" w:ascii="Times New Roman" w:hAnsi="Times New Roman" w:eastAsia="仿宋" w:cs="Times New Roman"/>
          <w:b/>
          <w:bCs/>
          <w:kern w:val="2"/>
          <w:sz w:val="32"/>
          <w:szCs w:val="32"/>
        </w:rPr>
      </w:pPr>
      <w:r>
        <w:rPr>
          <w:rFonts w:hint="eastAsia" w:ascii="仿宋" w:hAnsi="仿宋" w:eastAsia="仿宋" w:cs="仿宋"/>
          <w:sz w:val="32"/>
          <w:szCs w:val="32"/>
          <w:lang w:val="en-US" w:eastAsia="zh-CN"/>
        </w:rPr>
        <w:t>古树名木保护科普宣传周活动</w:t>
      </w:r>
      <w:r>
        <w:rPr>
          <w:rFonts w:hint="eastAsia" w:eastAsia="仿宋" w:cs="仿宋"/>
          <w:sz w:val="32"/>
          <w:szCs w:val="32"/>
          <w:lang w:val="en-US" w:eastAsia="zh-CN"/>
        </w:rPr>
        <w:t>的开展和</w:t>
      </w:r>
      <w:r>
        <w:rPr>
          <w:rFonts w:hint="eastAsia" w:ascii="仿宋_GB2312" w:hAnsi="仿宋_GB2312" w:eastAsia="仿宋_GB2312" w:cs="仿宋_GB2312"/>
          <w:sz w:val="32"/>
          <w:szCs w:val="32"/>
          <w:lang w:val="en-US" w:eastAsia="zh-CN"/>
        </w:rPr>
        <w:t>联合万福小学开展古树名木保护知识进校园活动</w:t>
      </w:r>
      <w:r>
        <w:rPr>
          <w:rFonts w:hint="eastAsia" w:ascii="仿宋" w:hAnsi="仿宋" w:eastAsia="仿宋" w:cs="仿宋"/>
          <w:sz w:val="32"/>
          <w:szCs w:val="32"/>
          <w:lang w:val="en-US" w:eastAsia="zh-CN"/>
        </w:rPr>
        <w:t>提高</w:t>
      </w:r>
      <w:r>
        <w:rPr>
          <w:rFonts w:hint="eastAsia" w:eastAsia="仿宋" w:cs="仿宋"/>
          <w:sz w:val="32"/>
          <w:szCs w:val="32"/>
          <w:lang w:val="en-US" w:eastAsia="zh-CN"/>
        </w:rPr>
        <w:t>了</w:t>
      </w:r>
      <w:r>
        <w:rPr>
          <w:rFonts w:hint="eastAsia" w:ascii="仿宋" w:hAnsi="仿宋" w:eastAsia="仿宋" w:cs="仿宋"/>
          <w:sz w:val="32"/>
          <w:szCs w:val="32"/>
          <w:lang w:val="en-US" w:eastAsia="zh-CN"/>
        </w:rPr>
        <w:t>全民古树保护的自觉性、积极性，在全社会形成热爱古树名木、保护生态环境的良好社会氛围</w:t>
      </w:r>
      <w:r>
        <w:rPr>
          <w:rFonts w:hint="eastAsia" w:eastAsia="仿宋" w:cs="仿宋"/>
          <w:sz w:val="32"/>
          <w:szCs w:val="32"/>
          <w:lang w:val="en-US" w:eastAsia="zh-CN"/>
        </w:rPr>
        <w:t>。</w:t>
      </w:r>
    </w:p>
    <w:p w14:paraId="1DF2C13F">
      <w:pPr>
        <w:spacing w:line="560" w:lineRule="exact"/>
        <w:ind w:firstLine="643" w:firstLineChars="200"/>
        <w:rPr>
          <w:rFonts w:hint="default" w:ascii="Times New Roman" w:hAnsi="Times New Roman" w:eastAsia="仿宋" w:cs="Times New Roman"/>
          <w:b/>
          <w:bCs/>
          <w:kern w:val="2"/>
          <w:sz w:val="32"/>
          <w:szCs w:val="32"/>
          <w:lang w:val="en-US" w:eastAsia="zh-CN"/>
        </w:rPr>
      </w:pPr>
      <w:r>
        <w:rPr>
          <w:rFonts w:hint="default" w:ascii="Times New Roman" w:hAnsi="Times New Roman" w:eastAsia="仿宋" w:cs="Times New Roman"/>
          <w:b/>
          <w:bCs/>
          <w:kern w:val="2"/>
          <w:sz w:val="32"/>
          <w:szCs w:val="32"/>
        </w:rPr>
        <w:t>2.</w:t>
      </w:r>
      <w:r>
        <w:rPr>
          <w:rFonts w:hint="eastAsia" w:ascii="Times New Roman" w:hAnsi="Times New Roman" w:eastAsia="仿宋" w:cs="Times New Roman"/>
          <w:b/>
          <w:bCs/>
          <w:kern w:val="2"/>
          <w:sz w:val="32"/>
          <w:szCs w:val="32"/>
          <w:lang w:val="en-US" w:eastAsia="zh-CN"/>
        </w:rPr>
        <w:t>全民义务植树活动取得圆满成功</w:t>
      </w:r>
    </w:p>
    <w:p w14:paraId="624F258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开展了以“为绿水青山增绿、为旅发大会添彩”为主题的2024年义务植树活动，区四大家领导和直机关干部带头在金月湖参加义务植树活动，种下楠木、碧桃、银杏和紫荆等苗木。</w:t>
      </w:r>
    </w:p>
    <w:p w14:paraId="0EF12E91">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（二）评价结论</w:t>
      </w:r>
    </w:p>
    <w:p w14:paraId="7936A1A5">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根据本次专项资金绩效评价指标体系，从项目决策、过程、产出、效益四个维度进行评分，通过定量和定性分析、计算，绩效评价最后得分为</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分，评价等级为“优”，具体得分如下：</w:t>
      </w:r>
    </w:p>
    <w:tbl>
      <w:tblPr>
        <w:tblStyle w:val="17"/>
        <w:tblW w:w="83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826"/>
        <w:gridCol w:w="2238"/>
        <w:gridCol w:w="2276"/>
      </w:tblGrid>
      <w:tr w14:paraId="541DE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53C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项目</w:t>
            </w:r>
          </w:p>
        </w:tc>
        <w:tc>
          <w:tcPr>
            <w:tcW w:w="22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976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分值</w:t>
            </w:r>
          </w:p>
        </w:tc>
        <w:tc>
          <w:tcPr>
            <w:tcW w:w="22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9C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得分</w:t>
            </w:r>
          </w:p>
        </w:tc>
      </w:tr>
      <w:tr w14:paraId="7D3A72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8EF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决策</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F8C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E249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20</w:t>
            </w:r>
          </w:p>
        </w:tc>
      </w:tr>
      <w:tr w14:paraId="73E94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2060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过程</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DC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25</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BC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25</w:t>
            </w:r>
          </w:p>
        </w:tc>
      </w:tr>
      <w:tr w14:paraId="6CE775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6E8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产出</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EB5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25</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F4C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25</w:t>
            </w:r>
          </w:p>
        </w:tc>
      </w:tr>
      <w:tr w14:paraId="48F441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C29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效益</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587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30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50D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30</w:t>
            </w:r>
          </w:p>
        </w:tc>
      </w:tr>
      <w:tr w14:paraId="2814CE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1"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66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合计</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203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100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5FE0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100</w:t>
            </w:r>
          </w:p>
        </w:tc>
      </w:tr>
    </w:tbl>
    <w:p w14:paraId="6372C857">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四、绩效评价指标分析</w:t>
      </w:r>
    </w:p>
    <w:p w14:paraId="7645DEB7">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（一）预算支出决策情况</w:t>
      </w:r>
    </w:p>
    <w:p w14:paraId="26DD9FE7">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预算支出决策指标分值为</w:t>
      </w:r>
      <w:r>
        <w:rPr>
          <w:rFonts w:hint="eastAsia" w:ascii="Times New Roman" w:hAnsi="Times New Roman" w:eastAsia="仿宋" w:cs="Times New Roman"/>
          <w:kern w:val="2"/>
          <w:sz w:val="32"/>
          <w:szCs w:val="32"/>
          <w:lang w:val="en-US" w:eastAsia="zh-CN"/>
        </w:rPr>
        <w:t>20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20</w:t>
      </w:r>
      <w:r>
        <w:rPr>
          <w:rFonts w:hint="default" w:ascii="Times New Roman" w:hAnsi="Times New Roman" w:eastAsia="仿宋" w:cs="Times New Roman"/>
          <w:kern w:val="2"/>
          <w:sz w:val="32"/>
          <w:szCs w:val="32"/>
        </w:rPr>
        <w:t>分。我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在绩效目标设置、资金分配方面均按照专项资金管理办法要求制定和实施，过程规范。</w:t>
      </w:r>
    </w:p>
    <w:p w14:paraId="3DDAA510">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（二）预算执行过程情况</w:t>
      </w:r>
    </w:p>
    <w:p w14:paraId="25F3CB00">
      <w:pPr>
        <w:spacing w:line="560" w:lineRule="exact"/>
        <w:ind w:firstLine="640" w:firstLineChars="200"/>
        <w:rPr>
          <w:rFonts w:hint="default" w:ascii="Times New Roman" w:hAnsi="Times New Roman" w:eastAsia="仿宋" w:cs="Times New Roman"/>
          <w:snapToGrid/>
          <w:kern w:val="2"/>
          <w:sz w:val="32"/>
          <w:szCs w:val="32"/>
          <w:lang w:val="en-US" w:eastAsia="en-US" w:bidi="ar-SA"/>
        </w:rPr>
      </w:pPr>
      <w:r>
        <w:rPr>
          <w:rFonts w:hint="default" w:ascii="Times New Roman" w:hAnsi="Times New Roman" w:eastAsia="仿宋" w:cs="Times New Roman"/>
          <w:kern w:val="2"/>
          <w:sz w:val="32"/>
          <w:szCs w:val="32"/>
        </w:rPr>
        <w:t>预算执行过程指标分值为</w:t>
      </w:r>
      <w:r>
        <w:rPr>
          <w:rFonts w:hint="eastAsia" w:ascii="Times New Roman" w:hAnsi="Times New Roman" w:eastAsia="仿宋" w:cs="Times New Roman"/>
          <w:kern w:val="2"/>
          <w:sz w:val="32"/>
          <w:szCs w:val="32"/>
          <w:lang w:val="en-US" w:eastAsia="zh-CN"/>
        </w:rPr>
        <w:t>25</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25</w:t>
      </w:r>
      <w:r>
        <w:rPr>
          <w:rFonts w:hint="default" w:ascii="Times New Roman" w:hAnsi="Times New Roman" w:eastAsia="仿宋" w:cs="Times New Roman"/>
          <w:kern w:val="2"/>
          <w:sz w:val="32"/>
          <w:szCs w:val="32"/>
        </w:rPr>
        <w:t>分，</w:t>
      </w:r>
      <w:r>
        <w:rPr>
          <w:rFonts w:hint="default" w:ascii="Times New Roman" w:hAnsi="Times New Roman" w:eastAsia="仿宋" w:cs="Times New Roman"/>
          <w:kern w:val="2"/>
          <w:sz w:val="32"/>
          <w:szCs w:val="32"/>
          <w:lang w:val="en-US" w:eastAsia="zh-CN"/>
        </w:rPr>
        <w:t>植被恢复费返还</w:t>
      </w:r>
      <w:r>
        <w:rPr>
          <w:rFonts w:hint="default" w:ascii="Times New Roman" w:hAnsi="Times New Roman" w:eastAsia="仿宋" w:cs="Times New Roman"/>
          <w:kern w:val="2"/>
          <w:sz w:val="32"/>
          <w:szCs w:val="32"/>
        </w:rPr>
        <w:t>专项资金</w:t>
      </w:r>
      <w:r>
        <w:rPr>
          <w:rFonts w:hint="eastAsia" w:ascii="Times New Roman" w:hAnsi="Times New Roman" w:eastAsia="仿宋" w:cs="Times New Roman"/>
          <w:kern w:val="2"/>
          <w:sz w:val="32"/>
          <w:szCs w:val="32"/>
          <w:lang w:val="en-US" w:eastAsia="zh-CN"/>
        </w:rPr>
        <w:t>属于</w:t>
      </w:r>
      <w:r>
        <w:rPr>
          <w:rFonts w:hint="default" w:ascii="Times New Roman" w:hAnsi="Times New Roman" w:eastAsia="仿宋" w:cs="Times New Roman"/>
          <w:snapToGrid/>
          <w:kern w:val="2"/>
          <w:sz w:val="32"/>
          <w:szCs w:val="32"/>
          <w:lang w:val="en-US" w:eastAsia="en-US" w:bidi="ar-SA"/>
        </w:rPr>
        <w:t>省级财政专项资金，由林业局负责监管实施，项目完成或竣</w:t>
      </w:r>
      <w:r>
        <w:rPr>
          <w:rFonts w:hint="default" w:ascii="Times New Roman" w:hAnsi="Times New Roman" w:eastAsia="仿宋" w:cs="Times New Roman"/>
          <w:snapToGrid/>
          <w:kern w:val="2"/>
          <w:sz w:val="32"/>
          <w:szCs w:val="32"/>
          <w:lang w:val="en-US" w:eastAsia="zh-CN" w:bidi="ar-SA"/>
        </w:rPr>
        <w:t>工</w:t>
      </w:r>
      <w:r>
        <w:rPr>
          <w:rFonts w:hint="default" w:ascii="Times New Roman" w:hAnsi="Times New Roman" w:eastAsia="仿宋" w:cs="Times New Roman"/>
          <w:snapToGrid/>
          <w:kern w:val="2"/>
          <w:sz w:val="32"/>
          <w:szCs w:val="32"/>
          <w:lang w:val="en-US" w:eastAsia="en-US" w:bidi="ar-SA"/>
        </w:rPr>
        <w:t>后，与财政局联合验收并公示，最后由财政局制定支付计划。支出过程依法依规，监管到位，过程设置合理。</w:t>
      </w:r>
    </w:p>
    <w:p w14:paraId="67883F4B">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（三）预算支出产出情况</w:t>
      </w:r>
    </w:p>
    <w:p w14:paraId="3817792C">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预算支出产出指标分值</w:t>
      </w:r>
      <w:r>
        <w:rPr>
          <w:rFonts w:hint="eastAsia" w:ascii="Times New Roman" w:hAnsi="Times New Roman" w:eastAsia="仿宋" w:cs="Times New Roman"/>
          <w:kern w:val="2"/>
          <w:sz w:val="32"/>
          <w:szCs w:val="32"/>
          <w:lang w:val="en-US" w:eastAsia="zh-CN"/>
        </w:rPr>
        <w:t>25</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25</w:t>
      </w:r>
      <w:r>
        <w:rPr>
          <w:rFonts w:hint="default" w:ascii="Times New Roman" w:hAnsi="Times New Roman" w:eastAsia="仿宋" w:cs="Times New Roman"/>
          <w:kern w:val="2"/>
          <w:sz w:val="32"/>
          <w:szCs w:val="32"/>
        </w:rPr>
        <w:t>分，</w:t>
      </w:r>
      <w:r>
        <w:rPr>
          <w:rFonts w:hint="eastAsia" w:ascii="Times New Roman" w:hAnsi="Times New Roman" w:eastAsia="仿宋" w:cs="Times New Roman"/>
          <w:snapToGrid/>
          <w:kern w:val="2"/>
          <w:sz w:val="32"/>
          <w:szCs w:val="32"/>
          <w:lang w:val="en-US" w:eastAsia="zh-CN" w:bidi="ar-SA"/>
        </w:rPr>
        <w:t>古树名木保护宣传，</w:t>
      </w:r>
      <w:r>
        <w:rPr>
          <w:rFonts w:hint="default" w:ascii="Times New Roman" w:hAnsi="Times New Roman" w:eastAsia="仿宋" w:cs="Times New Roman"/>
          <w:snapToGrid/>
          <w:kern w:val="2"/>
          <w:sz w:val="32"/>
          <w:szCs w:val="32"/>
          <w:lang w:val="en-US" w:eastAsia="en-US" w:bidi="ar-SA"/>
        </w:rPr>
        <w:t>保</w:t>
      </w:r>
      <w:r>
        <w:rPr>
          <w:rFonts w:hint="default" w:ascii="Times New Roman" w:hAnsi="Times New Roman" w:eastAsia="仿宋" w:cs="Times New Roman"/>
          <w:snapToGrid/>
          <w:kern w:val="2"/>
          <w:sz w:val="32"/>
          <w:szCs w:val="32"/>
          <w:lang w:val="en-US" w:eastAsia="zh-CN" w:bidi="ar-SA"/>
        </w:rPr>
        <w:t>护森林资源安全</w:t>
      </w:r>
      <w:r>
        <w:rPr>
          <w:rFonts w:hint="default" w:ascii="Times New Roman" w:hAnsi="Times New Roman" w:eastAsia="仿宋" w:cs="Times New Roman"/>
          <w:snapToGrid/>
          <w:kern w:val="2"/>
          <w:sz w:val="32"/>
          <w:szCs w:val="32"/>
          <w:lang w:val="en-US" w:eastAsia="en-US" w:bidi="ar-SA"/>
        </w:rPr>
        <w:t>；</w:t>
      </w:r>
      <w:r>
        <w:rPr>
          <w:rFonts w:hint="eastAsia" w:ascii="Times New Roman" w:hAnsi="Times New Roman" w:eastAsia="仿宋" w:cs="Times New Roman"/>
          <w:snapToGrid/>
          <w:kern w:val="2"/>
          <w:sz w:val="32"/>
          <w:szCs w:val="32"/>
          <w:lang w:val="en-US" w:eastAsia="zh-CN" w:bidi="ar-SA"/>
        </w:rPr>
        <w:t>全民义务植树</w:t>
      </w:r>
      <w:r>
        <w:rPr>
          <w:rFonts w:hint="eastAsia" w:ascii="Times New Roman" w:hAnsi="Times New Roman" w:eastAsia="仿宋" w:cs="Times New Roman"/>
          <w:kern w:val="2"/>
          <w:sz w:val="32"/>
          <w:szCs w:val="32"/>
          <w:lang w:val="en-US" w:eastAsia="zh-CN"/>
        </w:rPr>
        <w:t>种植</w:t>
      </w:r>
      <w:r>
        <w:rPr>
          <w:rFonts w:hint="eastAsia" w:ascii="仿宋_GB2312" w:hAnsi="仿宋_GB2312" w:eastAsia="仿宋_GB2312" w:cs="仿宋_GB2312"/>
          <w:sz w:val="32"/>
          <w:szCs w:val="32"/>
          <w:lang w:val="en-US" w:eastAsia="zh-CN"/>
        </w:rPr>
        <w:t>楠木、碧桃、银杏和紫荆</w:t>
      </w:r>
      <w:r>
        <w:rPr>
          <w:rFonts w:hint="eastAsia" w:ascii="Times New Roman" w:hAnsi="Times New Roman" w:eastAsia="仿宋" w:cs="Times New Roman"/>
          <w:kern w:val="2"/>
          <w:sz w:val="32"/>
          <w:szCs w:val="32"/>
          <w:lang w:val="en-US" w:eastAsia="zh-CN"/>
        </w:rPr>
        <w:t>1.2万株，</w:t>
      </w:r>
      <w:r>
        <w:rPr>
          <w:rFonts w:hint="default" w:ascii="Times New Roman" w:hAnsi="Times New Roman" w:eastAsia="仿宋" w:cs="Times New Roman"/>
          <w:snapToGrid/>
          <w:kern w:val="2"/>
          <w:sz w:val="32"/>
          <w:szCs w:val="32"/>
          <w:lang w:val="en-US" w:eastAsia="en-US" w:bidi="ar-SA"/>
        </w:rPr>
        <w:t>提高森林覆盖率</w:t>
      </w:r>
      <w:r>
        <w:rPr>
          <w:rFonts w:hint="eastAsia" w:ascii="Times New Roman" w:hAnsi="Times New Roman" w:eastAsia="仿宋" w:cs="Times New Roman"/>
          <w:snapToGrid/>
          <w:kern w:val="2"/>
          <w:sz w:val="32"/>
          <w:szCs w:val="32"/>
          <w:lang w:val="en-US" w:eastAsia="zh-CN" w:bidi="ar-SA"/>
        </w:rPr>
        <w:t>；</w:t>
      </w:r>
      <w:r>
        <w:rPr>
          <w:rFonts w:hint="default" w:ascii="Times New Roman" w:hAnsi="Times New Roman" w:eastAsia="仿宋" w:cs="Times New Roman"/>
          <w:kern w:val="2"/>
          <w:sz w:val="32"/>
          <w:szCs w:val="32"/>
        </w:rPr>
        <w:t>古树群整体保护建设项目可行性研究报告编制</w:t>
      </w:r>
      <w:r>
        <w:rPr>
          <w:rFonts w:hint="eastAsia" w:ascii="Times New Roman" w:hAnsi="Times New Roman" w:eastAsia="仿宋" w:cs="Times New Roman"/>
          <w:snapToGrid/>
          <w:kern w:val="2"/>
          <w:sz w:val="32"/>
          <w:szCs w:val="32"/>
          <w:lang w:val="en-US" w:eastAsia="zh-CN" w:bidi="ar-SA"/>
        </w:rPr>
        <w:t>加强对南岳区古树名木及古树群的保护，进一步提升南岳的生态、文化价值和历史底蕴</w:t>
      </w:r>
      <w:r>
        <w:rPr>
          <w:rFonts w:hint="default" w:ascii="Times New Roman" w:hAnsi="Times New Roman" w:eastAsia="仿宋" w:cs="Times New Roman"/>
          <w:snapToGrid/>
          <w:kern w:val="2"/>
          <w:sz w:val="32"/>
          <w:szCs w:val="32"/>
          <w:lang w:val="en-US" w:eastAsia="en-US" w:bidi="ar-SA"/>
        </w:rPr>
        <w:t>。</w:t>
      </w:r>
    </w:p>
    <w:p w14:paraId="63679565">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（四）预算支出效益情况</w:t>
      </w:r>
    </w:p>
    <w:p w14:paraId="5FD7E031">
      <w:pPr>
        <w:keepNext w:val="0"/>
        <w:keepLines w:val="0"/>
        <w:pageBreakBefore w:val="0"/>
        <w:numPr>
          <w:ilvl w:val="0"/>
          <w:numId w:val="0"/>
        </w:numPr>
        <w:kinsoku/>
        <w:wordWrap/>
        <w:overflowPunct/>
        <w:topLinePunct w:val="0"/>
        <w:autoSpaceDE/>
        <w:autoSpaceDN/>
        <w:bidi w:val="0"/>
        <w:spacing w:line="560" w:lineRule="atLeast"/>
        <w:ind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预算支出效益指标分值</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w:t>
      </w:r>
      <w:r>
        <w:rPr>
          <w:rFonts w:hint="eastAsia" w:ascii="Times New Roman" w:hAnsi="Times New Roman" w:eastAsia="仿宋" w:cs="Times New Roman"/>
          <w:kern w:val="2"/>
          <w:sz w:val="32"/>
          <w:szCs w:val="32"/>
          <w:lang w:eastAsia="zh-CN"/>
        </w:rPr>
        <w:t>。</w:t>
      </w:r>
      <w:r>
        <w:rPr>
          <w:rFonts w:hint="eastAsia" w:ascii="Times New Roman" w:hAnsi="Times New Roman" w:eastAsia="仿宋" w:cs="Times New Roman"/>
          <w:kern w:val="2"/>
          <w:sz w:val="32"/>
          <w:szCs w:val="32"/>
          <w:lang w:val="en-US" w:eastAsia="zh-CN"/>
        </w:rPr>
        <w:t>增强群众对古树名木保护意识，</w:t>
      </w:r>
      <w:r>
        <w:rPr>
          <w:rFonts w:hint="eastAsia" w:ascii="仿宋" w:hAnsi="仿宋" w:eastAsia="仿宋" w:cs="仿宋"/>
          <w:sz w:val="32"/>
          <w:szCs w:val="32"/>
          <w:lang w:val="en-US" w:eastAsia="zh-CN"/>
        </w:rPr>
        <w:t>在全社会形成热爱古树名木、保护生态环境的良好社会氛围</w:t>
      </w:r>
      <w:r>
        <w:rPr>
          <w:rFonts w:hint="eastAsia" w:eastAsia="仿宋" w:cs="仿宋"/>
          <w:sz w:val="32"/>
          <w:szCs w:val="32"/>
          <w:lang w:val="en-US" w:eastAsia="zh-CN"/>
        </w:rPr>
        <w:t>。</w:t>
      </w:r>
      <w:r>
        <w:rPr>
          <w:rFonts w:hint="eastAsia" w:ascii="Times New Roman" w:hAnsi="Times New Roman" w:eastAsia="仿宋" w:cs="Times New Roman"/>
          <w:kern w:val="2"/>
          <w:sz w:val="32"/>
          <w:szCs w:val="32"/>
          <w:lang w:val="en-US" w:eastAsia="zh-CN"/>
        </w:rPr>
        <w:t>植树造林能有效减少水土流失，有效保护南岳生态环境；扩大劳动就业，对缓解社会就业和促进农村经济发展起到积极作用。南岳区古树名木占衡阳市古树名木数量一半，通过项目保护，将会在社会产生深远的社会影响。</w:t>
      </w:r>
    </w:p>
    <w:p w14:paraId="48D86C3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snapToGrid/>
          <w:kern w:val="2"/>
          <w:sz w:val="32"/>
          <w:szCs w:val="32"/>
          <w:lang w:val="en-US" w:eastAsia="en-US" w:bidi="ar-SA"/>
        </w:rPr>
      </w:pPr>
      <w:r>
        <w:rPr>
          <w:rFonts w:hint="default" w:ascii="Times New Roman" w:hAnsi="Times New Roman" w:eastAsia="黑体" w:cs="Times New Roman"/>
          <w:snapToGrid/>
          <w:kern w:val="2"/>
          <w:sz w:val="32"/>
          <w:szCs w:val="32"/>
          <w:lang w:val="en-US" w:eastAsia="en-US" w:bidi="ar-SA"/>
        </w:rPr>
        <w:t>五、主要经验做法、存在的问题及原因分析</w:t>
      </w:r>
    </w:p>
    <w:p w14:paraId="1DC95307">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eastAsia="仿宋" w:cs="Times New Roman"/>
          <w:snapToGrid/>
          <w:kern w:val="2"/>
          <w:sz w:val="32"/>
          <w:szCs w:val="32"/>
          <w:lang w:val="en-US" w:eastAsia="en-US" w:bidi="ar-SA"/>
        </w:rPr>
      </w:pPr>
      <w:r>
        <w:rPr>
          <w:rFonts w:hint="default" w:ascii="Times New Roman" w:hAnsi="Times New Roman" w:eastAsia="楷体" w:cs="Times New Roman"/>
          <w:b/>
          <w:bCs/>
          <w:snapToGrid/>
          <w:kern w:val="2"/>
          <w:sz w:val="32"/>
          <w:szCs w:val="32"/>
          <w:lang w:val="en-US" w:eastAsia="en-US" w:bidi="ar-SA"/>
        </w:rPr>
        <w:t>1.主要经验做法：</w:t>
      </w:r>
      <w:r>
        <w:rPr>
          <w:rFonts w:hint="default" w:ascii="Times New Roman" w:hAnsi="Times New Roman" w:eastAsia="仿宋" w:cs="Times New Roman"/>
          <w:snapToGrid/>
          <w:kern w:val="2"/>
          <w:sz w:val="32"/>
          <w:szCs w:val="32"/>
          <w:lang w:val="en-US" w:eastAsia="en-US" w:bidi="ar-SA"/>
        </w:rPr>
        <w:t>加强组织领导，强化工作责任；规范项目管理；严把技术指导关；加强档案管理。</w:t>
      </w:r>
    </w:p>
    <w:p w14:paraId="1BFFA66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eastAsia="仿宋" w:cs="Times New Roman"/>
          <w:snapToGrid/>
          <w:kern w:val="2"/>
          <w:sz w:val="32"/>
          <w:szCs w:val="32"/>
          <w:lang w:val="en-US" w:eastAsia="en-US" w:bidi="ar-SA"/>
        </w:rPr>
      </w:pPr>
      <w:r>
        <w:rPr>
          <w:rFonts w:hint="default" w:ascii="Times New Roman" w:hAnsi="Times New Roman" w:eastAsia="楷体" w:cs="Times New Roman"/>
          <w:b/>
          <w:bCs/>
          <w:snapToGrid/>
          <w:kern w:val="2"/>
          <w:sz w:val="32"/>
          <w:szCs w:val="32"/>
          <w:lang w:val="en-US" w:eastAsia="en-US" w:bidi="ar-SA"/>
        </w:rPr>
        <w:t>2.存在的问题及原因分析：</w:t>
      </w:r>
      <w:r>
        <w:rPr>
          <w:rFonts w:hint="default" w:ascii="Times New Roman" w:hAnsi="Times New Roman" w:eastAsia="仿宋" w:cs="Times New Roman"/>
          <w:snapToGrid/>
          <w:kern w:val="2"/>
          <w:sz w:val="32"/>
          <w:szCs w:val="32"/>
          <w:lang w:val="en-US" w:eastAsia="en-US" w:bidi="ar-SA"/>
        </w:rPr>
        <w:t>极个别</w:t>
      </w:r>
      <w:r>
        <w:rPr>
          <w:rFonts w:hint="eastAsia" w:ascii="Times New Roman" w:hAnsi="Times New Roman" w:eastAsia="仿宋" w:cs="Times New Roman"/>
          <w:snapToGrid/>
          <w:kern w:val="2"/>
          <w:sz w:val="32"/>
          <w:szCs w:val="32"/>
          <w:lang w:val="en-US" w:eastAsia="zh-CN" w:bidi="ar-SA"/>
        </w:rPr>
        <w:t>村民对古树名木保护的保护意识</w:t>
      </w:r>
      <w:r>
        <w:rPr>
          <w:rFonts w:hint="default" w:ascii="Times New Roman" w:hAnsi="Times New Roman" w:eastAsia="仿宋" w:cs="Times New Roman"/>
          <w:snapToGrid/>
          <w:kern w:val="2"/>
          <w:sz w:val="32"/>
          <w:szCs w:val="32"/>
          <w:lang w:val="en-US" w:eastAsia="en-US" w:bidi="ar-SA"/>
        </w:rPr>
        <w:t>不</w:t>
      </w:r>
      <w:r>
        <w:rPr>
          <w:rFonts w:hint="eastAsia" w:ascii="Times New Roman" w:hAnsi="Times New Roman" w:eastAsia="仿宋" w:cs="Times New Roman"/>
          <w:snapToGrid/>
          <w:kern w:val="2"/>
          <w:sz w:val="32"/>
          <w:szCs w:val="32"/>
          <w:lang w:val="en-US" w:eastAsia="zh-CN" w:bidi="ar-SA"/>
        </w:rPr>
        <w:t>强</w:t>
      </w:r>
      <w:r>
        <w:rPr>
          <w:rFonts w:hint="default" w:ascii="Times New Roman" w:hAnsi="Times New Roman" w:eastAsia="仿宋" w:cs="Times New Roman"/>
          <w:snapToGrid/>
          <w:kern w:val="2"/>
          <w:sz w:val="32"/>
          <w:szCs w:val="32"/>
          <w:lang w:val="en-US" w:eastAsia="en-US" w:bidi="ar-SA"/>
        </w:rPr>
        <w:t>，</w:t>
      </w:r>
      <w:r>
        <w:rPr>
          <w:rFonts w:hint="eastAsia" w:ascii="Times New Roman" w:hAnsi="Times New Roman" w:eastAsia="仿宋" w:cs="Times New Roman"/>
          <w:snapToGrid/>
          <w:kern w:val="2"/>
          <w:sz w:val="32"/>
          <w:szCs w:val="32"/>
          <w:lang w:val="en-US" w:eastAsia="zh-CN" w:bidi="ar-SA"/>
        </w:rPr>
        <w:t>法律意识较为淡薄，还需要对古树名木保护相关条例进行科普</w:t>
      </w:r>
      <w:r>
        <w:rPr>
          <w:rFonts w:hint="default" w:ascii="Times New Roman" w:hAnsi="Times New Roman" w:eastAsia="仿宋" w:cs="Times New Roman"/>
          <w:snapToGrid/>
          <w:kern w:val="2"/>
          <w:sz w:val="32"/>
          <w:szCs w:val="32"/>
          <w:lang w:val="en-US" w:eastAsia="en-US" w:bidi="ar-SA"/>
        </w:rPr>
        <w:t>。</w:t>
      </w:r>
    </w:p>
    <w:p w14:paraId="1736C51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snapToGrid/>
          <w:kern w:val="2"/>
          <w:sz w:val="32"/>
          <w:szCs w:val="32"/>
          <w:lang w:val="en-US" w:eastAsia="en-US" w:bidi="ar-SA"/>
        </w:rPr>
      </w:pPr>
      <w:r>
        <w:rPr>
          <w:rFonts w:hint="default" w:ascii="Times New Roman" w:hAnsi="Times New Roman" w:eastAsia="黑体" w:cs="Times New Roman"/>
          <w:snapToGrid/>
          <w:kern w:val="2"/>
          <w:sz w:val="32"/>
          <w:szCs w:val="32"/>
          <w:lang w:val="en-US" w:eastAsia="en-US" w:bidi="ar-SA"/>
        </w:rPr>
        <w:t>六、有关建议</w:t>
      </w:r>
    </w:p>
    <w:p w14:paraId="098E06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snapToGrid/>
          <w:kern w:val="2"/>
          <w:sz w:val="32"/>
          <w:szCs w:val="32"/>
          <w:lang w:val="en-US" w:eastAsia="en-US" w:bidi="ar-SA"/>
        </w:rPr>
      </w:pPr>
      <w:r>
        <w:rPr>
          <w:rFonts w:hint="eastAsia" w:ascii="仿宋" w:hAnsi="仿宋" w:eastAsia="仿宋" w:cs="仿宋"/>
          <w:sz w:val="32"/>
          <w:szCs w:val="32"/>
        </w:rPr>
        <w:t>古树名木是森林资源中的瑰宝，被称为绿色文物、活的化石，记载着南岳的自然变迁和历史文化，具有重要的的经济、历史、文化、科研、旅游、生态和社会价值。</w:t>
      </w:r>
      <w:r>
        <w:rPr>
          <w:rFonts w:hint="eastAsia" w:ascii="Times New Roman" w:hAnsi="Times New Roman" w:eastAsia="仿宋" w:cs="Times New Roman"/>
          <w:sz w:val="32"/>
          <w:szCs w:val="32"/>
          <w:lang w:val="en-US" w:eastAsia="zh-CN"/>
        </w:rPr>
        <w:t>建议</w:t>
      </w:r>
      <w:r>
        <w:rPr>
          <w:rFonts w:hint="eastAsia" w:eastAsia="仿宋" w:cs="Times New Roman"/>
          <w:sz w:val="32"/>
          <w:szCs w:val="32"/>
          <w:lang w:val="en-US" w:eastAsia="zh-CN"/>
        </w:rPr>
        <w:t>区政府给予古树名木挂牌的全覆盖和古树名木抢救复壮资金支持，</w:t>
      </w:r>
      <w:r>
        <w:rPr>
          <w:rFonts w:ascii="Times New Roman" w:hAnsi="Times New Roman" w:eastAsia="仿宋" w:cs="Times New Roman"/>
          <w:sz w:val="32"/>
          <w:szCs w:val="32"/>
        </w:rPr>
        <w:t>我局将坚持保护古树名木及其自然生长环境，促进</w:t>
      </w:r>
      <w:r>
        <w:rPr>
          <w:rFonts w:hint="eastAsia" w:eastAsia="仿宋" w:cs="Times New Roman"/>
          <w:sz w:val="32"/>
          <w:szCs w:val="32"/>
          <w:lang w:val="en-US" w:eastAsia="zh-CN"/>
        </w:rPr>
        <w:t>南岳的</w:t>
      </w:r>
      <w:r>
        <w:rPr>
          <w:rFonts w:ascii="Times New Roman" w:hAnsi="Times New Roman" w:eastAsia="仿宋" w:cs="Times New Roman"/>
          <w:sz w:val="32"/>
          <w:szCs w:val="32"/>
        </w:rPr>
        <w:t>生态文明建设。</w:t>
      </w:r>
    </w:p>
    <w:p w14:paraId="07E66EF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snapToGrid/>
          <w:kern w:val="2"/>
          <w:sz w:val="32"/>
          <w:szCs w:val="32"/>
          <w:lang w:val="en-US" w:eastAsia="en-US" w:bidi="ar-SA"/>
        </w:rPr>
      </w:pPr>
      <w:r>
        <w:rPr>
          <w:rFonts w:hint="default" w:ascii="Times New Roman" w:hAnsi="Times New Roman" w:eastAsia="黑体" w:cs="Times New Roman"/>
          <w:snapToGrid/>
          <w:kern w:val="2"/>
          <w:sz w:val="32"/>
          <w:szCs w:val="32"/>
          <w:lang w:val="en-US" w:eastAsia="en-US" w:bidi="ar-SA"/>
        </w:rPr>
        <w:t>七、其他需要说明的问题</w:t>
      </w:r>
    </w:p>
    <w:p w14:paraId="56B8499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 w:cs="Times New Roman"/>
          <w:snapToGrid/>
          <w:kern w:val="2"/>
          <w:sz w:val="32"/>
          <w:szCs w:val="32"/>
          <w:lang w:val="en-US" w:eastAsia="en-US" w:bidi="ar-SA"/>
        </w:rPr>
      </w:pPr>
      <w:r>
        <w:rPr>
          <w:rFonts w:hint="default" w:ascii="Times New Roman" w:hAnsi="Times New Roman" w:eastAsia="仿宋" w:cs="Times New Roman"/>
          <w:snapToGrid/>
          <w:kern w:val="2"/>
          <w:sz w:val="32"/>
          <w:szCs w:val="32"/>
          <w:lang w:val="en-US" w:eastAsia="en-US" w:bidi="ar-SA"/>
        </w:rPr>
        <w:t>无</w:t>
      </w:r>
    </w:p>
    <w:p w14:paraId="7BABDDB7">
      <w:pPr>
        <w:spacing w:line="560" w:lineRule="exact"/>
        <w:ind w:firstLine="640" w:firstLineChars="200"/>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 </w:t>
      </w:r>
      <w:r>
        <w:rPr>
          <w:rFonts w:hint="default" w:ascii="Times New Roman" w:hAnsi="Times New Roman" w:eastAsia="仿宋" w:cs="Times New Roman"/>
          <w:kern w:val="2"/>
          <w:sz w:val="32"/>
          <w:szCs w:val="32"/>
          <w:lang w:val="en-US" w:eastAsia="zh-CN"/>
        </w:rPr>
        <w:t xml:space="preserve">                            </w:t>
      </w:r>
    </w:p>
    <w:p w14:paraId="1CFC5662">
      <w:pPr>
        <w:spacing w:line="560" w:lineRule="exact"/>
        <w:ind w:leftChars="1100" w:firstLine="640" w:firstLineChars="200"/>
        <w:jc w:val="right"/>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南岳区自然资源局（林业局）</w:t>
      </w:r>
    </w:p>
    <w:p w14:paraId="1EE77AAD">
      <w:pPr>
        <w:spacing w:line="560" w:lineRule="exact"/>
        <w:ind w:leftChars="1100" w:firstLine="640" w:firstLineChars="200"/>
        <w:jc w:val="center"/>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lang w:val="en-US" w:eastAsia="zh-CN"/>
        </w:rPr>
        <w:t>2025年</w:t>
      </w: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lang w:val="en-US" w:eastAsia="zh-CN"/>
        </w:rPr>
        <w:t>月</w:t>
      </w:r>
      <w:r>
        <w:rPr>
          <w:rFonts w:hint="eastAsia" w:ascii="Times New Roman" w:hAnsi="Times New Roman" w:eastAsia="仿宋" w:cs="Times New Roman"/>
          <w:kern w:val="2"/>
          <w:sz w:val="32"/>
          <w:szCs w:val="32"/>
          <w:lang w:val="en-US" w:eastAsia="zh-CN"/>
        </w:rPr>
        <w:t>26</w:t>
      </w:r>
      <w:r>
        <w:rPr>
          <w:rFonts w:hint="default" w:ascii="Times New Roman" w:hAnsi="Times New Roman" w:eastAsia="仿宋" w:cs="Times New Roman"/>
          <w:kern w:val="2"/>
          <w:sz w:val="32"/>
          <w:szCs w:val="32"/>
          <w:lang w:val="en-US" w:eastAsia="zh-CN"/>
        </w:rPr>
        <w:t>日</w:t>
      </w:r>
    </w:p>
    <w:p w14:paraId="7B2A74CF">
      <w:pPr>
        <w:spacing w:line="560" w:lineRule="exact"/>
        <w:ind w:firstLine="640" w:firstLineChars="200"/>
        <w:rPr>
          <w:rFonts w:hint="default" w:ascii="Times New Roman" w:hAnsi="Times New Roman" w:eastAsia="仿宋" w:cs="Times New Roman"/>
          <w:kern w:val="2"/>
          <w:sz w:val="32"/>
          <w:szCs w:val="32"/>
          <w:lang w:val="en-US" w:eastAsia="zh-CN"/>
        </w:rPr>
      </w:pPr>
    </w:p>
    <w:sectPr>
      <w:headerReference r:id="rId3" w:type="default"/>
      <w:footerReference r:id="rId4" w:type="default"/>
      <w:pgSz w:w="11905" w:h="16837"/>
      <w:pgMar w:top="1871" w:right="1588" w:bottom="1531" w:left="1588" w:header="720" w:footer="1191" w:gutter="0"/>
      <w:pgBorders>
        <w:top w:val="none" w:sz="0" w:space="0"/>
        <w:left w:val="none" w:sz="0" w:space="0"/>
        <w:bottom w:val="none" w:sz="0" w:space="0"/>
        <w:right w:val="none" w:sz="0" w:space="0"/>
      </w:pgBorders>
      <w:pgNumType w:fmt="numberInDash"/>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3496">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53F6F">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B53F6F">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EC6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B2BD1"/>
    <w:multiLevelType w:val="multilevel"/>
    <w:tmpl w:val="1FAB2BD1"/>
    <w:lvl w:ilvl="0" w:tentative="0">
      <w:start w:val="1"/>
      <w:numFmt w:val="decimal"/>
      <w:pStyle w:val="6"/>
      <w:lvlText w:val="%1）"/>
      <w:lvlJc w:val="left"/>
      <w:pPr>
        <w:ind w:left="98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jNjNDRlMjZlZDYzZmE5MWExZjA0ZTk4ODJmNjAifQ=="/>
    <w:docVar w:name="KSO_WPS_MARK_KEY" w:val="057f2fdb-ee2c-4447-acd6-ff5f7d9dedd8"/>
  </w:docVars>
  <w:rsids>
    <w:rsidRoot w:val="314B545E"/>
    <w:rsid w:val="025A704C"/>
    <w:rsid w:val="02C45698"/>
    <w:rsid w:val="050D0CB9"/>
    <w:rsid w:val="082F4AD6"/>
    <w:rsid w:val="105E5F09"/>
    <w:rsid w:val="175E218A"/>
    <w:rsid w:val="17954095"/>
    <w:rsid w:val="17CE2D4A"/>
    <w:rsid w:val="1B943177"/>
    <w:rsid w:val="1C237A59"/>
    <w:rsid w:val="1CEB5018"/>
    <w:rsid w:val="1EF3397A"/>
    <w:rsid w:val="22EE038F"/>
    <w:rsid w:val="23C10FDE"/>
    <w:rsid w:val="23E54318"/>
    <w:rsid w:val="24EE752A"/>
    <w:rsid w:val="256B05AF"/>
    <w:rsid w:val="26390CE4"/>
    <w:rsid w:val="28D94728"/>
    <w:rsid w:val="2B1D0FDD"/>
    <w:rsid w:val="2C100483"/>
    <w:rsid w:val="2F280525"/>
    <w:rsid w:val="314B545E"/>
    <w:rsid w:val="31645D95"/>
    <w:rsid w:val="31796739"/>
    <w:rsid w:val="3180370D"/>
    <w:rsid w:val="358F20AD"/>
    <w:rsid w:val="37070034"/>
    <w:rsid w:val="379C71E3"/>
    <w:rsid w:val="386A4DFF"/>
    <w:rsid w:val="3C616A5B"/>
    <w:rsid w:val="403502B5"/>
    <w:rsid w:val="44BE7D05"/>
    <w:rsid w:val="44D0671E"/>
    <w:rsid w:val="45292760"/>
    <w:rsid w:val="46240079"/>
    <w:rsid w:val="47ED75E7"/>
    <w:rsid w:val="483D0689"/>
    <w:rsid w:val="48A44149"/>
    <w:rsid w:val="4AFE2E97"/>
    <w:rsid w:val="4AFE704D"/>
    <w:rsid w:val="4F8577BA"/>
    <w:rsid w:val="53373E0C"/>
    <w:rsid w:val="535816F4"/>
    <w:rsid w:val="53F62BA1"/>
    <w:rsid w:val="5D2255F5"/>
    <w:rsid w:val="62A14363"/>
    <w:rsid w:val="64417B41"/>
    <w:rsid w:val="73653831"/>
    <w:rsid w:val="74F81E6F"/>
    <w:rsid w:val="760A20E2"/>
    <w:rsid w:val="76852160"/>
    <w:rsid w:val="7B340AAD"/>
    <w:rsid w:val="7C8A65C9"/>
    <w:rsid w:val="7CAF73EC"/>
    <w:rsid w:val="7CD817E9"/>
    <w:rsid w:val="7E01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1"/>
    <w:basedOn w:val="1"/>
    <w:next w:val="1"/>
    <w:qFormat/>
    <w:uiPriority w:val="0"/>
    <w:pPr>
      <w:spacing w:line="600" w:lineRule="exact"/>
      <w:ind w:firstLine="200" w:firstLineChars="200"/>
      <w:outlineLvl w:val="0"/>
    </w:pPr>
    <w:rPr>
      <w:rFonts w:eastAsia="黑体"/>
      <w:kern w:val="44"/>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next w:val="1"/>
    <w:qFormat/>
    <w:uiPriority w:val="99"/>
    <w:pPr>
      <w:widowControl w:val="0"/>
      <w:numPr>
        <w:ilvl w:val="0"/>
        <w:numId w:val="1"/>
      </w:numPr>
      <w:jc w:val="both"/>
      <w:outlineLvl w:val="5"/>
    </w:pPr>
    <w:rPr>
      <w:rFonts w:ascii="Cambria" w:hAnsi="Cambria" w:eastAsia="宋体" w:cs="Times New Roman"/>
      <w:b/>
      <w:bCs/>
      <w:kern w:val="0"/>
      <w:sz w:val="24"/>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index 5"/>
    <w:basedOn w:val="1"/>
    <w:next w:val="1"/>
    <w:unhideWhenUsed/>
    <w:qFormat/>
    <w:uiPriority w:val="99"/>
    <w:pPr>
      <w:ind w:left="1680"/>
    </w:pPr>
    <w:rPr>
      <w:rFonts w:ascii="Calibri" w:hAnsi="Calibri" w:eastAsia="宋体" w:cs="Times New Roman"/>
      <w:szCs w:val="22"/>
    </w:rPr>
  </w:style>
  <w:style w:type="paragraph" w:styleId="8">
    <w:name w:val="Body Text"/>
    <w:basedOn w:val="1"/>
    <w:qFormat/>
    <w:uiPriority w:val="0"/>
    <w:pPr>
      <w:spacing w:after="120" w:afterLines="0"/>
    </w:pPr>
  </w:style>
  <w:style w:type="paragraph" w:styleId="9">
    <w:name w:val="Body Text Indent"/>
    <w:basedOn w:val="1"/>
    <w:qFormat/>
    <w:uiPriority w:val="0"/>
    <w:pPr>
      <w:spacing w:after="120"/>
      <w:ind w:left="200" w:leftChars="200"/>
    </w:pPr>
  </w:style>
  <w:style w:type="paragraph" w:styleId="10">
    <w:name w:val="Body Text Indent 2"/>
    <w:basedOn w:val="1"/>
    <w:next w:val="11"/>
    <w:unhideWhenUsed/>
    <w:qFormat/>
    <w:uiPriority w:val="99"/>
    <w:pPr>
      <w:spacing w:after="120" w:line="480" w:lineRule="auto"/>
      <w:ind w:left="420" w:leftChars="200"/>
    </w:pPr>
  </w:style>
  <w:style w:type="paragraph" w:customStyle="1" w:styleId="11">
    <w:name w:val="p0"/>
    <w:next w:val="12"/>
    <w:qFormat/>
    <w:uiPriority w:val="0"/>
    <w:pPr>
      <w:spacing w:line="365" w:lineRule="atLeast"/>
      <w:ind w:left="1"/>
    </w:pPr>
    <w:rPr>
      <w:rFonts w:ascii="Times New Roman" w:hAnsi="Times New Roman" w:eastAsia="宋体" w:cs="Times New Roman"/>
      <w:sz w:val="24"/>
      <w:lang w:val="en-US" w:eastAsia="zh-CN" w:bidi="ar-SA"/>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er"/>
    <w:basedOn w:val="1"/>
    <w:next w:val="7"/>
    <w:qFormat/>
    <w:uiPriority w:val="0"/>
    <w:pPr>
      <w:tabs>
        <w:tab w:val="center" w:pos="4153"/>
        <w:tab w:val="right" w:pos="8306"/>
      </w:tabs>
      <w:snapToGrid w:val="0"/>
      <w:jc w:val="left"/>
    </w:pPr>
    <w:rPr>
      <w:sz w:val="18"/>
      <w:szCs w:val="18"/>
    </w:rPr>
  </w:style>
  <w:style w:type="paragraph" w:styleId="14">
    <w:name w:val="footnote text"/>
    <w:basedOn w:val="1"/>
    <w:next w:val="1"/>
    <w:qFormat/>
    <w:uiPriority w:val="0"/>
    <w:pPr>
      <w:snapToGrid w:val="0"/>
      <w:jc w:val="left"/>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qFormat/>
    <w:uiPriority w:val="0"/>
    <w:pPr>
      <w:ind w:firstLine="200" w:firstLineChars="200"/>
    </w:pPr>
    <w:rPr>
      <w:rFonts w:ascii="Calibri" w:hAnsi="Calibri"/>
    </w:r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BodyText"/>
    <w:basedOn w:val="1"/>
    <w:qFormat/>
    <w:uiPriority w:val="0"/>
    <w:pPr>
      <w:widowControl/>
      <w:spacing w:after="120"/>
      <w:textAlignment w:val="baseline"/>
    </w:pPr>
  </w:style>
  <w:style w:type="paragraph" w:customStyle="1" w:styleId="22">
    <w:name w:val="正文首行缩进1"/>
    <w:next w:val="1"/>
    <w:qFormat/>
    <w:uiPriority w:val="0"/>
    <w:pPr>
      <w:widowControl w:val="0"/>
      <w:spacing w:after="120"/>
      <w:ind w:firstLine="420" w:firstLineChars="100"/>
      <w:jc w:val="both"/>
    </w:pPr>
    <w:rPr>
      <w:rFonts w:hint="eastAsia" w:ascii="Calibri" w:hAnsi="Calibri" w:eastAsia="宋体" w:cs="Times New Roman"/>
      <w:kern w:val="2"/>
      <w:sz w:val="21"/>
      <w:lang w:val="en-US" w:eastAsia="zh-CN" w:bidi="ar-SA"/>
    </w:rPr>
  </w:style>
  <w:style w:type="paragraph" w:customStyle="1" w:styleId="23">
    <w:name w:val="列出段落1"/>
    <w:basedOn w:val="1"/>
    <w:qFormat/>
    <w:uiPriority w:val="34"/>
    <w:pPr>
      <w:ind w:firstLine="420" w:firstLineChars="200"/>
    </w:p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Table Paragraph"/>
    <w:basedOn w:val="1"/>
    <w:unhideWhenUsed/>
    <w:qFormat/>
    <w:uiPriority w:val="1"/>
    <w:rPr>
      <w:rFonts w:hint="eastAsia"/>
      <w:sz w:val="24"/>
      <w:szCs w:val="24"/>
    </w:rPr>
  </w:style>
  <w:style w:type="character" w:customStyle="1" w:styleId="26">
    <w:name w:val="font31"/>
    <w:basedOn w:val="18"/>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3765</Words>
  <Characters>4070</Characters>
  <Lines>0</Lines>
  <Paragraphs>0</Paragraphs>
  <TotalTime>45</TotalTime>
  <ScaleCrop>false</ScaleCrop>
  <LinksUpToDate>false</LinksUpToDate>
  <CharactersWithSpaces>4111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2024-11-25T06:49:00Z</dcterms:created>
  <dc:creator>丞相府</dc:creator>
  <cp:lastModifiedBy>散落漫天的碎片</cp:lastModifiedBy>
  <cp:lastPrinted>2025-05-09T09:52:00Z</cp:lastPrinted>
  <dcterms:modified xsi:type="dcterms:W3CDTF">2025-06-27T10:26:39Z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1D114AA7384B45FD8AE4FC386F85C52F_13</vt:lpwstr>
  </property>
  <property fmtid="{D5CDD505-2E9C-101B-9397-08002B2CF9AE}" pid="4" name="KSOTemplateDocerSaveRecord">
    <vt:lpwstr>eyJoZGlkIjoiNjdiOWFhOTg4ZDM4MmUxMjY4MTVmZmY2YzU4Y2FjOTEiLCJ1c2VySWQiOiI0MDI3MTcyMTAifQ==</vt:lpwstr>
  </property>
</Properties>
</file>