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9D58"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 w14:paraId="3AD8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自然资源局飞机防治林业有害生物项目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 w14:paraId="1C37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（参考提纲）</w:t>
      </w:r>
    </w:p>
    <w:p w14:paraId="5F192E1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的文件精神，我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2024年飞机防治林业有害生物项目</w:t>
      </w:r>
      <w:r>
        <w:rPr>
          <w:rFonts w:hint="default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专项资金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绩效管理专项资金项目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支出进行了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告如下：</w:t>
      </w:r>
    </w:p>
    <w:p w14:paraId="626C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0ABC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（一）飞机防治林业有害生物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专项资金下达预算及项目情况。</w:t>
      </w:r>
    </w:p>
    <w:p w14:paraId="3DF7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自然资源局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飞机防治林业有害生物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绩效管理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项目资金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预算</w:t>
      </w:r>
      <w:r>
        <w:rPr>
          <w:rFonts w:hint="eastAsia" w:eastAsia="仿宋" w:cs="仿宋"/>
          <w:color w:val="E54C5E" w:themeColor="accent6"/>
          <w:kern w:val="0"/>
          <w:sz w:val="32"/>
          <w:szCs w:val="30"/>
          <w:shd w:val="clear" w:color="auto" w:fill="FFFFFF"/>
          <w:lang w:val="en-US" w:eastAsia="zh-CN" w:bidi="ar"/>
          <w14:textFill>
            <w14:solidFill>
              <w14:schemeClr w14:val="accent6"/>
            </w14:solidFill>
          </w14:textFill>
        </w:rPr>
        <w:t>95.32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万元，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列入全区性项目中的政府购买服务专项，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用于委托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湖南清达农林科技有限公司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对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南岳区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3.18万亩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松林开展有林业害生物防治。</w:t>
      </w:r>
    </w:p>
    <w:p w14:paraId="3313D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（二）飞机防治林业有害生物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 w14:paraId="4B40E1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</w:pPr>
      <w:bookmarkStart w:id="1" w:name="OLE_LINK4"/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1、数量指标</w:t>
      </w:r>
      <w:bookmarkStart w:id="2" w:name="OLE_LINK1"/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</w:p>
    <w:p w14:paraId="2158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飞机防治林业有害生物项目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飞防面积3.18万亩。</w:t>
      </w:r>
    </w:p>
    <w:p w14:paraId="1DFD1AD3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质量指标：</w:t>
      </w:r>
    </w:p>
    <w:p w14:paraId="5D602ED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（1）设备要求：大疆T30植保无人机最大机，需配备农药喷洒系统，符合NY/T 3213的质量评价技术规范。</w:t>
      </w:r>
    </w:p>
    <w:p w14:paraId="32A9FED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（2）药剂选择：采用的药剂为浓度2%噻虫啉微囊悬浮剂。</w:t>
      </w:r>
    </w:p>
    <w:p w14:paraId="66B8885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（3）飞行参数：根据地形和药剂特性调整飞行高度、速度、喷幅等技术参数。</w:t>
      </w:r>
    </w:p>
    <w:p w14:paraId="63109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（4）喷洒质量：确保雾滴覆盖密度和均匀性，常见指标为低容量喷雾15个/cm²～30个/cm²，超低容量喷雾5个/cm²。</w:t>
      </w:r>
    </w:p>
    <w:p w14:paraId="61823FC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（5）航迹覆盖度：漏防区域不得高于总规划面积的3%，漏防率≤3%视为合格。</w:t>
      </w:r>
    </w:p>
    <w:p w14:paraId="502744F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（6）防治效果评价：通过诱捕器统计天牛虫口下降率，检查天牛死亡情况，评估防治效果。</w:t>
      </w:r>
    </w:p>
    <w:p w14:paraId="2EBDF8C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（7）安全警示及人员防护：在飞防区域设置警示标志，提前通知养殖户等做好防护。作业人员需穿戴防护服、口罩、手套等防护装备。</w:t>
      </w:r>
    </w:p>
    <w:p w14:paraId="4241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3、时效指标：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根据南岳区松褐天牛生物学特性，5月中旬至6月下旬为羽化高峰期，6月底前完成在南岳区核心景区及景区外围的3.18万亩松林开展无人机飞防作业。</w:t>
      </w:r>
    </w:p>
    <w:p w14:paraId="27EE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eastAsia="仿宋" w:cs="仿宋"/>
          <w:b/>
          <w:bCs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4、成本指标：</w:t>
      </w:r>
      <w:bookmarkEnd w:id="2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无人机服务费用不超过50万元，喷洒药剂费用不超过30万元，地勤费用不超过4万元，总体费用不超过</w:t>
      </w:r>
      <w:r>
        <w:rPr>
          <w:rFonts w:hint="eastAsia" w:eastAsia="仿宋" w:cs="仿宋"/>
          <w:color w:val="E54C5E" w:themeColor="accent6"/>
          <w:kern w:val="0"/>
          <w:sz w:val="32"/>
          <w:szCs w:val="30"/>
          <w:shd w:val="clear" w:color="auto" w:fill="FFFFFF"/>
          <w:lang w:val="en-US" w:eastAsia="zh-CN" w:bidi="ar"/>
          <w14:textFill>
            <w14:solidFill>
              <w14:schemeClr w14:val="accent6"/>
            </w14:solidFill>
          </w14:textFill>
        </w:rPr>
        <w:t>95.32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万元。</w:t>
      </w:r>
    </w:p>
    <w:p w14:paraId="19F1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效益指标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在松褐天牛成虫羽化高峰期，对全区约3.18万亩松林资源进行无人机喷洒药剂，通过杀伤松褐天牛成虫，降低虫口密度，切断松材线虫病传播媒介，防止发生面积扩大，维护南岳区生态安全。</w:t>
      </w:r>
    </w:p>
    <w:bookmarkEnd w:id="1"/>
    <w:p w14:paraId="5593CF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满意度指标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社会公众满意度大于或等于95%。</w:t>
      </w:r>
    </w:p>
    <w:p w14:paraId="2529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 w14:paraId="0248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 w14:paraId="0D32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 w14:paraId="677D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 w14:paraId="529B6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 w14:paraId="68A7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本项目2024年财政实际下拨了95.32万元。</w:t>
      </w:r>
    </w:p>
    <w:p w14:paraId="7F9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 w14:paraId="54D32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本项目实际支付给湖南省森防科技有限公司65.32万元，湖南清达农林科技有限公司30万元，整个专项实际支付率为100%。</w:t>
      </w:r>
    </w:p>
    <w:p w14:paraId="0304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 w14:paraId="1924C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3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14:paraId="47A0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 w14:paraId="03AAF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 w14:paraId="08CE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 w14:paraId="06A1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eastAsia="zh-CN"/>
        </w:rPr>
        <w:t>数量指标完成情况：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</w:t>
      </w:r>
      <w:bookmarkStart w:id="4" w:name="OLE_LINK7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实际完成了</w:t>
      </w:r>
      <w:bookmarkEnd w:id="4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1个，完成了年初的计划，相比较年度没有存在偏差。</w:t>
      </w:r>
    </w:p>
    <w:p w14:paraId="29A6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质量指标完成情况：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防治前期虫情调查准备充分，防治规划科学合理；防治实施组织有序，飞行记录完整，航迹覆盖全面，药物种类和用量的选定符合持续控制害虫的需要；后勤保障有力，所有人员配合密切，为此次飞防工作的实施打下了坚实基础，虫口减退率 83 %，防治效果良好。完成了年初的计划，相比较年度没有存在偏差。</w:t>
      </w:r>
    </w:p>
    <w:p w14:paraId="4DC2D3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5" w:name="OLE_LINK5"/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时效指标完成情况：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项目于2024年7月22日完成验收，完成了年初的计划，相比较年度没有存在偏差</w:t>
      </w:r>
      <w:bookmarkEnd w:id="5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时效指标已完成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完成率为100%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。</w:t>
      </w:r>
    </w:p>
    <w:p w14:paraId="0C269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成本指标完成情况：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项目成本95.32万元，完成了年初的计划，相比较年度没有存在偏差。</w:t>
      </w:r>
    </w:p>
    <w:p w14:paraId="07249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效益指标完成情况：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项目规划防治面积31800亩，有效防治面积31800亩，有效防治率100%；规划防治预算成本_25元/亩，实际防治成本约24.8元/亩，预算与实际投入比1：0.99；虫口减退率83 %；靶标害虫天敌的种类、数量平均减退率4%；药品对环境的影响对环境影响轻微；挽回经济损失159万元，挽回损失与防治成本比1：2。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本项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完成率为100%。</w:t>
      </w:r>
    </w:p>
    <w:p w14:paraId="2FF8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 w14:paraId="243E95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kern w:val="2"/>
          <w:sz w:val="32"/>
          <w:szCs w:val="30"/>
          <w:lang w:val="en-US" w:eastAsia="zh-CN"/>
        </w:rPr>
        <w:t>经问卷调查，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实际社会公众满意度等于96%，比年初目标95%还高，完成率为10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%。</w:t>
      </w:r>
    </w:p>
    <w:p w14:paraId="2679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 w14:paraId="15AD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（一）年底实际完成情况较年初计划偏差的原因：</w:t>
      </w:r>
      <w:r>
        <w:rPr>
          <w:rFonts w:hint="eastAsia" w:eastAsia="仿宋" w:cs="仿宋"/>
          <w:kern w:val="2"/>
          <w:sz w:val="32"/>
          <w:szCs w:val="32"/>
          <w:lang w:val="en-US" w:eastAsia="zh-CN"/>
        </w:rPr>
        <w:t>本项目已全面完成年初设定的林业有害生物防治目标，防治区域覆盖、作业面积、虫害减退率等核心指标均达标，未出现实质性目标偏离。若存在潜在优化空间，主要集中在以下方面：一是作业窗口期与气象条件的匹配度仍有提升空间，极端天气可能导致部分区域防治时间微调；二是防治设备与药剂储备的动态管理需进一步精细化，虽未影响整体防治效果，但个别区域存在物资调配效率不足的情况；三是项目宣传与公众参与度的长效机制尚未完全建立，防治成果的社会影响力有待深化。</w:t>
      </w:r>
    </w:p>
    <w:p w14:paraId="115C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（二）下一步整改措施：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1. 强化动态监测与应急响应：建立与气象、林业监测部门的实时数据共享机制，利用卫星遥感、无人机等技术提前预判气象变化，优化飞行作业计划，提升极端天气下的应急防治能力，确保防治时效性与精准度。</w:t>
      </w:r>
    </w:p>
    <w:p w14:paraId="0064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2. 优化物资储备与调配体系：结合历年虫害发生规律和防治需求，科学制定药剂、设备储备方案，建立区域联动的物资调配网络，通过信息化管理平台实时监控物资库存，提高应急响应效率和资源利用率。</w:t>
      </w:r>
    </w:p>
    <w:p w14:paraId="6ADC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3. 深化宣传与公众参与机制：通过短视频、科普讲座、社区宣传等多元化形式，加强林业有害生物防治知识普及，鼓励群众参与虫情监测与反馈，形成“专业防治+群众监督”的协同治理模式，巩固防治成果。</w:t>
      </w:r>
    </w:p>
    <w:p w14:paraId="4AAF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4. 完善绩效评</w:t>
      </w:r>
      <w:bookmarkStart w:id="6" w:name="_GoBack"/>
      <w:bookmarkEnd w:id="6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估与经验总结：定期开展项目执行“回头看”，将防治效果、资源利用效率、社会满意度等纳入动态评估体系，总结成功经验并形成标准化操作手册，为后续同类项目提供可复制的实践范例。</w:t>
      </w:r>
    </w:p>
    <w:p w14:paraId="7006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 w14:paraId="39E2D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 w14:paraId="639D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D9D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某单位（盖章）</w:t>
      </w:r>
    </w:p>
    <w:p w14:paraId="4BD8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2025年5月  日</w:t>
      </w:r>
    </w:p>
    <w:p w14:paraId="0E26F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4D060"/>
    <w:multiLevelType w:val="singleLevel"/>
    <w:tmpl w:val="3834D06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2946"/>
    <w:rsid w:val="059B1E55"/>
    <w:rsid w:val="0B226B74"/>
    <w:rsid w:val="0D9C2C0E"/>
    <w:rsid w:val="163C4F8E"/>
    <w:rsid w:val="168D57EA"/>
    <w:rsid w:val="19A35324"/>
    <w:rsid w:val="1ABD2416"/>
    <w:rsid w:val="216E3586"/>
    <w:rsid w:val="22202C8C"/>
    <w:rsid w:val="283D381D"/>
    <w:rsid w:val="2CD71115"/>
    <w:rsid w:val="2E9B000D"/>
    <w:rsid w:val="358E07DF"/>
    <w:rsid w:val="3809239F"/>
    <w:rsid w:val="39FF7EFD"/>
    <w:rsid w:val="3A03139F"/>
    <w:rsid w:val="3EF45B57"/>
    <w:rsid w:val="3F6E6A02"/>
    <w:rsid w:val="43041F0A"/>
    <w:rsid w:val="49042E3A"/>
    <w:rsid w:val="49EF6290"/>
    <w:rsid w:val="4A1E617D"/>
    <w:rsid w:val="4C0249A2"/>
    <w:rsid w:val="4E045841"/>
    <w:rsid w:val="4F760DC8"/>
    <w:rsid w:val="52BC29D7"/>
    <w:rsid w:val="55352D9E"/>
    <w:rsid w:val="57405985"/>
    <w:rsid w:val="5B24736C"/>
    <w:rsid w:val="60305470"/>
    <w:rsid w:val="615A5090"/>
    <w:rsid w:val="6635139A"/>
    <w:rsid w:val="67896ED4"/>
    <w:rsid w:val="6A2B6021"/>
    <w:rsid w:val="6AA45DD3"/>
    <w:rsid w:val="6FB900C4"/>
    <w:rsid w:val="701B2694"/>
    <w:rsid w:val="70D50A94"/>
    <w:rsid w:val="7137565E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0" w:after="0" w:line="600" w:lineRule="exact"/>
      <w:ind w:firstLine="1040" w:firstLineChars="200"/>
      <w:jc w:val="left"/>
      <w:outlineLvl w:val="0"/>
    </w:pPr>
    <w:rPr>
      <w:rFonts w:ascii="黑体" w:hAnsi="黑体" w:eastAsia="黑体"/>
      <w:bCs/>
      <w:kern w:val="44"/>
      <w:sz w:val="32"/>
      <w:szCs w:val="30"/>
    </w:rPr>
  </w:style>
  <w:style w:type="paragraph" w:styleId="3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="0" w:firstLine="880" w:firstLineChars="200"/>
      <w:outlineLvl w:val="4"/>
    </w:pPr>
    <w:rPr>
      <w:rFonts w:eastAsia="仿宋" w:asciiTheme="minorAscii" w:hAnsiTheme="minorAscii" w:cstheme="minorBidi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basedOn w:val="6"/>
    <w:link w:val="2"/>
    <w:qFormat/>
    <w:uiPriority w:val="9"/>
    <w:rPr>
      <w:rFonts w:ascii="黑体" w:hAnsi="黑体" w:eastAsia="黑体"/>
      <w:bCs/>
      <w:kern w:val="44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1915</Words>
  <Characters>2050</Characters>
  <Lines>0</Lines>
  <Paragraphs>0</Paragraphs>
  <TotalTime>7</TotalTime>
  <ScaleCrop>false</ScaleCrop>
  <LinksUpToDate>false</LinksUpToDate>
  <CharactersWithSpaces>2056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2023-11-03T01:17:00Z</dcterms:created>
  <dc:creator>Administrator</dc:creator>
  <cp:lastModifiedBy>散落漫天的碎片</cp:lastModifiedBy>
  <dcterms:modified xsi:type="dcterms:W3CDTF">2025-06-26T10:50:23Z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F42AA730E5DC434990FF53E7E79F88AD_12</vt:lpwstr>
  </property>
  <property fmtid="{D5CDD505-2E9C-101B-9397-08002B2CF9AE}" pid="4" name="KSOTemplateDocerSaveRecord">
    <vt:lpwstr>eyJoZGlkIjoiNjdiOWFhOTg4ZDM4MmUxMjY4MTVmZmY2YzU4Y2FjOTEiLCJ1c2VySWQiOiI0MDI3MTcyMTAifQ==</vt:lpwstr>
  </property>
</Properties>
</file>