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F7" w:rsidRDefault="00885D8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南岳区</w:t>
      </w:r>
      <w:r w:rsidR="00404EF7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政务服务中心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2024年绩效管理</w:t>
      </w:r>
    </w:p>
    <w:p w:rsidR="00F50662" w:rsidRDefault="00885D84" w:rsidP="00404E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项目资金绩效自评报告</w:t>
      </w:r>
    </w:p>
    <w:p w:rsidR="00F50662" w:rsidRDefault="00F506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F50662" w:rsidRDefault="00885D84">
      <w:pPr>
        <w:pStyle w:val="a5"/>
        <w:widowControl/>
        <w:wordWrap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eastAsia="仿宋" w:cs="仿宋"/>
          <w:sz w:val="32"/>
          <w:szCs w:val="30"/>
          <w:shd w:val="clear" w:color="auto" w:fill="FFFFFF"/>
        </w:rPr>
      </w:pPr>
      <w:r>
        <w:rPr>
          <w:rFonts w:eastAsia="仿宋" w:cs="仿宋" w:hint="eastAsia"/>
          <w:sz w:val="32"/>
          <w:szCs w:val="30"/>
          <w:shd w:val="clear" w:color="auto" w:fill="FFFFFF"/>
        </w:rPr>
        <w:t>根据《关于开展2024年度区预算单位绩效自评和部门评价的通知》（岳财字〔2025〕14号）的文件精神，我</w:t>
      </w:r>
      <w:r w:rsidR="00404EF7">
        <w:rPr>
          <w:rFonts w:eastAsia="仿宋" w:cs="仿宋" w:hint="eastAsia"/>
          <w:sz w:val="32"/>
          <w:szCs w:val="30"/>
          <w:shd w:val="clear" w:color="auto" w:fill="FFFFFF"/>
        </w:rPr>
        <w:t>中心</w:t>
      </w:r>
      <w:r>
        <w:rPr>
          <w:rFonts w:eastAsia="仿宋" w:cs="仿宋" w:hint="eastAsia"/>
          <w:sz w:val="32"/>
          <w:szCs w:val="30"/>
          <w:shd w:val="clear" w:color="auto" w:fill="FFFFFF"/>
        </w:rPr>
        <w:t>对2024年绩效管理专项资金项目支出进行了单位绩效自评，现报告如下：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一、绩效目标分解下达情况</w:t>
      </w:r>
    </w:p>
    <w:p w:rsidR="00404EF7" w:rsidRDefault="00885D84" w:rsidP="00404EF7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0"/>
          <w:shd w:val="clear" w:color="auto" w:fill="FFFFFF"/>
        </w:rPr>
        <w:t>（一）</w:t>
      </w:r>
      <w:r w:rsidR="00404EF7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财政专项资金下达预算及项目情况。</w:t>
      </w:r>
    </w:p>
    <w:p w:rsidR="00404EF7" w:rsidRDefault="00404EF7" w:rsidP="00404EF7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2023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年城景区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WIFI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线路租赁费用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45.156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万元，该项目下拨时间为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年，项目主要</w:t>
      </w:r>
      <w:r w:rsidRPr="00404EF7">
        <w:rPr>
          <w:rFonts w:ascii="Times New Roman" w:eastAsia="仿宋" w:hAnsi="Times New Roman" w:hint="eastAsia"/>
          <w:kern w:val="2"/>
          <w:sz w:val="32"/>
          <w:szCs w:val="32"/>
        </w:rPr>
        <w:t>为面向公众、服务民生的业务应用系统以及基础信息资源开放共享提供网络支撑</w:t>
      </w:r>
    </w:p>
    <w:p w:rsidR="00F50662" w:rsidRDefault="00885D84" w:rsidP="00404EF7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（二）项目绩效目标年初设定情况。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1、数量指标：</w:t>
      </w:r>
      <w:r w:rsidR="00107368">
        <w:rPr>
          <w:rFonts w:eastAsia="仿宋" w:cs="仿宋"/>
          <w:kern w:val="2"/>
          <w:sz w:val="32"/>
          <w:szCs w:val="30"/>
        </w:rPr>
        <w:t xml:space="preserve"> 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①</w:t>
      </w:r>
      <w:r w:rsidR="00107368">
        <w:rPr>
          <w:rFonts w:eastAsia="仿宋" w:cs="仿宋" w:hint="eastAsia"/>
          <w:kern w:val="2"/>
          <w:sz w:val="32"/>
          <w:szCs w:val="30"/>
        </w:rPr>
        <w:t>1G独享光纤1条（1G宽带</w:t>
      </w:r>
      <w:proofErr w:type="gramStart"/>
      <w:r w:rsidR="00107368">
        <w:rPr>
          <w:rFonts w:eastAsia="仿宋" w:cs="仿宋" w:hint="eastAsia"/>
          <w:kern w:val="2"/>
          <w:sz w:val="32"/>
          <w:szCs w:val="30"/>
        </w:rPr>
        <w:t>接入区监控</w:t>
      </w:r>
      <w:proofErr w:type="gramEnd"/>
      <w:r w:rsidR="00107368">
        <w:rPr>
          <w:rFonts w:eastAsia="仿宋" w:cs="仿宋" w:hint="eastAsia"/>
          <w:kern w:val="2"/>
          <w:sz w:val="32"/>
          <w:szCs w:val="30"/>
        </w:rPr>
        <w:t>中心机房，</w:t>
      </w:r>
      <w:proofErr w:type="gramStart"/>
      <w:r w:rsidR="00107368">
        <w:rPr>
          <w:rFonts w:eastAsia="仿宋" w:cs="仿宋" w:hint="eastAsia"/>
          <w:kern w:val="2"/>
          <w:sz w:val="32"/>
          <w:szCs w:val="30"/>
        </w:rPr>
        <w:t>供城景区</w:t>
      </w:r>
      <w:proofErr w:type="gramEnd"/>
      <w:r w:rsidR="00107368">
        <w:rPr>
          <w:rFonts w:eastAsia="仿宋" w:cs="仿宋" w:hint="eastAsia"/>
          <w:kern w:val="2"/>
          <w:sz w:val="32"/>
          <w:szCs w:val="30"/>
        </w:rPr>
        <w:t>各点位的WIFI设备使用）</w:t>
      </w:r>
      <w:r>
        <w:rPr>
          <w:rFonts w:eastAsia="仿宋" w:cs="仿宋" w:hint="eastAsia"/>
          <w:kern w:val="2"/>
          <w:sz w:val="32"/>
          <w:szCs w:val="30"/>
        </w:rPr>
        <w:t>；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②</w:t>
      </w:r>
      <w:r w:rsidR="00107368">
        <w:rPr>
          <w:rFonts w:eastAsia="仿宋" w:cs="仿宋" w:hint="eastAsia"/>
          <w:kern w:val="2"/>
          <w:sz w:val="32"/>
          <w:szCs w:val="30"/>
        </w:rPr>
        <w:t>城景区WIFI点位117个（第一期、第二期42个点位</w:t>
      </w:r>
      <w:r w:rsidR="00EC3C18">
        <w:rPr>
          <w:rFonts w:eastAsia="仿宋" w:cs="仿宋" w:hint="eastAsia"/>
          <w:kern w:val="2"/>
          <w:sz w:val="32"/>
          <w:szCs w:val="30"/>
        </w:rPr>
        <w:t>，第三期75个点位，共计117套AP设备接入监控中心机房的数字电路，实现互联网的整体接入</w:t>
      </w:r>
      <w:r w:rsidR="00107368">
        <w:rPr>
          <w:rFonts w:eastAsia="仿宋" w:cs="仿宋" w:hint="eastAsia"/>
          <w:kern w:val="2"/>
          <w:sz w:val="32"/>
          <w:szCs w:val="30"/>
        </w:rPr>
        <w:t>）</w:t>
      </w:r>
      <w:r>
        <w:rPr>
          <w:rFonts w:eastAsia="仿宋" w:cs="仿宋" w:hint="eastAsia"/>
          <w:kern w:val="2"/>
          <w:sz w:val="32"/>
          <w:szCs w:val="30"/>
        </w:rPr>
        <w:t>；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③</w:t>
      </w:r>
      <w:r w:rsidR="00107368">
        <w:rPr>
          <w:rFonts w:eastAsia="仿宋" w:cs="仿宋" w:hint="eastAsia"/>
          <w:kern w:val="2"/>
          <w:sz w:val="32"/>
          <w:szCs w:val="30"/>
        </w:rPr>
        <w:t>25个点位电路传输保障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</w:t>
      </w:r>
      <w:r w:rsidR="00EC3C18">
        <w:rPr>
          <w:rFonts w:eastAsia="仿宋" w:cs="仿宋" w:hint="eastAsia"/>
          <w:b/>
          <w:bCs/>
          <w:kern w:val="2"/>
          <w:sz w:val="32"/>
          <w:szCs w:val="30"/>
        </w:rPr>
        <w:t>、</w:t>
      </w:r>
      <w:r>
        <w:rPr>
          <w:rFonts w:eastAsia="仿宋" w:cs="仿宋" w:hint="eastAsia"/>
          <w:b/>
          <w:bCs/>
          <w:kern w:val="2"/>
          <w:sz w:val="32"/>
          <w:szCs w:val="30"/>
        </w:rPr>
        <w:t>质量指标：</w:t>
      </w:r>
      <w:r w:rsidR="00EC3C18">
        <w:rPr>
          <w:rFonts w:eastAsia="仿宋" w:cs="仿宋" w:hint="eastAsia"/>
          <w:kern w:val="2"/>
          <w:sz w:val="32"/>
          <w:szCs w:val="30"/>
        </w:rPr>
        <w:t>严格</w:t>
      </w:r>
      <w:r w:rsidR="00107368">
        <w:rPr>
          <w:rFonts w:eastAsia="仿宋" w:cs="仿宋" w:hint="eastAsia"/>
          <w:kern w:val="2"/>
          <w:sz w:val="32"/>
          <w:szCs w:val="30"/>
        </w:rPr>
        <w:t>按照国家标履行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</w:t>
      </w:r>
      <w:r w:rsidR="00EC3C18">
        <w:rPr>
          <w:rFonts w:eastAsia="仿宋" w:cs="仿宋" w:hint="eastAsia"/>
          <w:b/>
          <w:bCs/>
          <w:kern w:val="2"/>
          <w:sz w:val="32"/>
          <w:szCs w:val="30"/>
        </w:rPr>
        <w:t>、</w:t>
      </w:r>
      <w:r>
        <w:rPr>
          <w:rFonts w:eastAsia="仿宋" w:cs="仿宋" w:hint="eastAsia"/>
          <w:b/>
          <w:bCs/>
          <w:kern w:val="2"/>
          <w:sz w:val="32"/>
          <w:szCs w:val="30"/>
        </w:rPr>
        <w:t>时效指标：</w:t>
      </w:r>
      <w:r w:rsidR="00003CE3">
        <w:rPr>
          <w:rFonts w:eastAsia="仿宋" w:cs="仿宋" w:hint="eastAsia"/>
          <w:kern w:val="2"/>
          <w:sz w:val="32"/>
          <w:szCs w:val="30"/>
        </w:rPr>
        <w:t>在接到障碍通知电话24小时内修复障碍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4、成本指标：</w:t>
      </w:r>
      <w:r w:rsidR="00003CE3">
        <w:rPr>
          <w:rFonts w:eastAsia="仿宋" w:cs="仿宋" w:hint="eastAsia"/>
          <w:kern w:val="2"/>
          <w:sz w:val="32"/>
          <w:szCs w:val="30"/>
        </w:rPr>
        <w:t>1G独享光纤不超过22.5万元；117个城</w:t>
      </w:r>
      <w:r w:rsidR="00003CE3">
        <w:rPr>
          <w:rFonts w:eastAsia="仿宋" w:cs="仿宋" w:hint="eastAsia"/>
          <w:kern w:val="2"/>
          <w:sz w:val="32"/>
          <w:szCs w:val="30"/>
        </w:rPr>
        <w:lastRenderedPageBreak/>
        <w:t>景区WIFI点位不超过19.656万元；25个点位电路传输保障不超过3万元，合计不超过45.156万元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5、效益指标：</w:t>
      </w:r>
      <w:r>
        <w:rPr>
          <w:rFonts w:eastAsia="仿宋" w:cs="仿宋" w:hint="eastAsia"/>
          <w:kern w:val="2"/>
          <w:sz w:val="32"/>
          <w:szCs w:val="30"/>
        </w:rPr>
        <w:t>通过</w:t>
      </w:r>
      <w:r w:rsidR="0061332E">
        <w:rPr>
          <w:rFonts w:eastAsia="仿宋" w:cs="仿宋" w:hint="eastAsia"/>
          <w:kern w:val="2"/>
          <w:sz w:val="32"/>
          <w:szCs w:val="30"/>
        </w:rPr>
        <w:t>城景区WIFI的应用，使居民游客更加便利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6、满意度指标：</w:t>
      </w:r>
      <w:r>
        <w:rPr>
          <w:rFonts w:eastAsia="仿宋" w:cs="仿宋" w:hint="eastAsia"/>
          <w:kern w:val="2"/>
          <w:sz w:val="32"/>
          <w:szCs w:val="30"/>
        </w:rPr>
        <w:t>社会公众满意度大于或等于95%。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二、绩效自评工作开展情况</w:t>
      </w:r>
    </w:p>
    <w:p w:rsidR="00072EA1" w:rsidRDefault="00072EA1" w:rsidP="00072EA1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中心</w:t>
      </w:r>
      <w:r>
        <w:rPr>
          <w:rFonts w:ascii="Times New Roman" w:eastAsia="仿宋" w:hAnsi="Times New Roman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三、绩效目标自评完成情况分析</w:t>
      </w:r>
    </w:p>
    <w:p w:rsidR="00F50662" w:rsidRDefault="00885D84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（一）资金投入情况分析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1.项目资金到位情况分析。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本专项资金于2024年</w:t>
      </w:r>
      <w:r w:rsidR="00272972">
        <w:rPr>
          <w:rFonts w:eastAsia="仿宋" w:cs="仿宋" w:hint="eastAsia"/>
          <w:kern w:val="2"/>
          <w:sz w:val="32"/>
          <w:szCs w:val="30"/>
        </w:rPr>
        <w:t>1</w:t>
      </w:r>
      <w:r>
        <w:rPr>
          <w:rFonts w:eastAsia="仿宋" w:cs="仿宋" w:hint="eastAsia"/>
          <w:kern w:val="2"/>
          <w:sz w:val="32"/>
          <w:szCs w:val="30"/>
        </w:rPr>
        <w:t>月</w:t>
      </w:r>
      <w:r w:rsidR="00272972">
        <w:rPr>
          <w:rFonts w:eastAsia="仿宋" w:cs="仿宋" w:hint="eastAsia"/>
          <w:kern w:val="2"/>
          <w:sz w:val="32"/>
          <w:szCs w:val="30"/>
        </w:rPr>
        <w:t>16</w:t>
      </w:r>
      <w:r>
        <w:rPr>
          <w:rFonts w:eastAsia="仿宋" w:cs="仿宋" w:hint="eastAsia"/>
          <w:kern w:val="2"/>
          <w:sz w:val="32"/>
          <w:szCs w:val="30"/>
        </w:rPr>
        <w:t>日区财政下达指标：全区项目支出</w:t>
      </w:r>
      <w:r w:rsidR="009473D2">
        <w:rPr>
          <w:rFonts w:eastAsia="仿宋" w:cs="仿宋" w:hint="eastAsia"/>
          <w:kern w:val="2"/>
          <w:sz w:val="32"/>
          <w:szCs w:val="30"/>
        </w:rPr>
        <w:t>2023年城景区WIFI路线租赁费用45.156万元</w:t>
      </w:r>
      <w:r>
        <w:rPr>
          <w:rFonts w:eastAsia="仿宋" w:cs="仿宋" w:hint="eastAsia"/>
          <w:kern w:val="2"/>
          <w:sz w:val="32"/>
          <w:szCs w:val="30"/>
        </w:rPr>
        <w:t>（财预A（2024）0</w:t>
      </w:r>
      <w:r w:rsidR="009473D2">
        <w:rPr>
          <w:rFonts w:eastAsia="仿宋" w:cs="仿宋" w:hint="eastAsia"/>
          <w:kern w:val="2"/>
          <w:sz w:val="32"/>
          <w:szCs w:val="30"/>
        </w:rPr>
        <w:t>0</w:t>
      </w:r>
      <w:r>
        <w:rPr>
          <w:rFonts w:eastAsia="仿宋" w:cs="仿宋" w:hint="eastAsia"/>
          <w:kern w:val="2"/>
          <w:sz w:val="32"/>
          <w:szCs w:val="30"/>
        </w:rPr>
        <w:t>0</w:t>
      </w:r>
      <w:r w:rsidR="009473D2">
        <w:rPr>
          <w:rFonts w:eastAsia="仿宋" w:cs="仿宋" w:hint="eastAsia"/>
          <w:kern w:val="2"/>
          <w:sz w:val="32"/>
          <w:szCs w:val="30"/>
        </w:rPr>
        <w:t>4</w:t>
      </w:r>
      <w:r>
        <w:rPr>
          <w:rFonts w:eastAsia="仿宋" w:cs="仿宋" w:hint="eastAsia"/>
          <w:kern w:val="2"/>
          <w:sz w:val="32"/>
          <w:szCs w:val="30"/>
        </w:rPr>
        <w:t>号）。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2.</w:t>
      </w:r>
      <w:bookmarkStart w:id="0" w:name="OLE_LINK12"/>
      <w:r>
        <w:rPr>
          <w:rFonts w:eastAsia="仿宋" w:cs="仿宋" w:hint="eastAsia"/>
          <w:b/>
          <w:bCs/>
          <w:kern w:val="2"/>
          <w:sz w:val="32"/>
          <w:szCs w:val="30"/>
        </w:rPr>
        <w:t>项目资金执行情况分析</w:t>
      </w:r>
      <w:bookmarkEnd w:id="0"/>
      <w:r>
        <w:rPr>
          <w:rFonts w:eastAsia="仿宋" w:cs="仿宋" w:hint="eastAsia"/>
          <w:b/>
          <w:bCs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截至2024年12月31日，项目已验收并实际支付</w:t>
      </w:r>
      <w:r w:rsidR="005A3841">
        <w:rPr>
          <w:rFonts w:eastAsia="仿宋" w:cs="仿宋" w:hint="eastAsia"/>
          <w:kern w:val="2"/>
          <w:sz w:val="32"/>
          <w:szCs w:val="30"/>
        </w:rPr>
        <w:t>45.156</w:t>
      </w:r>
      <w:r>
        <w:rPr>
          <w:rFonts w:eastAsia="仿宋" w:cs="仿宋" w:hint="eastAsia"/>
          <w:kern w:val="2"/>
          <w:sz w:val="32"/>
          <w:szCs w:val="30"/>
        </w:rPr>
        <w:t>万元。</w:t>
      </w:r>
      <w:r>
        <w:rPr>
          <w:rFonts w:eastAsia="仿宋" w:cs="仿宋" w:hint="eastAsia"/>
          <w:b/>
          <w:bCs/>
          <w:kern w:val="2"/>
          <w:sz w:val="32"/>
          <w:szCs w:val="30"/>
        </w:rPr>
        <w:t>整个专项实际支付率为</w:t>
      </w:r>
      <w:r w:rsidR="005A3841">
        <w:rPr>
          <w:rFonts w:eastAsia="仿宋" w:cs="仿宋" w:hint="eastAsia"/>
          <w:b/>
          <w:bCs/>
          <w:kern w:val="2"/>
          <w:sz w:val="32"/>
          <w:szCs w:val="30"/>
        </w:rPr>
        <w:t>10</w:t>
      </w:r>
      <w:r>
        <w:rPr>
          <w:rFonts w:eastAsia="仿宋" w:cs="仿宋" w:hint="eastAsia"/>
          <w:b/>
          <w:bCs/>
          <w:kern w:val="2"/>
          <w:sz w:val="32"/>
          <w:szCs w:val="30"/>
        </w:rPr>
        <w:t>0%。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3.项目资金管理情况分析。</w:t>
      </w:r>
    </w:p>
    <w:p w:rsidR="007A63FD" w:rsidRDefault="007A63FD" w:rsidP="007A63FD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1" w:name="OLE_LINK3"/>
      <w:r>
        <w:rPr>
          <w:rFonts w:ascii="Times New Roman" w:eastAsia="仿宋" w:hAnsi="Times New Roman" w:hint="eastAsia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</w:t>
      </w:r>
      <w:r>
        <w:rPr>
          <w:rFonts w:ascii="Times New Roman" w:eastAsia="仿宋" w:hAnsi="Times New Roman" w:hint="eastAsia"/>
          <w:kern w:val="2"/>
          <w:sz w:val="32"/>
          <w:szCs w:val="32"/>
        </w:rPr>
        <w:lastRenderedPageBreak/>
        <w:t>况。</w:t>
      </w:r>
    </w:p>
    <w:bookmarkEnd w:id="1"/>
    <w:p w:rsidR="00F50662" w:rsidRDefault="00885D84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（二）绩效目标年底完成情况分析</w:t>
      </w:r>
    </w:p>
    <w:p w:rsidR="007F376A" w:rsidRDefault="00885D84" w:rsidP="007F376A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1、数量指标完成情况：</w:t>
      </w:r>
      <w:r w:rsidR="007F376A">
        <w:rPr>
          <w:rFonts w:eastAsia="仿宋" w:cs="仿宋"/>
          <w:kern w:val="2"/>
          <w:sz w:val="32"/>
          <w:szCs w:val="30"/>
        </w:rPr>
        <w:t xml:space="preserve"> </w:t>
      </w:r>
    </w:p>
    <w:p w:rsidR="007F376A" w:rsidRDefault="007F376A" w:rsidP="007F376A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①</w:t>
      </w:r>
      <w:bookmarkStart w:id="2" w:name="OLE_LINK7"/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bookmarkEnd w:id="2"/>
      <w:r>
        <w:rPr>
          <w:rFonts w:eastAsia="仿宋" w:cs="仿宋" w:hint="eastAsia"/>
          <w:kern w:val="2"/>
          <w:sz w:val="32"/>
          <w:szCs w:val="30"/>
        </w:rPr>
        <w:t>1G宽带</w:t>
      </w:r>
      <w:proofErr w:type="gramStart"/>
      <w:r>
        <w:rPr>
          <w:rFonts w:eastAsia="仿宋" w:cs="仿宋" w:hint="eastAsia"/>
          <w:kern w:val="2"/>
          <w:sz w:val="32"/>
          <w:szCs w:val="30"/>
        </w:rPr>
        <w:t>接入区监控</w:t>
      </w:r>
      <w:proofErr w:type="gramEnd"/>
      <w:r>
        <w:rPr>
          <w:rFonts w:eastAsia="仿宋" w:cs="仿宋" w:hint="eastAsia"/>
          <w:kern w:val="2"/>
          <w:sz w:val="32"/>
          <w:szCs w:val="30"/>
        </w:rPr>
        <w:t>中心机房，</w:t>
      </w:r>
      <w:proofErr w:type="gramStart"/>
      <w:r>
        <w:rPr>
          <w:rFonts w:eastAsia="仿宋" w:cs="仿宋" w:hint="eastAsia"/>
          <w:kern w:val="2"/>
          <w:sz w:val="32"/>
          <w:szCs w:val="30"/>
        </w:rPr>
        <w:t>供城景区</w:t>
      </w:r>
      <w:proofErr w:type="gramEnd"/>
      <w:r>
        <w:rPr>
          <w:rFonts w:eastAsia="仿宋" w:cs="仿宋" w:hint="eastAsia"/>
          <w:kern w:val="2"/>
          <w:sz w:val="32"/>
          <w:szCs w:val="30"/>
        </w:rPr>
        <w:t>各点位的WIFI设备使用，完成率100%；</w:t>
      </w:r>
    </w:p>
    <w:p w:rsidR="007F376A" w:rsidRDefault="007F376A" w:rsidP="007F376A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②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r>
        <w:rPr>
          <w:rFonts w:eastAsia="仿宋" w:cs="仿宋" w:hint="eastAsia"/>
          <w:kern w:val="2"/>
          <w:sz w:val="32"/>
          <w:szCs w:val="30"/>
        </w:rPr>
        <w:t>第一期、第二期42个点位，第三期75个点位，共计117套AP设备接入监控中心机房的数字电路，实现互联网的整体接入，完成率100%；</w:t>
      </w:r>
    </w:p>
    <w:p w:rsidR="007F376A" w:rsidRDefault="007F376A" w:rsidP="007F376A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③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r>
        <w:rPr>
          <w:rFonts w:eastAsia="仿宋" w:cs="仿宋" w:hint="eastAsia"/>
          <w:kern w:val="2"/>
          <w:sz w:val="32"/>
          <w:szCs w:val="30"/>
        </w:rPr>
        <w:t>25个点位电路传输保障，完成率100%。</w:t>
      </w:r>
    </w:p>
    <w:p w:rsidR="007F376A" w:rsidRDefault="007F376A" w:rsidP="007F376A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2、质量指标完成情况：</w:t>
      </w:r>
      <w:bookmarkStart w:id="3" w:name="OLE_LINK9"/>
      <w:r>
        <w:rPr>
          <w:rFonts w:eastAsia="仿宋" w:cs="仿宋" w:hint="eastAsia"/>
          <w:kern w:val="2"/>
          <w:sz w:val="32"/>
          <w:szCs w:val="30"/>
        </w:rPr>
        <w:t>暂时估计完成率为90%</w:t>
      </w:r>
      <w:bookmarkEnd w:id="3"/>
      <w:r>
        <w:rPr>
          <w:rFonts w:eastAsia="仿宋" w:cs="仿宋" w:hint="eastAsia"/>
          <w:kern w:val="2"/>
          <w:sz w:val="32"/>
          <w:szCs w:val="30"/>
        </w:rPr>
        <w:t>。</w:t>
      </w:r>
    </w:p>
    <w:p w:rsidR="007F376A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3、时效指标完成情况：</w:t>
      </w:r>
      <w:r>
        <w:rPr>
          <w:rFonts w:eastAsia="仿宋" w:cs="仿宋" w:hint="eastAsia"/>
          <w:kern w:val="2"/>
          <w:sz w:val="32"/>
          <w:szCs w:val="30"/>
        </w:rPr>
        <w:t>时效指标已完成，完成率为100%</w:t>
      </w:r>
      <w:r w:rsidR="007F376A">
        <w:rPr>
          <w:rFonts w:eastAsia="仿宋" w:cs="仿宋" w:hint="eastAsia"/>
          <w:kern w:val="2"/>
          <w:sz w:val="32"/>
          <w:szCs w:val="30"/>
        </w:rPr>
        <w:t>。</w:t>
      </w:r>
    </w:p>
    <w:p w:rsidR="00F760E5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4、成本指标完成情况：</w:t>
      </w:r>
      <w:r>
        <w:rPr>
          <w:rFonts w:eastAsia="仿宋" w:cs="仿宋" w:hint="eastAsia"/>
          <w:kern w:val="2"/>
          <w:sz w:val="32"/>
          <w:szCs w:val="30"/>
        </w:rPr>
        <w:t>总成本为</w:t>
      </w:r>
      <w:r w:rsidR="007F376A">
        <w:rPr>
          <w:rFonts w:eastAsia="仿宋" w:cs="仿宋" w:hint="eastAsia"/>
          <w:kern w:val="2"/>
          <w:sz w:val="32"/>
          <w:szCs w:val="30"/>
        </w:rPr>
        <w:t>45.156万元</w:t>
      </w:r>
      <w:r>
        <w:rPr>
          <w:rFonts w:eastAsia="仿宋" w:cs="仿宋" w:hint="eastAsia"/>
          <w:kern w:val="2"/>
          <w:sz w:val="32"/>
          <w:szCs w:val="30"/>
        </w:rPr>
        <w:t>，实际总成本控制在预算范围内，本项完成率为100%。</w:t>
      </w:r>
    </w:p>
    <w:p w:rsidR="007F376A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5、效益指标完成情况：</w:t>
      </w:r>
      <w:r w:rsidR="007F376A">
        <w:rPr>
          <w:rFonts w:eastAsia="仿宋" w:cs="仿宋" w:hint="eastAsia"/>
          <w:kern w:val="2"/>
          <w:sz w:val="32"/>
          <w:szCs w:val="30"/>
        </w:rPr>
        <w:t>通过城景区WIFI的应用，使居民游客更加便利</w:t>
      </w:r>
      <w:r>
        <w:rPr>
          <w:rFonts w:eastAsia="仿宋" w:cs="仿宋" w:hint="eastAsia"/>
          <w:kern w:val="2"/>
          <w:sz w:val="32"/>
          <w:szCs w:val="30"/>
        </w:rPr>
        <w:t>，本项完成率为100%</w:t>
      </w:r>
      <w:r w:rsidR="007F376A"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6、满意度指标完成情况：</w:t>
      </w:r>
      <w:r w:rsidR="00F760E5">
        <w:rPr>
          <w:rFonts w:eastAsia="仿宋" w:cs="仿宋" w:hint="eastAsia"/>
          <w:kern w:val="2"/>
          <w:sz w:val="32"/>
          <w:szCs w:val="30"/>
        </w:rPr>
        <w:t>经</w:t>
      </w:r>
      <w:r>
        <w:rPr>
          <w:rFonts w:eastAsia="仿宋" w:cs="仿宋" w:hint="eastAsia"/>
          <w:kern w:val="2"/>
          <w:sz w:val="32"/>
          <w:szCs w:val="30"/>
        </w:rPr>
        <w:t>调查，实际社会公众满意度等于9</w:t>
      </w:r>
      <w:r w:rsidR="00F760E5">
        <w:rPr>
          <w:rFonts w:eastAsia="仿宋" w:cs="仿宋" w:hint="eastAsia"/>
          <w:kern w:val="2"/>
          <w:sz w:val="32"/>
          <w:szCs w:val="30"/>
        </w:rPr>
        <w:t>5</w:t>
      </w:r>
      <w:r>
        <w:rPr>
          <w:rFonts w:eastAsia="仿宋" w:cs="仿宋" w:hint="eastAsia"/>
          <w:kern w:val="2"/>
          <w:sz w:val="32"/>
          <w:szCs w:val="30"/>
        </w:rPr>
        <w:t>%，完成率为100%。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0"/>
        </w:rPr>
        <w:t>四、</w:t>
      </w:r>
      <w:r>
        <w:rPr>
          <w:rFonts w:ascii="黑体" w:eastAsia="黑体" w:hAnsi="黑体" w:cs="黑体" w:hint="eastAsia"/>
          <w:kern w:val="2"/>
          <w:sz w:val="32"/>
          <w:szCs w:val="30"/>
        </w:rPr>
        <w:t>偏离绩效目标的原因和下一步改进措施</w:t>
      </w:r>
    </w:p>
    <w:p w:rsidR="00F760E5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（一）年底实际完成情况较年初计划偏差的原因：</w:t>
      </w:r>
      <w:r>
        <w:rPr>
          <w:rFonts w:eastAsia="仿宋" w:cs="仿宋" w:hint="eastAsia"/>
          <w:kern w:val="2"/>
          <w:sz w:val="32"/>
          <w:szCs w:val="32"/>
        </w:rPr>
        <w:t>无</w:t>
      </w:r>
    </w:p>
    <w:p w:rsidR="00F50662" w:rsidRPr="00F760E5" w:rsidRDefault="00F760E5" w:rsidP="00F760E5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（二）下一步整改措施：无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五、绩效自评结果拟应用和公开情况</w:t>
      </w:r>
    </w:p>
    <w:p w:rsidR="00F760E5" w:rsidRDefault="00F760E5" w:rsidP="00F760E5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</w:t>
      </w:r>
      <w:proofErr w:type="gramStart"/>
      <w:r>
        <w:rPr>
          <w:rFonts w:ascii="Times New Roman" w:eastAsia="仿宋" w:hAnsi="Times New Roman" w:hint="eastAsia"/>
          <w:kern w:val="2"/>
          <w:sz w:val="32"/>
          <w:szCs w:val="32"/>
        </w:rPr>
        <w:t>传整</w:t>
      </w:r>
      <w:r>
        <w:rPr>
          <w:rFonts w:ascii="Times New Roman" w:eastAsia="仿宋" w:hAnsi="Times New Roman" w:hint="eastAsia"/>
          <w:kern w:val="2"/>
          <w:sz w:val="32"/>
          <w:szCs w:val="32"/>
        </w:rPr>
        <w:lastRenderedPageBreak/>
        <w:t>体</w:t>
      </w:r>
      <w:proofErr w:type="gramEnd"/>
      <w:r>
        <w:rPr>
          <w:rFonts w:ascii="Times New Roman" w:eastAsia="仿宋" w:hAnsi="Times New Roman" w:hint="eastAsia"/>
          <w:kern w:val="2"/>
          <w:sz w:val="32"/>
          <w:szCs w:val="32"/>
        </w:rPr>
        <w:t>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F50662" w:rsidRPr="00F760E5" w:rsidRDefault="00F50662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</w:p>
    <w:p w:rsidR="00F50662" w:rsidRDefault="00F50662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</w:p>
    <w:p w:rsidR="00F50662" w:rsidRDefault="00885D84">
      <w:pPr>
        <w:spacing w:line="600" w:lineRule="exact"/>
        <w:ind w:firstLineChars="200" w:firstLine="640"/>
        <w:jc w:val="right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南岳区</w:t>
      </w:r>
      <w:r w:rsidR="00404EF7">
        <w:rPr>
          <w:rFonts w:eastAsia="仿宋" w:cs="仿宋" w:hint="eastAsia"/>
          <w:kern w:val="2"/>
          <w:sz w:val="32"/>
          <w:szCs w:val="30"/>
        </w:rPr>
        <w:t>政务服务中心</w:t>
      </w:r>
    </w:p>
    <w:p w:rsidR="00F50662" w:rsidRDefault="00885D84">
      <w:pPr>
        <w:spacing w:line="600" w:lineRule="exact"/>
        <w:ind w:firstLineChars="200" w:firstLine="640"/>
        <w:jc w:val="right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2025年5月26日</w:t>
      </w:r>
    </w:p>
    <w:p w:rsidR="00F50662" w:rsidRDefault="00F50662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F50662" w:rsidRDefault="00F50662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F50662" w:rsidRDefault="00F50662">
      <w:pPr>
        <w:spacing w:line="600" w:lineRule="exact"/>
        <w:jc w:val="left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/>
    <w:sectPr w:rsidR="00F50662" w:rsidSect="00F50662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14" w:rsidRDefault="008D0314" w:rsidP="00404EF7">
      <w:r>
        <w:separator/>
      </w:r>
    </w:p>
  </w:endnote>
  <w:endnote w:type="continuationSeparator" w:id="0">
    <w:p w:rsidR="008D0314" w:rsidRDefault="008D0314" w:rsidP="0040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14" w:rsidRDefault="008D0314" w:rsidP="00404EF7">
      <w:r>
        <w:separator/>
      </w:r>
    </w:p>
  </w:footnote>
  <w:footnote w:type="continuationSeparator" w:id="0">
    <w:p w:rsidR="008D0314" w:rsidRDefault="008D0314" w:rsidP="00404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003CE3"/>
    <w:rsid w:val="00072EA1"/>
    <w:rsid w:val="00107368"/>
    <w:rsid w:val="00272972"/>
    <w:rsid w:val="00404EF7"/>
    <w:rsid w:val="005A3841"/>
    <w:rsid w:val="0061332E"/>
    <w:rsid w:val="00712208"/>
    <w:rsid w:val="007A63FD"/>
    <w:rsid w:val="007F376A"/>
    <w:rsid w:val="00885D84"/>
    <w:rsid w:val="008D0314"/>
    <w:rsid w:val="009473D2"/>
    <w:rsid w:val="00EC3C18"/>
    <w:rsid w:val="00F50662"/>
    <w:rsid w:val="00F760E5"/>
    <w:rsid w:val="2FD607DF"/>
    <w:rsid w:val="515F3303"/>
    <w:rsid w:val="5277131C"/>
    <w:rsid w:val="76ED5908"/>
    <w:rsid w:val="7A24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662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paragraph" w:styleId="3">
    <w:name w:val="heading 3"/>
    <w:basedOn w:val="a"/>
    <w:next w:val="a"/>
    <w:semiHidden/>
    <w:unhideWhenUsed/>
    <w:qFormat/>
    <w:rsid w:val="00F50662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F50662"/>
    <w:pPr>
      <w:ind w:left="1680"/>
    </w:pPr>
    <w:rPr>
      <w:rFonts w:ascii="Calibri" w:hAnsi="Calibri"/>
      <w:szCs w:val="22"/>
    </w:rPr>
  </w:style>
  <w:style w:type="paragraph" w:styleId="a3">
    <w:name w:val="footer"/>
    <w:basedOn w:val="a"/>
    <w:next w:val="5"/>
    <w:qFormat/>
    <w:rsid w:val="00F5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qFormat/>
    <w:rsid w:val="00F5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50662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user</cp:lastModifiedBy>
  <cp:revision>35</cp:revision>
  <cp:lastPrinted>2025-05-23T08:02:00Z</cp:lastPrinted>
  <dcterms:created xsi:type="dcterms:W3CDTF">2025-05-23T07:35:00Z</dcterms:created>
  <dcterms:modified xsi:type="dcterms:W3CDTF">2025-06-19T08:35:00Z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6E24C7210A49401EB3942FA4A2E77C09_13</vt:lpwstr>
  </property>
</Properties>
</file>