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B" w:rsidRDefault="00E4748B">
      <w:pPr>
        <w:rPr>
          <w:rFonts w:ascii="宋体" w:eastAsia="宋体" w:hAnsi="宋体" w:cs="宋体"/>
          <w:sz w:val="30"/>
          <w:szCs w:val="30"/>
        </w:rPr>
      </w:pPr>
    </w:p>
    <w:p w:rsidR="001746FD" w:rsidRPr="001746FD" w:rsidRDefault="001746FD" w:rsidP="001746F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</w:t>
      </w:r>
      <w:r w:rsidR="005F0702">
        <w:rPr>
          <w:rFonts w:ascii="方正小标宋简体" w:eastAsia="方正小标宋简体" w:hAnsi="方正小标宋简体" w:cs="方正小标宋简体" w:hint="eastAsia"/>
          <w:sz w:val="44"/>
          <w:szCs w:val="44"/>
        </w:rPr>
        <w:t>樟树桥小学</w:t>
      </w:r>
    </w:p>
    <w:p w:rsidR="00E4748B" w:rsidRPr="00B02D1F" w:rsidRDefault="006D4ABE" w:rsidP="00B02D1F">
      <w:pPr>
        <w:widowControl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D52406" w:rsidRDefault="0012172F" w:rsidP="00D5240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(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1)按照国家教育方针搞好小学阶段的教育教学，不断深化教育改革，提高教育教学质量，推动教育事业向前发展。</w:t>
      </w:r>
    </w:p>
    <w:p w:rsidR="0012172F" w:rsidRPr="005F0702" w:rsidRDefault="0012172F" w:rsidP="005F0702">
      <w:pPr>
        <w:shd w:val="clear" w:color="auto" w:fill="FFFFFF"/>
        <w:ind w:firstLineChars="150" w:firstLine="450"/>
        <w:rPr>
          <w:rFonts w:ascii="仿宋_GB2312" w:eastAsia="仿宋_GB2312" w:hAnsi="Times New Roman" w:cs="Times New Roman"/>
          <w:sz w:val="30"/>
          <w:szCs w:val="30"/>
        </w:rPr>
      </w:pPr>
      <w:r w:rsidRPr="005F0702">
        <w:rPr>
          <w:rFonts w:ascii="仿宋_GB2312" w:eastAsia="仿宋_GB2312" w:hAnsi="Times New Roman" w:cs="Times New Roman"/>
          <w:sz w:val="30"/>
          <w:szCs w:val="30"/>
        </w:rPr>
        <w:t>(2)负责南岳区南岳镇辖区内</w:t>
      </w:r>
      <w:r w:rsidR="005F0702" w:rsidRPr="005F0702">
        <w:rPr>
          <w:rFonts w:ascii="仿宋_GB2312" w:eastAsia="仿宋_GB2312" w:hAnsi="Times New Roman" w:cs="Times New Roman"/>
          <w:sz w:val="30"/>
          <w:szCs w:val="30"/>
        </w:rPr>
        <w:t>樟树桥小学</w:t>
      </w:r>
      <w:r w:rsidRPr="005F0702">
        <w:rPr>
          <w:rFonts w:ascii="仿宋_GB2312" w:eastAsia="仿宋_GB2312" w:hAnsi="Times New Roman" w:cs="Times New Roman"/>
          <w:sz w:val="30"/>
          <w:szCs w:val="30"/>
        </w:rPr>
        <w:t>教育教学管理工作。</w:t>
      </w:r>
    </w:p>
    <w:p w:rsidR="00D52406" w:rsidRDefault="0012172F" w:rsidP="0012172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 xml:space="preserve"> </w:t>
      </w:r>
      <w:r w:rsidR="00D52406">
        <w:rPr>
          <w:rFonts w:ascii="仿宋_GB2312" w:eastAsia="仿宋_GB2312" w:hAnsi="Times New Roman" w:cs="Times New Roman"/>
          <w:kern w:val="2"/>
          <w:sz w:val="30"/>
          <w:szCs w:val="30"/>
        </w:rPr>
        <w:t>(3)做好学校的安保工作，及时对学校的设施设备进行维修。</w:t>
      </w:r>
    </w:p>
    <w:p w:rsidR="00D52406" w:rsidRDefault="00D52406" w:rsidP="00AF7DFD">
      <w:pPr>
        <w:pStyle w:val="a5"/>
        <w:shd w:val="clear" w:color="auto" w:fill="FFFFFF"/>
        <w:spacing w:before="0" w:beforeAutospacing="0" w:after="120" w:afterAutospacing="0"/>
        <w:ind w:firstLineChars="210" w:firstLine="63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(4)做好上级教育主管部门安排的其他工作。</w:t>
      </w:r>
    </w:p>
    <w:p w:rsidR="00B57950" w:rsidRDefault="00B57950" w:rsidP="00B57950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（</w:t>
      </w:r>
      <w:r w:rsidR="00D52406">
        <w:rPr>
          <w:rFonts w:ascii="仿宋_GB2312" w:eastAsia="仿宋_GB2312" w:hAnsi="Times New Roman" w:cs="Times New Roman" w:hint="eastAsia"/>
          <w:kern w:val="2"/>
          <w:sz w:val="30"/>
          <w:szCs w:val="30"/>
        </w:rPr>
        <w:t>5</w:t>
      </w:r>
      <w:r>
        <w:rPr>
          <w:rFonts w:ascii="仿宋_GB2312" w:eastAsia="仿宋_GB2312" w:hAnsi="Times New Roman" w:cs="Times New Roman"/>
          <w:kern w:val="2"/>
          <w:sz w:val="30"/>
          <w:szCs w:val="30"/>
        </w:rPr>
        <w:t>）做好退休教师的生活保障工作。</w:t>
      </w:r>
      <w:r>
        <w:rPr>
          <w:rFonts w:ascii="仿宋_GB2312" w:eastAsia="仿宋_GB2312" w:hAnsi="Times New Roman" w:cs="Times New Roman"/>
          <w:kern w:val="2"/>
          <w:sz w:val="30"/>
          <w:szCs w:val="30"/>
        </w:rPr>
        <w:t>   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D52406" w:rsidRDefault="006D4ABE" w:rsidP="0012172F">
      <w:pPr>
        <w:ind w:firstLineChars="200" w:firstLine="64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="001746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 w:rsidR="001746FD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52406">
        <w:rPr>
          <w:rFonts w:ascii="仿宋_GB2312" w:eastAsia="仿宋_GB2312" w:hAnsi="Times New Roman" w:cs="Times New Roman"/>
          <w:sz w:val="30"/>
          <w:szCs w:val="30"/>
        </w:rPr>
        <w:t>南岳区</w:t>
      </w:r>
      <w:r w:rsidR="005F0702">
        <w:rPr>
          <w:rFonts w:ascii="仿宋_GB2312" w:eastAsia="仿宋_GB2312" w:hAnsi="Times New Roman" w:cs="Times New Roman"/>
          <w:sz w:val="30"/>
          <w:szCs w:val="30"/>
        </w:rPr>
        <w:t>樟树桥小学</w:t>
      </w:r>
      <w:r w:rsidR="00D52406">
        <w:rPr>
          <w:rFonts w:ascii="仿宋_GB2312" w:eastAsia="仿宋_GB2312" w:hAnsi="Times New Roman" w:cs="Times New Roman"/>
          <w:sz w:val="30"/>
          <w:szCs w:val="30"/>
        </w:rPr>
        <w:t>是全额拨款的事业单位，根据编办核定，我校预算含</w:t>
      </w:r>
      <w:r w:rsidR="005F0702">
        <w:rPr>
          <w:rFonts w:ascii="仿宋_GB2312" w:eastAsia="仿宋_GB2312" w:hAnsi="Times New Roman" w:cs="Times New Roman"/>
          <w:sz w:val="30"/>
          <w:szCs w:val="30"/>
        </w:rPr>
        <w:t>樟树桥小学</w:t>
      </w:r>
      <w:r w:rsidR="0012172F">
        <w:rPr>
          <w:rFonts w:ascii="仿宋_GB2312" w:eastAsia="仿宋_GB2312" w:hAnsi="Times New Roman" w:cs="Times New Roman" w:hint="eastAsia"/>
          <w:sz w:val="30"/>
          <w:szCs w:val="30"/>
        </w:rPr>
        <w:t>本部门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E4748B" w:rsidRDefault="00C50870" w:rsidP="0073037C">
      <w:pPr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1746FD" w:rsidRPr="001746FD" w:rsidRDefault="006D4ABE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 w:rsidR="005F0702">
        <w:rPr>
          <w:rFonts w:eastAsia="仿宋_GB2312" w:hint="eastAsia"/>
          <w:sz w:val="32"/>
          <w:szCs w:val="32"/>
        </w:rPr>
        <w:t>9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 w:rsidR="005F0702">
        <w:rPr>
          <w:rFonts w:eastAsia="仿宋_GB2312" w:hint="eastAsia"/>
          <w:sz w:val="32"/>
          <w:szCs w:val="32"/>
        </w:rPr>
        <w:t>9</w:t>
      </w:r>
      <w:r w:rsidR="00C50870">
        <w:rPr>
          <w:rFonts w:eastAsia="仿宋_GB2312"/>
          <w:sz w:val="32"/>
          <w:szCs w:val="32"/>
        </w:rPr>
        <w:t>人。年末实有在职人员</w:t>
      </w:r>
      <w:r w:rsidR="005F0702">
        <w:rPr>
          <w:rFonts w:eastAsia="仿宋_GB2312" w:hint="eastAsia"/>
          <w:sz w:val="32"/>
          <w:szCs w:val="32"/>
        </w:rPr>
        <w:t>9</w:t>
      </w:r>
      <w:r w:rsidR="00C50870">
        <w:rPr>
          <w:rFonts w:eastAsia="仿宋_GB2312"/>
          <w:sz w:val="32"/>
          <w:szCs w:val="32"/>
        </w:rPr>
        <w:t>人，</w:t>
      </w:r>
      <w:r w:rsidR="00B830F0">
        <w:rPr>
          <w:rFonts w:eastAsia="仿宋_GB2312" w:hint="eastAsia"/>
          <w:sz w:val="32"/>
          <w:szCs w:val="32"/>
        </w:rPr>
        <w:t>临聘人员</w:t>
      </w:r>
      <w:r w:rsidR="0012172F">
        <w:rPr>
          <w:rFonts w:eastAsia="仿宋_GB2312" w:hint="eastAsia"/>
          <w:sz w:val="32"/>
          <w:szCs w:val="32"/>
        </w:rPr>
        <w:t>0</w:t>
      </w:r>
      <w:r w:rsidR="00B830F0">
        <w:rPr>
          <w:rFonts w:eastAsia="仿宋_GB2312" w:hint="eastAsia"/>
          <w:sz w:val="32"/>
          <w:szCs w:val="32"/>
        </w:rPr>
        <w:t>人</w:t>
      </w:r>
      <w:r w:rsidR="0012172F">
        <w:rPr>
          <w:rFonts w:eastAsia="仿宋_GB2312" w:hint="eastAsia"/>
          <w:sz w:val="32"/>
          <w:szCs w:val="32"/>
        </w:rPr>
        <w:t>.</w:t>
      </w:r>
      <w:r w:rsidR="00C50870">
        <w:rPr>
          <w:rFonts w:eastAsia="仿宋_GB2312"/>
          <w:sz w:val="32"/>
          <w:szCs w:val="32"/>
        </w:rPr>
        <w:t>离休人员</w:t>
      </w:r>
      <w:r w:rsidR="0012172F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人。</w:t>
      </w:r>
    </w:p>
    <w:p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一般公共预算支出情况</w:t>
      </w:r>
    </w:p>
    <w:p w:rsidR="00E4748B" w:rsidRDefault="00C50870" w:rsidP="0073037C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:rsidR="00E4748B" w:rsidRDefault="00C50870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我厅机构正常运转、完成日常工作任务而发生的各项支出，包括用于在职和离退休人员基本工资、津贴补贴等人员经费以及办公费、印刷费、水电费、办公设备购置等日常公用经费。</w:t>
      </w:r>
      <w:r w:rsidR="006D4ABE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年基本支出</w:t>
      </w:r>
      <w:r w:rsidR="006D4ABE">
        <w:rPr>
          <w:rFonts w:eastAsia="仿宋_GB2312" w:hint="eastAsia"/>
          <w:sz w:val="32"/>
          <w:szCs w:val="32"/>
        </w:rPr>
        <w:t>175.06</w:t>
      </w:r>
      <w:r>
        <w:rPr>
          <w:rFonts w:eastAsia="仿宋_GB2312"/>
          <w:sz w:val="32"/>
          <w:szCs w:val="32"/>
        </w:rPr>
        <w:t>万元，较上年</w:t>
      </w:r>
      <w:r w:rsidR="006D4ABE">
        <w:rPr>
          <w:rFonts w:eastAsia="仿宋_GB2312" w:hint="eastAsia"/>
          <w:sz w:val="32"/>
          <w:szCs w:val="32"/>
        </w:rPr>
        <w:t>131.57</w:t>
      </w:r>
      <w:r w:rsidR="00A83B82">
        <w:rPr>
          <w:rFonts w:eastAsia="仿宋_GB2312" w:hint="eastAsia"/>
          <w:sz w:val="32"/>
          <w:szCs w:val="32"/>
        </w:rPr>
        <w:t>万元</w:t>
      </w:r>
      <w:r w:rsidR="00AE6310">
        <w:rPr>
          <w:rFonts w:eastAsia="仿宋_GB2312" w:hint="eastAsia"/>
          <w:sz w:val="32"/>
          <w:szCs w:val="32"/>
        </w:rPr>
        <w:t>增加</w:t>
      </w:r>
      <w:r w:rsidR="006D4ABE">
        <w:rPr>
          <w:rFonts w:eastAsia="仿宋_GB2312" w:hint="eastAsia"/>
          <w:sz w:val="32"/>
          <w:szCs w:val="32"/>
        </w:rPr>
        <w:t>43.49</w:t>
      </w:r>
      <w:r>
        <w:rPr>
          <w:rFonts w:eastAsia="仿宋_GB2312"/>
          <w:sz w:val="32"/>
          <w:szCs w:val="32"/>
        </w:rPr>
        <w:t>万元</w:t>
      </w:r>
      <w:r w:rsidR="006D4ABE">
        <w:rPr>
          <w:rFonts w:eastAsia="仿宋_GB2312"/>
          <w:sz w:val="32"/>
          <w:szCs w:val="32"/>
        </w:rPr>
        <w:t>增加</w:t>
      </w:r>
      <w:r w:rsidR="006D4ABE">
        <w:rPr>
          <w:rFonts w:eastAsia="仿宋_GB2312" w:hint="eastAsia"/>
          <w:sz w:val="32"/>
          <w:szCs w:val="32"/>
        </w:rPr>
        <w:t>33.06%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 w:rsidR="006D4ABE">
        <w:rPr>
          <w:rFonts w:eastAsia="仿宋_GB2312" w:hint="eastAsia"/>
          <w:color w:val="000000"/>
          <w:sz w:val="32"/>
          <w:szCs w:val="32"/>
        </w:rPr>
        <w:t>152.56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6D4ABE">
        <w:rPr>
          <w:rFonts w:eastAsia="仿宋_GB2312" w:hint="eastAsia"/>
          <w:color w:val="000000"/>
          <w:sz w:val="32"/>
          <w:szCs w:val="32"/>
        </w:rPr>
        <w:t>87.15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与上年</w:t>
      </w:r>
      <w:r w:rsidR="006D4ABE">
        <w:rPr>
          <w:rFonts w:eastAsia="仿宋_GB2312" w:hint="eastAsia"/>
          <w:color w:val="000000"/>
          <w:sz w:val="32"/>
          <w:szCs w:val="32"/>
        </w:rPr>
        <w:t>111.50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sz w:val="32"/>
          <w:szCs w:val="32"/>
        </w:rPr>
        <w:t>增加</w:t>
      </w:r>
      <w:r w:rsidR="006D4ABE">
        <w:rPr>
          <w:rFonts w:eastAsia="仿宋_GB2312" w:hint="eastAsia"/>
          <w:sz w:val="32"/>
          <w:szCs w:val="32"/>
        </w:rPr>
        <w:t>41.06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6D4ABE">
        <w:rPr>
          <w:rFonts w:eastAsia="仿宋_GB2312"/>
          <w:sz w:val="32"/>
          <w:szCs w:val="32"/>
        </w:rPr>
        <w:t>增加</w:t>
      </w:r>
      <w:r w:rsidR="006D4ABE">
        <w:rPr>
          <w:rFonts w:eastAsia="仿宋_GB2312" w:hint="eastAsia"/>
          <w:sz w:val="32"/>
          <w:szCs w:val="32"/>
        </w:rPr>
        <w:t>36.82%</w:t>
      </w:r>
      <w:r w:rsidR="000D79A9">
        <w:rPr>
          <w:rFonts w:eastAsia="仿宋_GB2312" w:hint="eastAsia"/>
          <w:color w:val="000000"/>
          <w:sz w:val="32"/>
          <w:szCs w:val="32"/>
        </w:rPr>
        <w:t>；</w:t>
      </w:r>
      <w:r w:rsidR="00D50658">
        <w:rPr>
          <w:rFonts w:eastAsia="仿宋_GB2312" w:hint="eastAsia"/>
          <w:color w:val="000000"/>
          <w:sz w:val="32"/>
          <w:szCs w:val="32"/>
        </w:rPr>
        <w:t>增加原因为：</w:t>
      </w:r>
      <w:r w:rsidR="006D4ABE">
        <w:rPr>
          <w:rFonts w:eastAsia="仿宋_GB2312" w:hint="eastAsia"/>
          <w:color w:val="000000"/>
          <w:sz w:val="32"/>
          <w:szCs w:val="32"/>
        </w:rPr>
        <w:t>开展教育教学工作需要导致经费增加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6D4ABE">
        <w:rPr>
          <w:rFonts w:eastAsia="仿宋_GB2312" w:hint="eastAsia"/>
          <w:color w:val="000000"/>
          <w:sz w:val="32"/>
          <w:szCs w:val="32"/>
        </w:rPr>
        <w:t>22.50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5F0702">
        <w:rPr>
          <w:rFonts w:eastAsia="仿宋_GB2312" w:hint="eastAsia"/>
          <w:color w:val="000000"/>
          <w:sz w:val="32"/>
          <w:szCs w:val="32"/>
        </w:rPr>
        <w:t>15.25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 w:rsidR="006D4ABE">
        <w:rPr>
          <w:rFonts w:eastAsia="仿宋_GB2312" w:hint="eastAsia"/>
          <w:color w:val="000000"/>
          <w:sz w:val="32"/>
          <w:szCs w:val="32"/>
        </w:rPr>
        <w:t>20.07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color w:val="000000"/>
          <w:sz w:val="32"/>
          <w:szCs w:val="32"/>
        </w:rPr>
        <w:t>增加</w:t>
      </w:r>
      <w:r w:rsidR="006D4ABE">
        <w:rPr>
          <w:rFonts w:eastAsia="仿宋_GB2312" w:hint="eastAsia"/>
          <w:color w:val="000000"/>
          <w:sz w:val="32"/>
          <w:szCs w:val="32"/>
        </w:rPr>
        <w:t>2.43</w:t>
      </w:r>
      <w:r w:rsidR="006D4ABE">
        <w:rPr>
          <w:rFonts w:eastAsia="仿宋_GB2312" w:hint="eastAsia"/>
          <w:color w:val="000000"/>
          <w:sz w:val="32"/>
          <w:szCs w:val="32"/>
        </w:rPr>
        <w:t>万元增加</w:t>
      </w:r>
      <w:r w:rsidR="006D4ABE">
        <w:rPr>
          <w:rFonts w:eastAsia="仿宋_GB2312" w:hint="eastAsia"/>
          <w:color w:val="000000"/>
          <w:sz w:val="32"/>
          <w:szCs w:val="32"/>
        </w:rPr>
        <w:t>12.85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6D4ABE">
        <w:rPr>
          <w:rFonts w:eastAsia="仿宋_GB2312" w:hint="eastAsia"/>
          <w:color w:val="000000"/>
          <w:sz w:val="32"/>
          <w:szCs w:val="32"/>
        </w:rPr>
        <w:t>开展教育教学工作需要导致经费增加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E4748B" w:rsidRDefault="00C50870" w:rsidP="0073037C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等方面。</w:t>
      </w:r>
      <w:r w:rsidR="006D4ABE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年项目支出</w:t>
      </w:r>
      <w:r w:rsidR="006D4ABE">
        <w:rPr>
          <w:rFonts w:eastAsia="仿宋_GB2312" w:hint="eastAsia"/>
          <w:sz w:val="32"/>
          <w:szCs w:val="32"/>
        </w:rPr>
        <w:t>0.00</w:t>
      </w:r>
      <w:r w:rsidR="00C50870">
        <w:rPr>
          <w:rFonts w:eastAsia="仿宋_GB2312"/>
          <w:sz w:val="32"/>
          <w:szCs w:val="32"/>
        </w:rPr>
        <w:t>万元，比上年</w:t>
      </w:r>
      <w:r w:rsidR="006D4ABE">
        <w:rPr>
          <w:rFonts w:eastAsia="仿宋_GB2312" w:hint="eastAsia"/>
          <w:sz w:val="32"/>
          <w:szCs w:val="32"/>
        </w:rPr>
        <w:t>8.92</w:t>
      </w:r>
      <w:r>
        <w:rPr>
          <w:rFonts w:eastAsia="仿宋_GB2312" w:hint="eastAsia"/>
          <w:sz w:val="32"/>
          <w:szCs w:val="32"/>
        </w:rPr>
        <w:t>万元</w:t>
      </w:r>
      <w:r w:rsidR="006D4ABE">
        <w:rPr>
          <w:rFonts w:eastAsia="仿宋_GB2312" w:hint="eastAsia"/>
          <w:sz w:val="32"/>
          <w:szCs w:val="32"/>
        </w:rPr>
        <w:t>减少</w:t>
      </w:r>
      <w:r w:rsidR="006D4ABE">
        <w:rPr>
          <w:rFonts w:eastAsia="仿宋_GB2312" w:hint="eastAsia"/>
          <w:sz w:val="32"/>
          <w:szCs w:val="32"/>
        </w:rPr>
        <w:t>8.92</w:t>
      </w:r>
      <w:r w:rsidR="00C50870">
        <w:rPr>
          <w:rFonts w:eastAsia="仿宋_GB2312"/>
          <w:sz w:val="32"/>
          <w:szCs w:val="32"/>
        </w:rPr>
        <w:t>万元</w:t>
      </w:r>
      <w:r w:rsidR="006D4ABE">
        <w:rPr>
          <w:rFonts w:eastAsia="仿宋_GB2312"/>
          <w:sz w:val="32"/>
          <w:szCs w:val="32"/>
        </w:rPr>
        <w:t>减少</w:t>
      </w:r>
      <w:r w:rsidR="006D4ABE">
        <w:rPr>
          <w:rFonts w:eastAsia="仿宋_GB2312" w:hint="eastAsia"/>
          <w:sz w:val="32"/>
          <w:szCs w:val="32"/>
        </w:rPr>
        <w:t>100%</w:t>
      </w:r>
      <w:r w:rsidR="00C50870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 w:rsidR="005F0702"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 w:rsidR="00C50870">
        <w:rPr>
          <w:rFonts w:eastAsia="仿宋_GB2312"/>
          <w:sz w:val="32"/>
          <w:szCs w:val="32"/>
        </w:rPr>
        <w:t>主要是</w:t>
      </w:r>
      <w:r w:rsidR="00C50870">
        <w:rPr>
          <w:rFonts w:eastAsia="仿宋_GB2312" w:hint="eastAsia"/>
          <w:sz w:val="32"/>
          <w:szCs w:val="32"/>
        </w:rPr>
        <w:t>压缩一般性支出</w:t>
      </w:r>
      <w:r w:rsidR="00C50870">
        <w:rPr>
          <w:rFonts w:eastAsia="仿宋_GB2312"/>
          <w:sz w:val="32"/>
          <w:szCs w:val="32"/>
        </w:rPr>
        <w:t>；运行维护经费支出</w:t>
      </w:r>
      <w:r w:rsidR="006D4ABE">
        <w:rPr>
          <w:rFonts w:eastAsia="仿宋_GB2312" w:hint="eastAsia"/>
          <w:sz w:val="32"/>
          <w:szCs w:val="32"/>
        </w:rPr>
        <w:t>0.00</w:t>
      </w:r>
      <w:r w:rsidR="006D4ABE">
        <w:rPr>
          <w:rFonts w:eastAsia="仿宋_GB2312"/>
          <w:sz w:val="32"/>
          <w:szCs w:val="32"/>
        </w:rPr>
        <w:t>万元，比上年</w:t>
      </w:r>
      <w:r w:rsidR="006D4ABE">
        <w:rPr>
          <w:rFonts w:eastAsia="仿宋_GB2312" w:hint="eastAsia"/>
          <w:sz w:val="32"/>
          <w:szCs w:val="32"/>
        </w:rPr>
        <w:t>8.92</w:t>
      </w:r>
      <w:r w:rsidR="006D4ABE">
        <w:rPr>
          <w:rFonts w:eastAsia="仿宋_GB2312" w:hint="eastAsia"/>
          <w:sz w:val="32"/>
          <w:szCs w:val="32"/>
        </w:rPr>
        <w:t>万元减少</w:t>
      </w:r>
      <w:r w:rsidR="006D4ABE">
        <w:rPr>
          <w:rFonts w:eastAsia="仿宋_GB2312" w:hint="eastAsia"/>
          <w:sz w:val="32"/>
          <w:szCs w:val="32"/>
        </w:rPr>
        <w:t>8.92</w:t>
      </w:r>
      <w:r w:rsidR="006D4ABE">
        <w:rPr>
          <w:rFonts w:eastAsia="仿宋_GB2312"/>
          <w:sz w:val="32"/>
          <w:szCs w:val="32"/>
        </w:rPr>
        <w:t>万元减少</w:t>
      </w:r>
      <w:r w:rsidR="006D4ABE">
        <w:rPr>
          <w:rFonts w:eastAsia="仿宋_GB2312" w:hint="eastAsia"/>
          <w:sz w:val="32"/>
          <w:szCs w:val="32"/>
        </w:rPr>
        <w:t>100%</w:t>
      </w:r>
      <w:r w:rsidR="00C50870">
        <w:rPr>
          <w:rFonts w:eastAsia="仿宋_GB2312"/>
          <w:sz w:val="32"/>
          <w:szCs w:val="32"/>
        </w:rPr>
        <w:t>，主要是</w:t>
      </w:r>
      <w:r w:rsidR="000D79A9">
        <w:rPr>
          <w:rFonts w:eastAsia="仿宋_GB2312" w:hint="eastAsia"/>
          <w:sz w:val="32"/>
          <w:szCs w:val="32"/>
        </w:rPr>
        <w:t>：</w:t>
      </w:r>
      <w:r w:rsidR="006D4ABE">
        <w:rPr>
          <w:rFonts w:eastAsia="仿宋_GB2312" w:hint="eastAsia"/>
          <w:color w:val="000000"/>
          <w:sz w:val="32"/>
          <w:szCs w:val="32"/>
        </w:rPr>
        <w:t>项目支出已在</w:t>
      </w:r>
      <w:r w:rsidR="006D4ABE">
        <w:rPr>
          <w:rFonts w:eastAsia="仿宋_GB2312" w:hint="eastAsia"/>
          <w:color w:val="000000"/>
          <w:sz w:val="32"/>
          <w:szCs w:val="32"/>
        </w:rPr>
        <w:t>2023</w:t>
      </w:r>
      <w:r w:rsidR="006D4ABE">
        <w:rPr>
          <w:rFonts w:eastAsia="仿宋_GB2312" w:hint="eastAsia"/>
          <w:color w:val="000000"/>
          <w:sz w:val="32"/>
          <w:szCs w:val="32"/>
        </w:rPr>
        <w:t>年已完成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6D4ABE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</w:t>
      </w:r>
      <w:r w:rsidRPr="00F80A99">
        <w:rPr>
          <w:rFonts w:ascii="Times New Roman" w:eastAsia="仿宋_GB2312" w:hAnsi="Times New Roman" w:hint="eastAsia"/>
          <w:sz w:val="32"/>
          <w:szCs w:val="32"/>
        </w:rPr>
        <w:lastRenderedPageBreak/>
        <w:t>方位的监督和管理，使每一笔资金都能起到最大的使用效益。结合我校实际将支出进行合理化分配，以达到合理高效地运用资金、提升资金的产出效果、节约成本与资源、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307A32">
        <w:rPr>
          <w:rFonts w:eastAsia="仿宋_GB2312" w:hint="eastAsia"/>
          <w:sz w:val="32"/>
          <w:szCs w:val="32"/>
        </w:rPr>
        <w:t>减少非必要支出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</w:t>
      </w:r>
      <w:r>
        <w:rPr>
          <w:rFonts w:eastAsia="仿宋_GB2312" w:hint="eastAsia"/>
          <w:sz w:val="32"/>
          <w:szCs w:val="32"/>
        </w:rPr>
        <w:lastRenderedPageBreak/>
        <w:t>施全过程中。对未启动项目及时分析原因，根据资金使用情况调整下年预算安排。</w:t>
      </w:r>
    </w:p>
    <w:p w:rsidR="0035694F" w:rsidRDefault="0035694F" w:rsidP="0035694F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eastAsia="仿宋_GB2312"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南岳区樟树桥小学</w:t>
      </w:r>
    </w:p>
    <w:p w:rsidR="0035694F" w:rsidRDefault="0035694F" w:rsidP="0035694F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35694F" w:rsidRDefault="0035694F" w:rsidP="0035694F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sz w:val="30"/>
          <w:szCs w:val="30"/>
        </w:rPr>
      </w:pPr>
    </w:p>
    <w:sectPr w:rsidR="0035694F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69" w:rsidRDefault="00E21769" w:rsidP="00E4748B">
      <w:r>
        <w:separator/>
      </w:r>
    </w:p>
  </w:endnote>
  <w:endnote w:type="continuationSeparator" w:id="1">
    <w:p w:rsidR="00E21769" w:rsidRDefault="00E21769" w:rsidP="00E4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8B" w:rsidRDefault="009A6F4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4748B" w:rsidRDefault="009A6F4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08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07A32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69" w:rsidRDefault="00E21769" w:rsidP="00E4748B">
      <w:r>
        <w:separator/>
      </w:r>
    </w:p>
  </w:footnote>
  <w:footnote w:type="continuationSeparator" w:id="1">
    <w:p w:rsidR="00E21769" w:rsidRDefault="00E21769" w:rsidP="00E4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06247"/>
    <w:rsid w:val="00006837"/>
    <w:rsid w:val="0004674E"/>
    <w:rsid w:val="000D79A9"/>
    <w:rsid w:val="0012172F"/>
    <w:rsid w:val="001550A3"/>
    <w:rsid w:val="001746FD"/>
    <w:rsid w:val="001A60EF"/>
    <w:rsid w:val="00227C1C"/>
    <w:rsid w:val="002E43A8"/>
    <w:rsid w:val="00307A32"/>
    <w:rsid w:val="00334674"/>
    <w:rsid w:val="0035694F"/>
    <w:rsid w:val="003A44C4"/>
    <w:rsid w:val="003A643D"/>
    <w:rsid w:val="003C39DB"/>
    <w:rsid w:val="005F0702"/>
    <w:rsid w:val="00604812"/>
    <w:rsid w:val="006D4ABE"/>
    <w:rsid w:val="0073037C"/>
    <w:rsid w:val="007D40EC"/>
    <w:rsid w:val="00864E47"/>
    <w:rsid w:val="00881676"/>
    <w:rsid w:val="008D7615"/>
    <w:rsid w:val="009226F4"/>
    <w:rsid w:val="00925206"/>
    <w:rsid w:val="009A4BDF"/>
    <w:rsid w:val="009A6F46"/>
    <w:rsid w:val="00A83B82"/>
    <w:rsid w:val="00A84192"/>
    <w:rsid w:val="00AC4016"/>
    <w:rsid w:val="00AE6310"/>
    <w:rsid w:val="00AF7DFD"/>
    <w:rsid w:val="00B02D1F"/>
    <w:rsid w:val="00B02F5D"/>
    <w:rsid w:val="00B32BE9"/>
    <w:rsid w:val="00B57950"/>
    <w:rsid w:val="00B830F0"/>
    <w:rsid w:val="00BB4595"/>
    <w:rsid w:val="00BC5DA3"/>
    <w:rsid w:val="00C36F2B"/>
    <w:rsid w:val="00C47C3E"/>
    <w:rsid w:val="00C50870"/>
    <w:rsid w:val="00D33592"/>
    <w:rsid w:val="00D50658"/>
    <w:rsid w:val="00D52406"/>
    <w:rsid w:val="00DF0434"/>
    <w:rsid w:val="00E15548"/>
    <w:rsid w:val="00E21769"/>
    <w:rsid w:val="00E4748B"/>
    <w:rsid w:val="00E52766"/>
    <w:rsid w:val="00ED5AA3"/>
    <w:rsid w:val="00F71EFC"/>
    <w:rsid w:val="00F80A99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356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23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2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913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20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1400</Words>
  <Characters>188</Characters>
  <Application>Microsoft Office Word</Application>
  <DocSecurity>0</DocSecurity>
  <Lines>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2022-12-08T01:17:00Z</cp:lastPrinted>
  <dcterms:created xsi:type="dcterms:W3CDTF">2024-04-26T06:55:00Z</dcterms:created>
  <dcterms:modified xsi:type="dcterms:W3CDTF">2025-06-11T03:33:00Z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