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880" w:firstLineChars="200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南岳区南岳镇人民政府2024年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部门整体支出绩效自评报告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部门、单位基本情况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43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部门职能职责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24" w:firstLineChars="200"/>
        <w:textAlignment w:val="auto"/>
        <w:rPr>
          <w:rFonts w:ascii="仿宋" w:hAnsi="仿宋" w:eastAsia="仿宋"/>
          <w:spacing w:val="-4"/>
          <w:sz w:val="32"/>
          <w:szCs w:val="32"/>
        </w:rPr>
      </w:pPr>
      <w:r>
        <w:rPr>
          <w:rFonts w:ascii="仿宋" w:hAnsi="仿宋" w:eastAsia="仿宋"/>
          <w:spacing w:val="-4"/>
          <w:sz w:val="32"/>
          <w:szCs w:val="32"/>
        </w:rPr>
        <w:t>（</w:t>
      </w:r>
      <w:r>
        <w:rPr>
          <w:rFonts w:hint="eastAsia" w:ascii="仿宋" w:hAnsi="仿宋" w:eastAsia="仿宋"/>
          <w:spacing w:val="-4"/>
          <w:sz w:val="32"/>
          <w:szCs w:val="32"/>
        </w:rPr>
        <w:t>1</w:t>
      </w:r>
      <w:r>
        <w:rPr>
          <w:rFonts w:ascii="仿宋" w:hAnsi="仿宋" w:eastAsia="仿宋"/>
          <w:spacing w:val="-4"/>
          <w:sz w:val="32"/>
          <w:szCs w:val="32"/>
        </w:rPr>
        <w:t>）宣传贯彻落实法律法规和党的各项方针政策，坚持依法行政，推进</w:t>
      </w:r>
      <w:r>
        <w:rPr>
          <w:rFonts w:ascii="仿宋" w:hAnsi="仿宋" w:eastAsia="仿宋"/>
          <w:bCs/>
          <w:kern w:val="0"/>
          <w:sz w:val="32"/>
          <w:szCs w:val="32"/>
        </w:rPr>
        <w:t>精神文明建设、法治建设</w:t>
      </w:r>
      <w:r>
        <w:rPr>
          <w:rFonts w:ascii="仿宋" w:hAnsi="仿宋" w:eastAsia="仿宋"/>
          <w:spacing w:val="-4"/>
          <w:sz w:val="32"/>
          <w:szCs w:val="32"/>
        </w:rPr>
        <w:t>，促进村民自治，加强基层党组织和政权建设。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Cs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2</w:t>
      </w:r>
      <w:r>
        <w:rPr>
          <w:rFonts w:ascii="仿宋" w:hAnsi="仿宋" w:eastAsia="仿宋"/>
          <w:bCs/>
          <w:kern w:val="0"/>
          <w:sz w:val="32"/>
          <w:szCs w:val="32"/>
        </w:rPr>
        <w:t>）加强党的建设。</w:t>
      </w:r>
      <w:r>
        <w:rPr>
          <w:rFonts w:ascii="仿宋" w:hAnsi="仿宋" w:eastAsia="仿宋"/>
          <w:kern w:val="0"/>
          <w:sz w:val="32"/>
          <w:szCs w:val="32"/>
        </w:rPr>
        <w:t>加强农村党的基层组织建设、农村基层干部队伍建设、农村党员队伍建设，发挥基层党组织战斗堡垒作用和党员先锋模范作用；严格党组织生活，加强党的后备力量培养，抓好党员发展教育管理；加强农村党风廉政制度建设，推进农村惩治和预防腐败建设；按照干部管理权限，负责干部的教育、培养、选拔和监督工作；加强党管武装工作；加强和改进对工会、共青团和妇联等群团工作的领导，推动党群共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Cs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3</w:t>
      </w:r>
      <w:r>
        <w:rPr>
          <w:rFonts w:ascii="仿宋" w:hAnsi="仿宋" w:eastAsia="仿宋"/>
          <w:bCs/>
          <w:kern w:val="0"/>
          <w:sz w:val="32"/>
          <w:szCs w:val="32"/>
        </w:rPr>
        <w:t>）统筹区域发展。</w:t>
      </w:r>
      <w:r>
        <w:rPr>
          <w:rFonts w:ascii="仿宋" w:hAnsi="仿宋" w:eastAsia="仿宋"/>
          <w:kern w:val="0"/>
          <w:sz w:val="32"/>
          <w:szCs w:val="32"/>
        </w:rPr>
        <w:t>科学制定乡村发展规划，培育主导产业，推动产业结构调整，提高农业综合生产能力；建立新型农业社会化服务体系，发展农民专业合作组织，提高农产品质量安全水平；稳定和完善农村基本经营制度，探索集体经济有效实现形式，引导农民珍惜土地、增加投入，发展集约经营；加强农村基础设施建设和新型农村服务体系建设，落实强农惠农措施，确保农民受益；促进民营经济发展，引导农民多渠道转移就业，做好外出务工人员技能培训等服务工作，促进城乡劳动者平等就业，增加农民收入，不断提高人民生活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Cs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4</w:t>
      </w:r>
      <w:r>
        <w:rPr>
          <w:rFonts w:ascii="仿宋" w:hAnsi="仿宋" w:eastAsia="仿宋"/>
          <w:bCs/>
          <w:kern w:val="0"/>
          <w:sz w:val="32"/>
          <w:szCs w:val="32"/>
        </w:rPr>
        <w:t>）实施公共管理。</w:t>
      </w:r>
      <w:r>
        <w:rPr>
          <w:rFonts w:ascii="仿宋" w:hAnsi="仿宋" w:eastAsia="仿宋"/>
          <w:kern w:val="0"/>
          <w:sz w:val="32"/>
          <w:szCs w:val="32"/>
        </w:rPr>
        <w:t>推进依法行政，严格依法履行职责；加强民主法制宣传教育；做好农村信访工作，畅通诉求渠道，及时掌握社情民意，排查化解矛盾纠纷，妥善处理人民内部矛盾；依法管理宗教事务，反对和制止利用宗教和宗教势力干预农村公共事务；加强农村教育、卫生、文化、体育、环境保护等社会事业的管理，协助区级有关部门做好市场监管、劳动监察等方面的工作，保证社会公正，维护社会秩序和社会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Cs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5</w:t>
      </w:r>
      <w:r>
        <w:rPr>
          <w:rFonts w:ascii="仿宋" w:hAnsi="仿宋" w:eastAsia="仿宋"/>
          <w:bCs/>
          <w:kern w:val="0"/>
          <w:sz w:val="32"/>
          <w:szCs w:val="32"/>
        </w:rPr>
        <w:t>）维护公共安全。</w:t>
      </w:r>
      <w:r>
        <w:rPr>
          <w:rFonts w:ascii="仿宋" w:hAnsi="仿宋" w:eastAsia="仿宋"/>
          <w:kern w:val="0"/>
          <w:sz w:val="32"/>
          <w:szCs w:val="32"/>
        </w:rPr>
        <w:t>负责辖区内安全生产、消防安全监督管理以及自然灾害防治救助工作，健全应急管理体系，提升安全事故防控和自然灾害防治能力，保障人民生命财产安全；加强社会治安综合治理、禁毒、信访和公共安全管理工作，推动扫黑除恶专项斗争向纵深发展，建立健全安全防控长效机制，做好司法行政和各类突发事件应急处理等社会管理工作，维护社会和谐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Cs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6</w:t>
      </w:r>
      <w:r>
        <w:rPr>
          <w:rFonts w:ascii="仿宋" w:hAnsi="仿宋" w:eastAsia="仿宋"/>
          <w:bCs/>
          <w:kern w:val="0"/>
          <w:sz w:val="32"/>
          <w:szCs w:val="32"/>
        </w:rPr>
        <w:t>）组织公共服务。</w:t>
      </w:r>
      <w:r>
        <w:rPr>
          <w:rFonts w:ascii="仿宋" w:hAnsi="仿宋" w:eastAsia="仿宋"/>
          <w:kern w:val="0"/>
          <w:sz w:val="32"/>
          <w:szCs w:val="32"/>
        </w:rPr>
        <w:t>拓宽服务渠道，改进服务方式，通过“一站式”服务等多种形式，形成管理有序、服务完善、文明祥和的社会生活共同体；落实计划生育政策和法律法规，推进优生优育，保持人口适度增长，保护妇女、儿童和老人的合法权益；促进农村义务教育均衡发展，推动农村公共卫生体系和基本医疗体系建设，丰富农民群众文化生活，发展农村体育事业，培养社会主义新型农民；做好防灾减灾、五保供养、拥军优抚、低保、扶贫、社会救济、社会保险和其他社会救助工作；发展农村老龄服务；加强农村残疾预防和残疾人康复工作；保证粮食直补、农资直补等各项惠农政策落实到户；加强基础设施建设，加大农村环境综合整治力度，改善人居环境，建设美丽乡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Cs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7</w:t>
      </w:r>
      <w:r>
        <w:rPr>
          <w:rFonts w:ascii="仿宋" w:hAnsi="仿宋" w:eastAsia="仿宋"/>
          <w:bCs/>
          <w:kern w:val="0"/>
          <w:sz w:val="32"/>
          <w:szCs w:val="32"/>
        </w:rPr>
        <w:t>）</w:t>
      </w:r>
      <w:r>
        <w:rPr>
          <w:rFonts w:ascii="仿宋" w:hAnsi="仿宋" w:eastAsia="仿宋"/>
          <w:kern w:val="0"/>
          <w:sz w:val="32"/>
          <w:szCs w:val="32"/>
        </w:rPr>
        <w:t>贯彻执行相关法律法规，落实党和国家的方针、政策，承担上级交办的其他任务。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43" w:firstLineChars="200"/>
        <w:textAlignment w:val="auto"/>
        <w:rPr>
          <w:rFonts w:ascii="楷体" w:hAnsi="楷体" w:eastAsia="楷体" w:cs="Arial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（二）机构</w:t>
      </w:r>
      <w:r>
        <w:rPr>
          <w:rFonts w:hint="eastAsia" w:ascii="楷体" w:hAnsi="楷体" w:eastAsia="楷体"/>
          <w:b/>
          <w:sz w:val="32"/>
          <w:szCs w:val="32"/>
        </w:rPr>
        <w:t>设置</w:t>
      </w:r>
      <w:r>
        <w:rPr>
          <w:rFonts w:ascii="楷体" w:hAnsi="楷体" w:eastAsia="楷体"/>
          <w:b/>
          <w:sz w:val="32"/>
          <w:szCs w:val="32"/>
        </w:rPr>
        <w:t>情况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40" w:firstLineChars="200"/>
        <w:jc w:val="both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-SA"/>
        </w:rPr>
        <w:t>2024年末，我镇内设党政机构4个：</w:t>
      </w:r>
      <w:r>
        <w:rPr>
          <w:rFonts w:ascii="仿宋" w:hAnsi="仿宋" w:eastAsia="仿宋" w:cs="Times New Roman"/>
          <w:kern w:val="0"/>
          <w:sz w:val="32"/>
          <w:szCs w:val="32"/>
          <w:lang w:val="en-US" w:eastAsia="zh-CN" w:bidi="ar-SA"/>
        </w:rPr>
        <w:t>党政办公室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-SA"/>
        </w:rPr>
        <w:t>、</w:t>
      </w:r>
      <w:r>
        <w:rPr>
          <w:rFonts w:ascii="仿宋" w:hAnsi="仿宋" w:eastAsia="仿宋" w:cs="Times New Roman"/>
          <w:kern w:val="0"/>
          <w:sz w:val="32"/>
          <w:szCs w:val="32"/>
          <w:lang w:val="en-US" w:eastAsia="zh-CN" w:bidi="ar-SA"/>
        </w:rPr>
        <w:t>党建办公室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-SA"/>
        </w:rPr>
        <w:t>、</w:t>
      </w:r>
      <w:r>
        <w:rPr>
          <w:rFonts w:ascii="仿宋" w:hAnsi="仿宋" w:eastAsia="仿宋" w:cs="Times New Roman"/>
          <w:kern w:val="0"/>
          <w:sz w:val="32"/>
          <w:szCs w:val="32"/>
          <w:lang w:val="en-US" w:eastAsia="zh-CN" w:bidi="ar-SA"/>
        </w:rPr>
        <w:t>经济和生态办公室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-SA"/>
        </w:rPr>
        <w:t>、</w:t>
      </w:r>
      <w:r>
        <w:rPr>
          <w:rFonts w:ascii="仿宋" w:hAnsi="仿宋" w:eastAsia="仿宋" w:cs="Times New Roman"/>
          <w:kern w:val="0"/>
          <w:sz w:val="32"/>
          <w:szCs w:val="32"/>
          <w:lang w:val="en-US" w:eastAsia="zh-CN" w:bidi="ar-SA"/>
        </w:rPr>
        <w:t>平安法治和应急管理办公室。设事业单位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-SA"/>
        </w:rPr>
        <w:t>4个：</w:t>
      </w:r>
      <w:r>
        <w:rPr>
          <w:rFonts w:ascii="仿宋" w:hAnsi="仿宋" w:eastAsia="仿宋" w:cs="Times New Roman"/>
          <w:kern w:val="0"/>
          <w:sz w:val="32"/>
          <w:szCs w:val="32"/>
          <w:lang w:val="en-US" w:eastAsia="zh-CN" w:bidi="ar-SA"/>
        </w:rPr>
        <w:t>农业综合服务中心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-SA"/>
        </w:rPr>
        <w:t>、</w:t>
      </w:r>
      <w:r>
        <w:rPr>
          <w:rFonts w:ascii="仿宋" w:hAnsi="仿宋" w:eastAsia="仿宋" w:cs="Times New Roman"/>
          <w:kern w:val="0"/>
          <w:sz w:val="32"/>
          <w:szCs w:val="32"/>
          <w:lang w:val="en-US" w:eastAsia="zh-CN" w:bidi="ar-SA"/>
        </w:rPr>
        <w:t>社会事务综合服务中心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-SA"/>
        </w:rPr>
        <w:t>、</w:t>
      </w:r>
      <w:r>
        <w:rPr>
          <w:rFonts w:ascii="仿宋" w:hAnsi="仿宋" w:eastAsia="仿宋" w:cs="Times New Roman"/>
          <w:kern w:val="0"/>
          <w:sz w:val="32"/>
          <w:szCs w:val="32"/>
          <w:lang w:val="en-US" w:eastAsia="zh-CN" w:bidi="ar-SA"/>
        </w:rPr>
        <w:t>退役军人服务站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-SA"/>
        </w:rPr>
        <w:t>、</w:t>
      </w:r>
      <w:r>
        <w:rPr>
          <w:rFonts w:ascii="仿宋" w:hAnsi="仿宋" w:eastAsia="仿宋" w:cs="Times New Roman"/>
          <w:kern w:val="0"/>
          <w:sz w:val="32"/>
          <w:szCs w:val="32"/>
          <w:lang w:val="en-US" w:eastAsia="zh-CN" w:bidi="ar-SA"/>
        </w:rPr>
        <w:t>综合行政执法大队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-SA"/>
        </w:rPr>
        <w:t>（</w:t>
      </w:r>
      <w:r>
        <w:rPr>
          <w:rFonts w:ascii="仿宋" w:hAnsi="仿宋" w:eastAsia="仿宋" w:cs="Times New Roman"/>
          <w:kern w:val="0"/>
          <w:sz w:val="32"/>
          <w:szCs w:val="32"/>
          <w:lang w:val="en-US" w:eastAsia="zh-CN" w:bidi="ar-SA"/>
        </w:rPr>
        <w:t>副科级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-SA"/>
        </w:rPr>
        <w:t>）</w:t>
      </w:r>
      <w:r>
        <w:rPr>
          <w:rFonts w:ascii="仿宋" w:hAnsi="仿宋" w:eastAsia="仿宋" w:cs="Times New Roman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43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（三）人员</w:t>
      </w:r>
      <w:r>
        <w:rPr>
          <w:rFonts w:hint="eastAsia" w:ascii="楷体" w:hAnsi="楷体" w:eastAsia="楷体"/>
          <w:b/>
          <w:sz w:val="32"/>
          <w:szCs w:val="32"/>
        </w:rPr>
        <w:t>编制情况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1"/>
          <w:sz w:val="32"/>
          <w:szCs w:val="32"/>
          <w:shd w:val="clear" w:color="auto" w:fill="FFFFFF"/>
        </w:rPr>
        <w:t>南岳镇机关行政编制为36名(含财政所行政编制8名)。4个事业单位全额拨款事业编制共43名，其中：社会事务综合服务 中心14名，设主任1名(正股级);农业综合服务中心10名， 设主任1名(正股级);退役军人服务站7名，设站长1名(正股级);综合行政执法大队12名，设大队长1名(副科级),副大队长2名(正股级)。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43" w:firstLineChars="200"/>
        <w:textAlignment w:val="auto"/>
        <w:rPr>
          <w:rFonts w:ascii="楷体" w:hAnsi="楷体" w:eastAsia="楷体"/>
          <w:b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b/>
          <w:sz w:val="32"/>
          <w:szCs w:val="32"/>
          <w:shd w:val="clear" w:color="auto" w:fill="FFFFFF"/>
        </w:rPr>
        <w:t>公务用车情况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shd w:val="clear" w:color="auto" w:fill="FFFFFF"/>
        </w:rPr>
        <w:t>截止2023年底，现保留公务用车</w:t>
      </w:r>
      <w:r>
        <w:rPr>
          <w:rFonts w:hint="eastAsia" w:ascii="仿宋" w:hAnsi="仿宋" w:eastAsia="仿宋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  <w:shd w:val="clear" w:color="auto" w:fill="FFFFFF"/>
        </w:rPr>
        <w:t>台（一般公务用车2台、</w:t>
      </w:r>
      <w:r>
        <w:rPr>
          <w:rFonts w:hint="eastAsia" w:ascii="仿宋" w:hAnsi="仿宋" w:eastAsia="仿宋"/>
          <w:sz w:val="32"/>
          <w:szCs w:val="32"/>
          <w:highlight w:val="none"/>
          <w:shd w:val="clear" w:color="auto" w:fill="FFFFFF"/>
          <w:lang w:val="en-US" w:eastAsia="zh-CN"/>
        </w:rPr>
        <w:t>应急执勤车1台，</w:t>
      </w:r>
      <w:r>
        <w:rPr>
          <w:rFonts w:hint="eastAsia" w:ascii="仿宋" w:hAnsi="仿宋" w:eastAsia="仿宋"/>
          <w:sz w:val="32"/>
          <w:szCs w:val="32"/>
          <w:highlight w:val="none"/>
          <w:shd w:val="clear" w:color="auto" w:fill="FFFFFF"/>
        </w:rPr>
        <w:t>区调拨</w:t>
      </w:r>
      <w:r>
        <w:rPr>
          <w:rFonts w:ascii="仿宋" w:hAnsi="仿宋" w:eastAsia="仿宋"/>
          <w:bCs/>
          <w:kern w:val="0"/>
          <w:sz w:val="32"/>
          <w:szCs w:val="32"/>
          <w:highlight w:val="none"/>
        </w:rPr>
        <w:t>综合行政执法</w:t>
      </w:r>
      <w:r>
        <w:rPr>
          <w:rFonts w:hint="eastAsia" w:ascii="仿宋" w:hAnsi="仿宋" w:eastAsia="仿宋"/>
          <w:bCs/>
          <w:kern w:val="0"/>
          <w:sz w:val="32"/>
          <w:szCs w:val="32"/>
          <w:highlight w:val="none"/>
        </w:rPr>
        <w:t>用车1台、城管体制改革划拨1台）</w:t>
      </w:r>
      <w:r>
        <w:rPr>
          <w:rFonts w:hint="eastAsia" w:ascii="仿宋" w:hAnsi="仿宋" w:eastAsia="仿宋"/>
          <w:sz w:val="32"/>
          <w:szCs w:val="32"/>
          <w:highlight w:val="none"/>
          <w:shd w:val="clear" w:color="auto" w:fill="FFFFFF"/>
        </w:rPr>
        <w:t>，其中财政经费拨款</w:t>
      </w:r>
      <w:r>
        <w:rPr>
          <w:rFonts w:hint="eastAsia" w:ascii="仿宋" w:hAnsi="仿宋" w:eastAsia="仿宋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  <w:shd w:val="clear" w:color="auto" w:fill="FFFFFF"/>
        </w:rPr>
        <w:t>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（一）基本支出情况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基本支出系保障我</w:t>
      </w:r>
      <w:r>
        <w:rPr>
          <w:rFonts w:hint="eastAsia" w:ascii="仿宋" w:hAnsi="仿宋" w:eastAsia="仿宋" w:cs="宋体"/>
          <w:kern w:val="0"/>
          <w:sz w:val="32"/>
          <w:szCs w:val="32"/>
        </w:rPr>
        <w:t>镇</w:t>
      </w:r>
      <w:r>
        <w:rPr>
          <w:rFonts w:ascii="仿宋" w:hAnsi="仿宋" w:eastAsia="仿宋" w:cs="宋体"/>
          <w:kern w:val="0"/>
          <w:sz w:val="32"/>
          <w:szCs w:val="32"/>
        </w:rPr>
        <w:t>机</w:t>
      </w:r>
      <w:r>
        <w:rPr>
          <w:rFonts w:hint="eastAsia" w:ascii="仿宋" w:hAnsi="仿宋" w:eastAsia="仿宋" w:cs="宋体"/>
          <w:kern w:val="0"/>
          <w:sz w:val="32"/>
          <w:szCs w:val="32"/>
        </w:rPr>
        <w:t>构</w:t>
      </w:r>
      <w:r>
        <w:rPr>
          <w:rFonts w:ascii="仿宋" w:hAnsi="仿宋" w:eastAsia="仿宋" w:cs="宋体"/>
          <w:kern w:val="0"/>
          <w:sz w:val="32"/>
          <w:szCs w:val="32"/>
        </w:rPr>
        <w:t>正常运转、完成日常工作任务而发生的各项支出，包括用于在职和离退休人员基本工资、津贴补贴</w:t>
      </w:r>
      <w:r>
        <w:rPr>
          <w:rFonts w:hint="eastAsia" w:ascii="仿宋" w:hAnsi="仿宋" w:eastAsia="仿宋" w:cs="宋体"/>
          <w:kern w:val="0"/>
          <w:sz w:val="32"/>
          <w:szCs w:val="32"/>
        </w:rPr>
        <w:t>、养老保险金</w:t>
      </w:r>
      <w:r>
        <w:rPr>
          <w:rFonts w:ascii="仿宋" w:hAnsi="仿宋" w:eastAsia="仿宋" w:cs="宋体"/>
          <w:kern w:val="0"/>
          <w:sz w:val="32"/>
          <w:szCs w:val="32"/>
        </w:rPr>
        <w:t>等人员经费以及办公费、印刷费、水电费、办公设备购置等日常公用经费。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年基本支出</w:t>
      </w:r>
      <w:r>
        <w:rPr>
          <w:rFonts w:hint="eastAsia" w:eastAsia="仿宋"/>
          <w:sz w:val="32"/>
          <w:szCs w:val="32"/>
          <w:lang w:val="en-US" w:eastAsia="zh-CN"/>
        </w:rPr>
        <w:t>1389.43</w:t>
      </w:r>
      <w:r>
        <w:rPr>
          <w:rFonts w:hint="eastAsia" w:ascii="仿宋" w:hAnsi="仿宋" w:eastAsia="仿宋"/>
          <w:sz w:val="32"/>
          <w:szCs w:val="32"/>
        </w:rPr>
        <w:t>万元，较上年增加</w:t>
      </w:r>
      <w:r>
        <w:rPr>
          <w:rFonts w:hint="eastAsia" w:eastAsia="仿宋"/>
          <w:sz w:val="32"/>
          <w:szCs w:val="32"/>
          <w:lang w:val="en-US" w:eastAsia="zh-CN"/>
        </w:rPr>
        <w:t>515.77</w:t>
      </w:r>
      <w:r>
        <w:rPr>
          <w:rFonts w:hint="eastAsia" w:ascii="仿宋" w:hAnsi="仿宋" w:eastAsia="仿宋"/>
          <w:sz w:val="32"/>
          <w:szCs w:val="32"/>
        </w:rPr>
        <w:t>万元。减幅过大的原因是因为</w:t>
      </w:r>
      <w:r>
        <w:rPr>
          <w:rFonts w:hint="eastAsia" w:eastAsia="仿宋"/>
          <w:sz w:val="32"/>
          <w:szCs w:val="32"/>
          <w:lang w:val="en-US" w:eastAsia="zh-CN"/>
        </w:rPr>
        <w:t>财政所人员</w:t>
      </w:r>
      <w:r>
        <w:rPr>
          <w:rFonts w:hint="eastAsia" w:ascii="仿宋" w:hAnsi="仿宋" w:eastAsia="仿宋"/>
          <w:sz w:val="32"/>
          <w:szCs w:val="32"/>
        </w:rPr>
        <w:t>和本年新进人员的增加。</w:t>
      </w:r>
      <w:r>
        <w:rPr>
          <w:rFonts w:ascii="仿宋" w:hAnsi="仿宋" w:eastAsia="仿宋" w:cs="仿宋"/>
          <w:sz w:val="31"/>
          <w:szCs w:val="31"/>
          <w:shd w:val="clear" w:color="auto" w:fill="FFFFFF"/>
        </w:rPr>
        <w:t>其中：人员经费</w:t>
      </w:r>
      <w:r>
        <w:rPr>
          <w:rFonts w:hint="eastAsia" w:eastAsia="仿宋" w:cs="仿宋"/>
          <w:sz w:val="31"/>
          <w:szCs w:val="31"/>
          <w:shd w:val="clear" w:color="auto" w:fill="FFFFFF"/>
          <w:lang w:val="en-US" w:eastAsia="zh-CN"/>
        </w:rPr>
        <w:t>1149.75</w:t>
      </w:r>
      <w:r>
        <w:rPr>
          <w:rFonts w:ascii="仿宋" w:hAnsi="仿宋" w:eastAsia="仿宋" w:cs="仿宋"/>
          <w:sz w:val="31"/>
          <w:szCs w:val="31"/>
          <w:shd w:val="clear" w:color="auto" w:fill="FFFFFF"/>
        </w:rPr>
        <w:t>万元，占</w:t>
      </w:r>
      <w:r>
        <w:rPr>
          <w:rFonts w:hint="eastAsia" w:eastAsia="仿宋" w:cs="仿宋"/>
          <w:sz w:val="31"/>
          <w:szCs w:val="31"/>
          <w:shd w:val="clear" w:color="auto" w:fill="FFFFFF"/>
          <w:lang w:val="en-US" w:eastAsia="zh-CN"/>
        </w:rPr>
        <w:t>82.7</w:t>
      </w:r>
      <w:r>
        <w:rPr>
          <w:rFonts w:ascii="仿宋" w:hAnsi="仿宋" w:eastAsia="仿宋" w:cs="仿宋"/>
          <w:sz w:val="31"/>
          <w:szCs w:val="31"/>
          <w:shd w:val="clear" w:color="auto" w:fill="FFFFFF"/>
        </w:rPr>
        <w:t>%，主要包括基本工资、津贴补贴、奖金、伙食补助费、医疗费、住房公积金等；公用经费</w:t>
      </w:r>
      <w:r>
        <w:rPr>
          <w:rFonts w:hint="eastAsia" w:eastAsia="仿宋" w:cs="仿宋"/>
          <w:sz w:val="31"/>
          <w:szCs w:val="31"/>
          <w:shd w:val="clear" w:color="auto" w:fill="FFFFFF"/>
          <w:lang w:val="en-US" w:eastAsia="zh-CN"/>
        </w:rPr>
        <w:t>239.67</w:t>
      </w:r>
      <w:r>
        <w:rPr>
          <w:rFonts w:ascii="仿宋" w:hAnsi="仿宋" w:eastAsia="仿宋" w:cs="仿宋"/>
          <w:sz w:val="31"/>
          <w:szCs w:val="31"/>
          <w:shd w:val="clear" w:color="auto" w:fill="FFFFFF"/>
        </w:rPr>
        <w:t>万元，占</w:t>
      </w:r>
      <w:r>
        <w:rPr>
          <w:rFonts w:hint="eastAsia" w:eastAsia="仿宋" w:cs="仿宋"/>
          <w:sz w:val="31"/>
          <w:szCs w:val="31"/>
          <w:shd w:val="clear" w:color="auto" w:fill="FFFFFF"/>
          <w:lang w:val="en-US" w:eastAsia="zh-CN"/>
        </w:rPr>
        <w:t>17.3</w:t>
      </w:r>
      <w:r>
        <w:rPr>
          <w:rFonts w:ascii="仿宋" w:hAnsi="仿宋" w:eastAsia="仿宋" w:cs="仿宋"/>
          <w:sz w:val="31"/>
          <w:szCs w:val="31"/>
          <w:shd w:val="clear" w:color="auto" w:fill="FFFFFF"/>
        </w:rPr>
        <w:t>%，主要包括办公费、印刷费、咨询费、手续费、工会经费</w:t>
      </w:r>
      <w:r>
        <w:rPr>
          <w:rFonts w:hint="eastAsia" w:ascii="仿宋" w:hAnsi="仿宋" w:eastAsia="仿宋" w:cs="仿宋"/>
          <w:sz w:val="31"/>
          <w:szCs w:val="31"/>
          <w:shd w:val="clear" w:color="auto" w:fill="FFFFFF"/>
        </w:rPr>
        <w:t>、村社区干部工资</w:t>
      </w:r>
      <w:r>
        <w:rPr>
          <w:rFonts w:ascii="仿宋" w:hAnsi="仿宋" w:eastAsia="仿宋" w:cs="仿宋"/>
          <w:sz w:val="31"/>
          <w:szCs w:val="31"/>
          <w:shd w:val="clear" w:color="auto" w:fill="FFFFFF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项目支出情况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40" w:firstLineChars="200"/>
        <w:textAlignment w:val="auto"/>
        <w:rPr>
          <w:rFonts w:hint="eastAsia" w:eastAsia="仿宋"/>
          <w:sz w:val="32"/>
          <w:szCs w:val="32"/>
          <w:lang w:val="en-US" w:eastAsia="zh-CN"/>
        </w:rPr>
      </w:pPr>
      <w:r>
        <w:rPr>
          <w:rFonts w:ascii="仿宋" w:hAnsi="仿宋" w:eastAsia="仿宋" w:cs="宋体"/>
          <w:kern w:val="0"/>
          <w:sz w:val="32"/>
          <w:szCs w:val="32"/>
        </w:rPr>
        <w:t>项目支出系我</w:t>
      </w:r>
      <w:r>
        <w:rPr>
          <w:rFonts w:hint="eastAsia" w:ascii="仿宋" w:hAnsi="仿宋" w:eastAsia="仿宋" w:cs="宋体"/>
          <w:kern w:val="0"/>
          <w:sz w:val="32"/>
          <w:szCs w:val="32"/>
        </w:rPr>
        <w:t>镇</w:t>
      </w:r>
      <w:r>
        <w:rPr>
          <w:rFonts w:ascii="仿宋" w:hAnsi="仿宋" w:eastAsia="仿宋" w:cs="宋体"/>
          <w:kern w:val="0"/>
          <w:sz w:val="32"/>
          <w:szCs w:val="32"/>
        </w:rPr>
        <w:t>为</w:t>
      </w:r>
      <w:r>
        <w:rPr>
          <w:rFonts w:hint="eastAsia" w:ascii="仿宋" w:hAnsi="仿宋" w:eastAsia="仿宋" w:cs="宋体"/>
          <w:sz w:val="32"/>
          <w:szCs w:val="32"/>
        </w:rPr>
        <w:t>保障全镇13个行政村，3个社区居委会共76位村（社区）干部基本报酬和基本运转经费的需要；保障临聘人员（</w:t>
      </w:r>
      <w:r>
        <w:rPr>
          <w:rFonts w:hint="eastAsia" w:ascii="仿宋" w:hAnsi="仿宋" w:eastAsia="仿宋" w:cs="宋体"/>
          <w:kern w:val="0"/>
          <w:sz w:val="32"/>
          <w:szCs w:val="32"/>
        </w:rPr>
        <w:t>原企业办人员）3人、综合执法局下沉临聘人员8人和镇政府临聘人员3人的正常办公、生活秩序；确保村（社区）基础设施建设及围绕全区全域旅游开发建设等方面</w:t>
      </w:r>
      <w:r>
        <w:rPr>
          <w:rFonts w:ascii="仿宋" w:hAnsi="仿宋" w:eastAsia="仿宋" w:cs="宋体"/>
          <w:kern w:val="0"/>
          <w:sz w:val="32"/>
          <w:szCs w:val="32"/>
        </w:rPr>
        <w:t>而发生的支出，包括</w:t>
      </w:r>
      <w:r>
        <w:rPr>
          <w:rFonts w:hint="eastAsia" w:ascii="仿宋" w:hAnsi="仿宋" w:eastAsia="仿宋" w:cs="宋体"/>
          <w:kern w:val="0"/>
          <w:sz w:val="32"/>
          <w:szCs w:val="32"/>
        </w:rPr>
        <w:t>项目</w:t>
      </w:r>
      <w:r>
        <w:rPr>
          <w:rFonts w:ascii="仿宋" w:hAnsi="仿宋" w:eastAsia="仿宋" w:cs="宋体"/>
          <w:kern w:val="0"/>
          <w:sz w:val="32"/>
          <w:szCs w:val="32"/>
        </w:rPr>
        <w:t>专项支出和运行维护专项支出。</w:t>
      </w:r>
      <w:r>
        <w:rPr>
          <w:rFonts w:hint="eastAsia" w:ascii="仿宋" w:hAnsi="仿宋" w:eastAsia="仿宋" w:cs="宋体"/>
          <w:kern w:val="0"/>
          <w:sz w:val="32"/>
          <w:szCs w:val="32"/>
        </w:rPr>
        <w:t>项目</w:t>
      </w:r>
      <w:r>
        <w:rPr>
          <w:rFonts w:ascii="仿宋" w:hAnsi="仿宋" w:eastAsia="仿宋" w:cs="宋体"/>
          <w:kern w:val="0"/>
          <w:sz w:val="32"/>
          <w:szCs w:val="32"/>
        </w:rPr>
        <w:t>专项支出主要用于</w:t>
      </w:r>
      <w:r>
        <w:rPr>
          <w:rFonts w:hint="eastAsia" w:ascii="仿宋" w:hAnsi="仿宋" w:eastAsia="仿宋" w:cs="宋体"/>
          <w:kern w:val="0"/>
          <w:sz w:val="32"/>
          <w:szCs w:val="32"/>
        </w:rPr>
        <w:t>乡村振兴、农村基础设施建设、森林防火、环境整治、风景资源保护、美丽乡村建设</w:t>
      </w:r>
      <w:r>
        <w:rPr>
          <w:rFonts w:ascii="仿宋" w:hAnsi="仿宋" w:eastAsia="仿宋" w:cs="宋体"/>
          <w:kern w:val="0"/>
          <w:sz w:val="32"/>
          <w:szCs w:val="32"/>
        </w:rPr>
        <w:t>等方面；运行维护专项支出，主要用于</w:t>
      </w:r>
      <w:r>
        <w:rPr>
          <w:rFonts w:hint="eastAsia" w:ascii="仿宋" w:hAnsi="仿宋" w:eastAsia="仿宋" w:cs="宋体"/>
          <w:kern w:val="0"/>
          <w:sz w:val="32"/>
          <w:szCs w:val="32"/>
        </w:rPr>
        <w:t>村（社区）及机关正常运转、人大，政协，群团组织活动、食堂补贴、原企业办人员工资及镇</w:t>
      </w:r>
      <w:r>
        <w:rPr>
          <w:rFonts w:ascii="仿宋" w:hAnsi="仿宋" w:eastAsia="仿宋" w:cs="宋体"/>
          <w:kern w:val="0"/>
          <w:sz w:val="32"/>
          <w:szCs w:val="32"/>
        </w:rPr>
        <w:t>机关</w:t>
      </w:r>
      <w:r>
        <w:rPr>
          <w:rFonts w:hint="eastAsia" w:ascii="仿宋" w:hAnsi="仿宋" w:eastAsia="仿宋" w:cs="宋体"/>
          <w:kern w:val="0"/>
          <w:sz w:val="32"/>
          <w:szCs w:val="32"/>
        </w:rPr>
        <w:t>办公</w:t>
      </w:r>
      <w:r>
        <w:rPr>
          <w:rFonts w:ascii="仿宋" w:hAnsi="仿宋" w:eastAsia="仿宋" w:cs="宋体"/>
          <w:kern w:val="0"/>
          <w:sz w:val="32"/>
          <w:szCs w:val="32"/>
        </w:rPr>
        <w:t>大院房屋设备维修维护等方面。</w:t>
      </w:r>
      <w:r>
        <w:rPr>
          <w:rFonts w:hint="eastAsia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年项目支出</w:t>
      </w:r>
      <w:r>
        <w:rPr>
          <w:rFonts w:hint="eastAsia" w:eastAsia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10146.15</w:t>
      </w:r>
      <w:r>
        <w:rPr>
          <w:rFonts w:hint="eastAsia" w:ascii="仿宋" w:hAnsi="仿宋" w:eastAsia="仿宋"/>
          <w:sz w:val="32"/>
          <w:szCs w:val="32"/>
        </w:rPr>
        <w:t>万元，比上年增幅</w:t>
      </w:r>
      <w:r>
        <w:rPr>
          <w:rFonts w:hint="eastAsia" w:eastAsia="仿宋"/>
          <w:sz w:val="32"/>
          <w:szCs w:val="32"/>
          <w:lang w:val="en-US" w:eastAsia="zh-CN"/>
        </w:rPr>
        <w:t>5244.57</w:t>
      </w:r>
      <w:r>
        <w:rPr>
          <w:rFonts w:hint="eastAsia" w:ascii="仿宋" w:hAnsi="仿宋" w:eastAsia="仿宋"/>
          <w:sz w:val="32"/>
          <w:szCs w:val="32"/>
        </w:rPr>
        <w:t>万元，增幅</w:t>
      </w:r>
      <w:r>
        <w:rPr>
          <w:rFonts w:hint="eastAsia" w:eastAsia="仿宋"/>
          <w:sz w:val="32"/>
          <w:szCs w:val="32"/>
          <w:lang w:val="en-US" w:eastAsia="zh-CN"/>
        </w:rPr>
        <w:t>51</w:t>
      </w:r>
      <w:r>
        <w:rPr>
          <w:rFonts w:hint="eastAsia" w:ascii="仿宋" w:hAnsi="仿宋" w:eastAsia="仿宋"/>
          <w:sz w:val="32"/>
          <w:szCs w:val="32"/>
        </w:rPr>
        <w:t>%，主要是由于乡村振兴、美丽乡村、涉农项目等基础设施建设以及重点项目的征拆经费的投入增加。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政府性基金预算支出情况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24" w:firstLineChars="200"/>
        <w:textAlignment w:val="auto"/>
        <w:rPr>
          <w:rFonts w:hint="default" w:ascii="仿宋" w:hAnsi="仿宋" w:eastAsia="仿宋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政府性基金预算支出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为4881.27万元。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国有资本经营预算支出情况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24" w:firstLineChars="200"/>
        <w:textAlignment w:val="auto"/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本年度无</w:t>
      </w:r>
      <w:r>
        <w:rPr>
          <w:rFonts w:hint="default" w:ascii="仿宋" w:hAnsi="仿宋" w:eastAsia="仿宋" w:cs="Times New Roman"/>
          <w:spacing w:val="-4"/>
          <w:sz w:val="32"/>
          <w:szCs w:val="32"/>
          <w:lang w:val="en-US" w:eastAsia="zh-CN"/>
        </w:rPr>
        <w:t>国有资本经营预算支出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社会保险基金预算支出情况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24" w:firstLineChars="200"/>
        <w:textAlignment w:val="auto"/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本年度无</w:t>
      </w:r>
      <w:r>
        <w:rPr>
          <w:rFonts w:hint="default" w:ascii="仿宋" w:hAnsi="仿宋" w:eastAsia="仿宋" w:cs="Times New Roman"/>
          <w:spacing w:val="-4"/>
          <w:sz w:val="32"/>
          <w:szCs w:val="32"/>
          <w:lang w:val="en-US" w:eastAsia="zh-CN"/>
        </w:rPr>
        <w:t>社会保险基金预算支出</w:t>
      </w:r>
      <w:r>
        <w:rPr>
          <w:rFonts w:hint="eastAsia" w:ascii="仿宋" w:hAnsi="仿宋" w:eastAsia="仿宋" w:cs="Times New Roman"/>
          <w:spacing w:val="-4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六、部门整体支出绩效情况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FF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（一）</w:t>
      </w:r>
      <w:r>
        <w:rPr>
          <w:rStyle w:val="6"/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这一年，我们深耕主责主业，乡村振兴硕果累累。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聚力脱贫攻坚成效巩固。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因地制宜引导村集体积极探索股份合作型、产业牵引型、资源整合型等加快发展村级集体经济的新路子，促进农村一、二、三产业融合发展。2024年，全镇村集体经济收入新增8个项目，包括红星村物流基地、枫木桥村乡村车间矿泉水、新村村麦客旅居宿集等。开展两轮防止返贫监测帮扶集中排查工作，实现全镇农村人口全覆盖排查，实现应纳尽纳。设立5个乡村扶贫公益性岗位，实现73个困难家庭劳动力就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3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全力保障农业生产。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守粮食生产安全底线，全年完成早中晚稻种植8050.48亩，油菜面积3580.67亩，创建了4个村集中育秧示范点。精特产业结构不断优化升级，在延寿村流转117亩土地发展黄精种植产业，推动双田村特色种养基地农特产品提质增效。守牢土地资源“底线”，以盘活土地资源为突破口，完成土地流转2313.56亩，申报耕地地力补贴9019.8亩，完成耕地复垦37.5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43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全域建设和美乡村。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坚持以“千万工程”为引领，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开展人居环境百日攻坚行动，以“三清三拆三整治”、垃圾处理、污水治理等方面为抓手，共计投入资金100万元，拆除空心房10处，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旅发大会重点观摩项目沿线道路、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房屋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完成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亮化美化。在双田村、樟树桥村，村民自主筹工筹劳筹钱打造了两处美丽屋场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新村村全域打造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和美乡村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，成功创建全市美丽乡村精品村。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FF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Style w:val="6"/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这一年，我们聚焦</w:t>
      </w:r>
      <w:r>
        <w:rPr>
          <w:rStyle w:val="6"/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项目建设</w:t>
      </w:r>
      <w:r>
        <w:rPr>
          <w:rStyle w:val="6"/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，</w:t>
      </w:r>
      <w:r>
        <w:rPr>
          <w:rStyle w:val="6"/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经济发展稳中向好。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1.项目征拆实现突破。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金月湖景区、110千伏变电站、南岳智能停车场及文旅综合体项目征拆任务。稳定推进衡阳1944历史文化街区、天子山北路、“见南山”文旅康养综合体项目进度，2024年解决项目历史遗留问题4个，累计签约31户，拆除房屋23栋，拆除面积11950.9㎡，迁坟75座，完成清表2万余平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2.引培农文旅产业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月湖景区南岳里项目、“祝融”探火太空体验馆皆在镇辖区落户运营，带动周边餐饮、住宿、旅拍等行业发展，新增旅拍等新产业业态30余家。同时持续引进新产业、新业态、新项目，在红星村引进了萌宠乐园、“衡有钱”博物馆，水濂村荷田溪院露营基地、朴归生活完成提质升级，新村村麦客旅居宿集项目11月份启动运营。同时亮化提质三片区农旅环线共计8.7公里，辐射带动整个片区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FF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  <w:t>）</w:t>
      </w:r>
      <w:r>
        <w:rPr>
          <w:rStyle w:val="6"/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这一年，我们</w:t>
      </w:r>
      <w:r>
        <w:rPr>
          <w:rStyle w:val="6"/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统筹社会治理，全镇</w:t>
      </w:r>
      <w:r>
        <w:rPr>
          <w:rStyle w:val="6"/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大局和谐稳定。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底线工作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严防死守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筑牢安全生产底线。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开展安全检查300余次；加强工贸行业专项整治，查处消防安全隐患104起，下达了7件《当场行政处罚决定书》。汛期以及受台风“格美”期间，全镇迅速响应，我镇共转移群众3700余人（含游客）。2024年全镇实现了重大安全生产事故、重大环境污染和生态破坏事件、重大食品药品安全事件零发生。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强化社会治理工作能力。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强化平安建设工作宣传，进行普法、综治民调等各类宣传活动10余次，普及群众3000余人。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成立镇治安巡逻队，开展交通疏导、护学等200余次。开展“五大行动”摸排上报隐患18处、对全镇178名涉毒人员全部走访管控到位。深化运用新时代“枫桥经验”，全年共计办结信访件42件，办结率95%。镇社会治安综治治理中心入驻南岳派出所，以合署办公的优势，逐步构建起“五员治理”大格局和各司其职、协调联动、密切配合的大综治工作格局。2024年获评“枫桥式工作法”先进集体，各项重宾接待任务、旅发大会现场观摩、特护期期间实现了“零非访、零进京”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生态环保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巩固提升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以严标准打好蓝天、碧水、净土保卫战。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一是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2024年实现零森林火灾发生。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二是加强土地审批巡逻，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镇村干部完善土地动态巡逻体系，加大动态巡逻力度。严格落实动态巡查登记制度，今年共巡查75余次，发现制止违法、违规用地4起。查处违规建房5处、处理宅基纠纷7起。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三是整治违法建筑，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以“严控增量、消除存量”为目标，查看违法建设现场86余处，现场纠违81起，立案查处审批程序内违法建设案件5件，立案行政处罚5起，依法依规行政处罚金额合计27806.05元。查处违法建筑6处，拆除总面积423平方米。全年参与农村建房选址、审批39户。宣传动员全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68户民宿办理营业执照。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3.不断优化旅游环境与公共服务。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2024年开展专项整治16余次，处理投诉案件71余件，查处上路拦车、店外喊客、跟客缠客行为601起，查处流动叫卖、占道经营172起，对门店进行停业整顿6户，配合相关职能部门对26户环保香铺面进行整改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围绕南岳里景区周边公共区域，安排镇村干部值班累计500余人次，开展人流引导、交通劝导、流动摊贩管理、信访维稳等工作，确保项目周边环境安全有序。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firstLine="643" w:firstLineChars="200"/>
        <w:textAlignment w:val="auto"/>
        <w:rPr>
          <w:rFonts w:ascii="仿宋" w:hAnsi="仿宋" w:eastAsia="仿宋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一是推动高质量发展有欠缺。</w:t>
      </w:r>
      <w:r>
        <w:rPr>
          <w:rFonts w:hint="eastAsia" w:ascii="仿宋" w:hAnsi="仿宋" w:eastAsia="仿宋"/>
          <w:sz w:val="32"/>
          <w:szCs w:val="32"/>
        </w:rPr>
        <w:t>目前我镇“产业经济”亮点不够，我镇经济结构不尽合理，依靠景区发展二销产业不够，部分村（社区）集体经济实力不强，经济发展思路比较单一。</w:t>
      </w:r>
      <w:r>
        <w:rPr>
          <w:rFonts w:hint="eastAsia" w:ascii="楷体" w:hAnsi="楷体" w:eastAsia="楷体"/>
          <w:b/>
          <w:bCs/>
          <w:sz w:val="32"/>
          <w:szCs w:val="32"/>
        </w:rPr>
        <w:t>二是项目建设环境不够优化。</w:t>
      </w:r>
      <w:r>
        <w:rPr>
          <w:rFonts w:hint="eastAsia" w:ascii="仿宋" w:hAnsi="仿宋" w:eastAsia="仿宋"/>
          <w:sz w:val="32"/>
          <w:szCs w:val="32"/>
        </w:rPr>
        <w:t>项目征拆是项目建设的基础，由于南岳镇项目众多，个别项目跨度时间长，产生的项目历史遗留问题很多，存在拆迁安置费用要价过高、阻工和上访现象，导致项目推进、征地、拆迁工作进度较慢。</w:t>
      </w:r>
      <w:r>
        <w:rPr>
          <w:rFonts w:hint="eastAsia" w:ascii="楷体" w:hAnsi="楷体" w:eastAsia="楷体"/>
          <w:b/>
          <w:bCs/>
          <w:sz w:val="32"/>
          <w:szCs w:val="32"/>
        </w:rPr>
        <w:t>三是城乡管理不够精细有效。</w:t>
      </w:r>
      <w:r>
        <w:rPr>
          <w:rFonts w:hint="eastAsia" w:ascii="仿宋" w:hAnsi="仿宋" w:eastAsia="仿宋"/>
          <w:sz w:val="32"/>
          <w:szCs w:val="32"/>
        </w:rPr>
        <w:t>我镇抓旅游发展环境手段不够硬、效果不够好，虽然目前城管执法力量下放到乡镇一级，但相关职能承接不够到位，存在旅游发展环境不够优化。背街小巷市政维护、爱国卫生工作、美丽乡村建设、综合行政执法和创建文明城市工作未主动履职或履职较慢、不到位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下一步改进措施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（一）一以贯之坚持党建引领。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以深化党建业务融合为导向，创新党建载体，持续推进“六联共建”党建品牌打造。深化党建引领产业发展、乡村振兴、基层治理，让党建引力转化为发展动力，加大村（社区）两委干部队伍培养和软弱涣散基层党组织整顿力度，大力扶持发展村级集体经济和党员群众创业致富。加快南岳镇新质生产力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（二）厚植优势推动文旅发展。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围绕“服务南岳文化旅游发展”为核心，全面厘清“文旅兴城”思路，全面夯实“文旅兴城”基础，全面强化“文旅兴城”保障。深度挖掘南岳镇宝藏历史文化资源，结合当下现代旅游的多样需求，精心打造南岳里、衡阳1944等独具特色的文化旅游景点，同时大力支持当地民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、旅拍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等旅游服务业态进行升级改造，着力培育新村村民宿集群项目等乡村旅游示范点这样的优质项目，提升南岳旅游知名度。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（三）埋头苦干落实项目建设。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始终将项目建设作为经济发展第一位，深入细致地排查各项目遗留问题，通过统筹协调，稳妥且积极地处理这些历史疑难题。紧紧围绕区委、政府重点项目的关键要点，加快天子山北路项目的征地拆迁工作进度，以及南部新城（含南岳智能停车场及文旅综合体）项目的征拆扫尾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推动安置区建设，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确保项目顺利推进。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（四）全心全意增进民生福祉。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进一步加强对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南岳镇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养老保险、医疗保险、失业保险、工伤保险、生育保险等各类社会保险的征缴与管理工作，扎实推进城乡低保、特困供养、社会救助等各项政策的全面落实工作，加大对残疾人、妇女儿童、特殊困难老人等重点群体的关心与关爱力度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（五）凝心聚力筑牢平安防线。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强化安全生产责任的严格落实，进一步健全完善安全生产责任制，做到责任到人。持续抓好综治和信访维稳工作，积极推广新时代 “枫桥经验”，完善人民调解、司法调解、行政调解联动工作机制，聚焦矛盾纠纷多发领域，加强矛盾纠纷排查化解，建立健全相关机制，主动下访解决群众疑难问题，真正成为群众的知心人。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3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（六）坚定不移抓好工作作风。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坚持全面从严治党，持续扎实落实中央八项规定精神，加大教育宣传、廉政谈话及综合监督检查的力度与广度，增强干部职工的纪法与规矩意识，树立红线底线思维，构筑起拒腐防变的 “防火墙”，不断强化作风建设。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九、其他需要说明的情况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某单位（盖章）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2025年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560" w:firstLineChars="200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3" w:lineRule="auto"/>
      <w:ind w:left="401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5"/>
        <w:sz w:val="32"/>
        <w:szCs w:val="32"/>
      </w:rPr>
      <w:t>27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75C7F5"/>
    <w:multiLevelType w:val="singleLevel"/>
    <w:tmpl w:val="9D75C7F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D5F0174"/>
    <w:multiLevelType w:val="singleLevel"/>
    <w:tmpl w:val="AD5F01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76C3791"/>
    <w:multiLevelType w:val="multilevel"/>
    <w:tmpl w:val="176C3791"/>
    <w:lvl w:ilvl="0" w:tentative="0">
      <w:start w:val="4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26434AE6"/>
    <w:multiLevelType w:val="singleLevel"/>
    <w:tmpl w:val="26434AE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ZjNjNDRlMjZlZDYzZmE5MWExZjA0ZTk4ODJmNjAifQ=="/>
  </w:docVars>
  <w:rsids>
    <w:rsidRoot w:val="100923C0"/>
    <w:rsid w:val="100923C0"/>
    <w:rsid w:val="293B781A"/>
    <w:rsid w:val="360054A4"/>
    <w:rsid w:val="4CDB0356"/>
    <w:rsid w:val="56C7506B"/>
    <w:rsid w:val="6094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8">
    <w:name w:val="_Style 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5268</Words>
  <Characters>5475</Characters>
  <Lines>0</Lines>
  <Paragraphs>0</Paragraphs>
  <TotalTime>5</TotalTime>
  <ScaleCrop>false</ScaleCrop>
  <LinksUpToDate>false</LinksUpToDate>
  <CharactersWithSpaces>5484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2025-06-28T05:55:00Z</dcterms:created>
  <dc:creator>嘎嘎蕾Gagalei</dc:creator>
  <cp:lastModifiedBy>倩倩</cp:lastModifiedBy>
  <dcterms:modified xsi:type="dcterms:W3CDTF">2025-06-30T07:38:42Z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209DED7AE2DD4760A4CFEC63007BB369_13</vt:lpwstr>
  </property>
  <property fmtid="{D5CDD505-2E9C-101B-9397-08002B2CF9AE}" pid="4" name="KSOTemplateDocerSaveRecord">
    <vt:lpwstr>eyJoZGlkIjoiMTBmYzUzODQ4MTFjZDQ5NGI4MTUxNzBlY2IzYTMxZTciLCJ1c2VySWQiOiIyNzE3MTM3MjcifQ==</vt:lpwstr>
  </property>
</Properties>
</file>