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1BA08">
      <w:pPr>
        <w:spacing w:line="600" w:lineRule="exact"/>
        <w:jc w:val="center"/>
        <w:rPr>
          <w:rFonts w:hint="eastAsia" w:ascii="Times New Roman" w:hAnsi="Times New Roman" w:eastAsia="方正小标宋简体"/>
          <w:kern w:val="2"/>
          <w:sz w:val="44"/>
          <w:szCs w:val="44"/>
        </w:rPr>
      </w:pPr>
      <w:r>
        <w:rPr>
          <w:rFonts w:ascii="Times New Roman" w:hAnsi="Times New Roman" w:eastAsia="方正小标宋简体"/>
          <w:kern w:val="2"/>
          <w:sz w:val="44"/>
          <w:szCs w:val="44"/>
        </w:rPr>
        <w:t>南岳区</w:t>
      </w:r>
      <w:r>
        <w:rPr>
          <w:rFonts w:hint="eastAsia" w:ascii="Times New Roman" w:hAnsi="Times New Roman" w:eastAsia="方正小标宋简体"/>
          <w:kern w:val="2"/>
          <w:sz w:val="44"/>
          <w:szCs w:val="44"/>
          <w:lang w:eastAsia="zh-CN"/>
        </w:rPr>
        <w:t>金融事务中心</w:t>
      </w:r>
      <w:r>
        <w:rPr>
          <w:rFonts w:ascii="Times New Roman" w:hAnsi="Times New Roman" w:eastAsia="方正小标宋简体"/>
          <w:kern w:val="2"/>
          <w:sz w:val="44"/>
          <w:szCs w:val="44"/>
        </w:rPr>
        <w:t>2</w:t>
      </w:r>
      <w:r>
        <w:rPr>
          <w:rFonts w:hint="eastAsia" w:ascii="Times New Roman" w:hAnsi="Times New Roman" w:eastAsia="方正小标宋简体"/>
          <w:kern w:val="2"/>
          <w:sz w:val="44"/>
          <w:szCs w:val="44"/>
        </w:rPr>
        <w:t>024年</w:t>
      </w:r>
    </w:p>
    <w:p w14:paraId="709879A0">
      <w:pPr>
        <w:spacing w:line="600" w:lineRule="exact"/>
        <w:jc w:val="center"/>
        <w:rPr>
          <w:rFonts w:ascii="Times New Roman" w:hAnsi="Times New Roman" w:eastAsia="方正小标宋简体"/>
          <w:kern w:val="2"/>
          <w:sz w:val="44"/>
          <w:szCs w:val="44"/>
        </w:rPr>
      </w:pPr>
      <w:r>
        <w:rPr>
          <w:rFonts w:hint="eastAsia" w:ascii="Times New Roman" w:hAnsi="Times New Roman" w:eastAsia="方正小标宋简体"/>
          <w:kern w:val="2"/>
          <w:sz w:val="44"/>
          <w:szCs w:val="44"/>
        </w:rPr>
        <w:t>部门</w:t>
      </w:r>
      <w:r>
        <w:rPr>
          <w:rFonts w:ascii="Times New Roman" w:hAnsi="Times New Roman" w:eastAsia="方正小标宋简体"/>
          <w:kern w:val="2"/>
          <w:sz w:val="44"/>
          <w:szCs w:val="44"/>
        </w:rPr>
        <w:t>专项资金绩效自评报告</w:t>
      </w:r>
    </w:p>
    <w:p w14:paraId="0E59BA33">
      <w:pPr>
        <w:pStyle w:val="5"/>
        <w:widowControl/>
        <w:rPr>
          <w:rFonts w:ascii="仿宋" w:hAnsi="仿宋" w:eastAsia="仿宋" w:cs="仿宋"/>
          <w:color w:val="000000" w:themeColor="text1"/>
          <w:sz w:val="32"/>
          <w:szCs w:val="32"/>
        </w:rPr>
      </w:pPr>
      <w:r>
        <w:rPr>
          <w:rFonts w:ascii="Times New Roman" w:hAnsi="Times New Roman"/>
          <w:sz w:val="32"/>
          <w:szCs w:val="32"/>
        </w:rPr>
        <w:t>   </w:t>
      </w:r>
      <w:r>
        <w:rPr>
          <w:rFonts w:hint="eastAsia" w:ascii="仿宋" w:hAnsi="仿宋" w:eastAsia="仿宋" w:cs="仿宋"/>
          <w:color w:val="000000" w:themeColor="text1"/>
          <w:sz w:val="32"/>
          <w:szCs w:val="32"/>
        </w:rPr>
        <w:t>根据省财政厅预算绩效管理的最新要求以</w:t>
      </w:r>
      <w:r>
        <w:rPr>
          <w:rFonts w:ascii="仿宋" w:hAnsi="仿宋" w:eastAsia="仿宋" w:cs="仿宋"/>
          <w:color w:val="000000" w:themeColor="text1"/>
          <w:sz w:val="32"/>
          <w:szCs w:val="32"/>
        </w:rPr>
        <w:t>及</w:t>
      </w:r>
      <w:r>
        <w:rPr>
          <w:rFonts w:hint="eastAsia" w:ascii="仿宋" w:hAnsi="仿宋" w:eastAsia="仿宋" w:cs="仿宋"/>
          <w:color w:val="000000" w:themeColor="text1"/>
          <w:sz w:val="32"/>
          <w:szCs w:val="32"/>
        </w:rPr>
        <w:t>区财政局</w:t>
      </w:r>
      <w:r>
        <w:rPr>
          <w:rFonts w:ascii="仿宋" w:hAnsi="仿宋" w:eastAsia="仿宋" w:cs="仿宋"/>
          <w:color w:val="000000" w:themeColor="text1"/>
          <w:sz w:val="32"/>
          <w:szCs w:val="32"/>
        </w:rPr>
        <w:t>相关文件精神，在</w:t>
      </w:r>
      <w:r>
        <w:rPr>
          <w:rFonts w:hint="eastAsia" w:ascii="仿宋" w:hAnsi="仿宋" w:eastAsia="仿宋" w:cs="仿宋"/>
          <w:color w:val="000000" w:themeColor="text1"/>
          <w:sz w:val="32"/>
          <w:szCs w:val="32"/>
        </w:rPr>
        <w:t>区</w:t>
      </w:r>
      <w:r>
        <w:rPr>
          <w:rFonts w:ascii="仿宋" w:hAnsi="仿宋" w:eastAsia="仿宋" w:cs="仿宋"/>
          <w:color w:val="000000" w:themeColor="text1"/>
          <w:sz w:val="32"/>
          <w:szCs w:val="32"/>
        </w:rPr>
        <w:t>财政局的指导下，我单位组织专人对202</w:t>
      </w:r>
      <w:r>
        <w:rPr>
          <w:rFonts w:hint="eastAsia" w:ascii="仿宋" w:hAnsi="仿宋" w:eastAsia="仿宋" w:cs="仿宋"/>
          <w:color w:val="000000" w:themeColor="text1"/>
          <w:sz w:val="32"/>
          <w:szCs w:val="32"/>
          <w:lang w:val="en-US" w:eastAsia="zh-CN"/>
        </w:rPr>
        <w:t>4</w:t>
      </w:r>
      <w:r>
        <w:rPr>
          <w:rFonts w:ascii="仿宋" w:hAnsi="仿宋" w:eastAsia="仿宋" w:cs="仿宋"/>
          <w:color w:val="000000" w:themeColor="text1"/>
          <w:sz w:val="32"/>
          <w:szCs w:val="32"/>
        </w:rPr>
        <w:t>年专项资金绩效情况进行了自评工作，现将专项资金自评情况报告如下：</w:t>
      </w:r>
    </w:p>
    <w:p w14:paraId="45C98BAF">
      <w:p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一、绩效目标解下达情况</w:t>
      </w:r>
    </w:p>
    <w:p w14:paraId="731B8037">
      <w:pPr>
        <w:spacing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1.</w:t>
      </w:r>
      <w:r>
        <w:rPr>
          <w:rFonts w:hint="eastAsia" w:ascii="Times New Roman" w:hAnsi="Times New Roman" w:eastAsia="仿宋"/>
          <w:kern w:val="2"/>
          <w:sz w:val="32"/>
          <w:szCs w:val="32"/>
        </w:rPr>
        <w:t>部门</w:t>
      </w:r>
      <w:r>
        <w:rPr>
          <w:rFonts w:ascii="Times New Roman" w:hAnsi="Times New Roman" w:eastAsia="仿宋"/>
          <w:kern w:val="2"/>
          <w:sz w:val="32"/>
          <w:szCs w:val="32"/>
        </w:rPr>
        <w:t>专项资金下达预算及项目情况。</w:t>
      </w:r>
    </w:p>
    <w:p w14:paraId="121D4B87">
      <w:pPr>
        <w:spacing w:line="600" w:lineRule="exact"/>
        <w:ind w:firstLine="640" w:firstLineChars="200"/>
        <w:rPr>
          <w:rFonts w:hint="eastAsia" w:ascii="Times New Roman" w:hAnsi="Times New Roman" w:eastAsia="仿宋_GB2312"/>
          <w:kern w:val="2"/>
          <w:sz w:val="32"/>
          <w:szCs w:val="32"/>
          <w:lang w:val="en-US" w:eastAsia="zh-CN"/>
        </w:rPr>
      </w:pPr>
      <w:r>
        <w:rPr>
          <w:rFonts w:hint="eastAsia" w:ascii="仿宋" w:hAnsi="仿宋" w:eastAsia="仿宋" w:cs="仿宋"/>
          <w:color w:val="000000" w:themeColor="text1"/>
          <w:sz w:val="32"/>
          <w:szCs w:val="32"/>
        </w:rPr>
        <w:t>根据南岳区财政局财预A〔2024〕0003号文件</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202</w:t>
      </w:r>
      <w:r>
        <w:rPr>
          <w:rFonts w:hint="eastAsia" w:eastAsia="仿宋" w:cs="仿宋"/>
          <w:color w:val="000000" w:themeColor="text1"/>
          <w:sz w:val="32"/>
          <w:szCs w:val="32"/>
          <w:lang w:val="en-US" w:eastAsia="zh-CN"/>
        </w:rPr>
        <w:t>4</w:t>
      </w:r>
      <w:r>
        <w:rPr>
          <w:rFonts w:hint="eastAsia" w:ascii="仿宋" w:hAnsi="仿宋" w:eastAsia="仿宋" w:cs="仿宋"/>
          <w:color w:val="000000" w:themeColor="text1"/>
          <w:sz w:val="32"/>
          <w:szCs w:val="32"/>
        </w:rPr>
        <w:t>年部门专项经费</w:t>
      </w:r>
      <w:r>
        <w:rPr>
          <w:rFonts w:hint="eastAsia" w:eastAsia="仿宋" w:cs="仿宋"/>
          <w:color w:val="000000" w:themeColor="text1"/>
          <w:sz w:val="32"/>
          <w:szCs w:val="32"/>
          <w:lang w:val="en-US" w:eastAsia="zh-CN"/>
        </w:rPr>
        <w:t>15</w:t>
      </w:r>
      <w:r>
        <w:rPr>
          <w:rFonts w:hint="eastAsia" w:ascii="仿宋" w:hAnsi="仿宋" w:eastAsia="仿宋" w:cs="仿宋"/>
          <w:color w:val="000000" w:themeColor="text1"/>
          <w:sz w:val="32"/>
          <w:szCs w:val="32"/>
        </w:rPr>
        <w:t>万元</w:t>
      </w:r>
      <w:r>
        <w:rPr>
          <w:rFonts w:hint="eastAsia" w:eastAsia="仿宋" w:cs="仿宋"/>
          <w:color w:val="000000" w:themeColor="text1"/>
          <w:sz w:val="32"/>
          <w:szCs w:val="32"/>
          <w:lang w:eastAsia="zh-CN"/>
        </w:rPr>
        <w:t>。</w:t>
      </w:r>
    </w:p>
    <w:p w14:paraId="223E3D8E">
      <w:pPr>
        <w:numPr>
          <w:ilvl w:val="0"/>
          <w:numId w:val="0"/>
        </w:numPr>
        <w:spacing w:line="600" w:lineRule="exact"/>
        <w:ind w:firstLine="640" w:firstLineChars="200"/>
        <w:rPr>
          <w:rFonts w:ascii="Times New Roman" w:hAnsi="Times New Roman" w:eastAsia="仿宋"/>
          <w:kern w:val="2"/>
          <w:sz w:val="32"/>
          <w:szCs w:val="32"/>
        </w:rPr>
      </w:pPr>
      <w:r>
        <w:rPr>
          <w:rFonts w:hint="eastAsia" w:ascii="Times New Roman" w:hAnsi="Times New Roman" w:eastAsia="仿宋"/>
          <w:kern w:val="2"/>
          <w:sz w:val="32"/>
          <w:szCs w:val="32"/>
          <w:lang w:val="en-US" w:eastAsia="zh-CN"/>
        </w:rPr>
        <w:t>2.</w:t>
      </w:r>
      <w:r>
        <w:rPr>
          <w:rFonts w:hint="eastAsia" w:ascii="Times New Roman" w:hAnsi="Times New Roman" w:eastAsia="仿宋"/>
          <w:kern w:val="2"/>
          <w:sz w:val="32"/>
          <w:szCs w:val="32"/>
        </w:rPr>
        <w:t>部门</w:t>
      </w:r>
      <w:r>
        <w:rPr>
          <w:rFonts w:ascii="Times New Roman" w:hAnsi="Times New Roman" w:eastAsia="仿宋"/>
          <w:kern w:val="2"/>
          <w:sz w:val="32"/>
          <w:szCs w:val="32"/>
        </w:rPr>
        <w:t>专项资金项目绩效目标设定情况。</w:t>
      </w:r>
    </w:p>
    <w:p w14:paraId="67C247AC">
      <w:pPr>
        <w:spacing w:line="600" w:lineRule="exact"/>
        <w:ind w:firstLine="640" w:firstLineChars="200"/>
        <w:rPr>
          <w:rFonts w:hint="eastAsia" w:ascii="Calibri" w:hAnsi="Calibri" w:eastAsia="仿宋_GB2312" w:cs="Times New Roman"/>
          <w:sz w:val="32"/>
          <w:szCs w:val="32"/>
          <w:lang w:val="en-US" w:eastAsia="zh-CN"/>
        </w:rPr>
      </w:pPr>
      <w:r>
        <w:rPr>
          <w:rFonts w:hint="eastAsia" w:eastAsia="仿宋" w:cs="仿宋"/>
          <w:color w:val="000000" w:themeColor="text1"/>
          <w:sz w:val="32"/>
          <w:szCs w:val="32"/>
          <w:lang w:eastAsia="zh-CN"/>
        </w:rPr>
        <w:t>该项目</w:t>
      </w:r>
      <w:r>
        <w:rPr>
          <w:rFonts w:hint="eastAsia" w:ascii="仿宋_GB2312" w:hAnsi="仿宋_GB2312" w:eastAsia="仿宋_GB2312" w:cs="仿宋_GB2312"/>
          <w:bCs/>
          <w:sz w:val="32"/>
          <w:szCs w:val="32"/>
        </w:rPr>
        <w:t>主要用于</w:t>
      </w:r>
      <w:r>
        <w:rPr>
          <w:rFonts w:ascii="Calibri" w:hAnsi="Calibri" w:eastAsia="仿宋_GB2312" w:cs="Times New Roman"/>
          <w:sz w:val="32"/>
          <w:szCs w:val="32"/>
        </w:rPr>
        <w:t>打非各类宣传活动、流动车宣传、打非知识手册制作、打非培训工作等</w:t>
      </w:r>
      <w:r>
        <w:rPr>
          <w:rFonts w:hint="eastAsia" w:ascii="Calibri" w:hAnsi="Calibri" w:eastAsia="仿宋_GB2312" w:cs="Times New Roman"/>
          <w:sz w:val="32"/>
          <w:szCs w:val="32"/>
          <w:lang w:eastAsia="zh-CN"/>
        </w:rPr>
        <w:t>。</w:t>
      </w:r>
    </w:p>
    <w:p w14:paraId="25DA8129">
      <w:p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二、绩效自评工作开展情况</w:t>
      </w:r>
    </w:p>
    <w:p w14:paraId="01086C3D">
      <w:pPr>
        <w:ind w:firstLine="640" w:firstLineChars="200"/>
        <w:jc w:val="left"/>
        <w:rPr>
          <w:rFonts w:ascii="仿宋" w:hAnsi="仿宋" w:eastAsia="仿宋" w:cs="仿宋"/>
          <w:sz w:val="32"/>
          <w:szCs w:val="32"/>
        </w:rPr>
      </w:pPr>
      <w:r>
        <w:rPr>
          <w:rFonts w:hint="eastAsia" w:ascii="仿宋" w:hAnsi="仿宋" w:eastAsia="仿宋" w:cs="仿宋"/>
          <w:sz w:val="32"/>
          <w:szCs w:val="32"/>
        </w:rPr>
        <w:t>202</w:t>
      </w:r>
      <w:r>
        <w:rPr>
          <w:rFonts w:hint="eastAsia" w:eastAsia="仿宋" w:cs="仿宋"/>
          <w:sz w:val="32"/>
          <w:szCs w:val="32"/>
          <w:lang w:val="en-US" w:eastAsia="zh-CN"/>
        </w:rPr>
        <w:t>4</w:t>
      </w:r>
      <w:r>
        <w:rPr>
          <w:rFonts w:hint="eastAsia" w:ascii="仿宋" w:hAnsi="仿宋" w:eastAsia="仿宋" w:cs="仿宋"/>
          <w:sz w:val="32"/>
          <w:szCs w:val="32"/>
        </w:rPr>
        <w:t>年，我单位认真</w:t>
      </w:r>
      <w:r>
        <w:rPr>
          <w:rFonts w:hint="eastAsia" w:ascii="仿宋" w:hAnsi="仿宋" w:eastAsia="仿宋" w:cs="仿宋"/>
          <w:color w:val="000000" w:themeColor="text1"/>
          <w:sz w:val="32"/>
          <w:szCs w:val="32"/>
        </w:rPr>
        <w:t>积极履职，强化管理</w:t>
      </w:r>
      <w:r>
        <w:rPr>
          <w:rFonts w:hint="eastAsia" w:ascii="仿宋" w:hAnsi="仿宋" w:eastAsia="仿宋" w:cs="仿宋"/>
          <w:sz w:val="32"/>
          <w:szCs w:val="32"/>
        </w:rPr>
        <w:t>，较好的完成了年度工作目标</w:t>
      </w:r>
      <w:r>
        <w:rPr>
          <w:rFonts w:hint="eastAsia" w:eastAsia="仿宋" w:cs="仿宋"/>
          <w:sz w:val="32"/>
          <w:szCs w:val="32"/>
          <w:lang w:eastAsia="zh-CN"/>
        </w:rPr>
        <w:t>。</w:t>
      </w:r>
      <w:r>
        <w:rPr>
          <w:rFonts w:hint="eastAsia" w:ascii="仿宋" w:hAnsi="仿宋" w:eastAsia="仿宋" w:cs="仿宋"/>
          <w:sz w:val="32"/>
          <w:szCs w:val="32"/>
        </w:rPr>
        <w:t>紧紧围绕</w:t>
      </w:r>
      <w:r>
        <w:rPr>
          <w:rFonts w:ascii="Calibri" w:hAnsi="Calibri" w:eastAsia="仿宋_GB2312" w:cs="Times New Roman"/>
          <w:sz w:val="32"/>
          <w:szCs w:val="32"/>
        </w:rPr>
        <w:t>查处和打击非法金融机构和</w:t>
      </w:r>
      <w:bookmarkStart w:id="0" w:name="_GoBack"/>
      <w:bookmarkEnd w:id="0"/>
      <w:r>
        <w:rPr>
          <w:rFonts w:ascii="Calibri" w:hAnsi="Calibri" w:eastAsia="仿宋_GB2312" w:cs="Times New Roman"/>
          <w:sz w:val="32"/>
          <w:szCs w:val="32"/>
        </w:rPr>
        <w:t>非法金融业务活动相关事务</w:t>
      </w:r>
      <w:r>
        <w:rPr>
          <w:rFonts w:hint="eastAsia" w:ascii="仿宋" w:hAnsi="仿宋" w:eastAsia="仿宋" w:cs="仿宋"/>
          <w:sz w:val="32"/>
          <w:szCs w:val="32"/>
        </w:rPr>
        <w:t>，有计划有步骤地开展了一系列建设工作。</w:t>
      </w:r>
    </w:p>
    <w:p w14:paraId="113D0F49">
      <w:p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1、不断提高金融质效。</w:t>
      </w:r>
    </w:p>
    <w:p w14:paraId="0AB2F96A">
      <w:pPr>
        <w:numPr>
          <w:ilvl w:val="0"/>
          <w:numId w:val="1"/>
        </w:numPr>
        <w:ind w:firstLine="640" w:firstLineChars="200"/>
        <w:jc w:val="left"/>
        <w:rPr>
          <w:rFonts w:ascii="仿宋" w:hAnsi="仿宋" w:eastAsia="仿宋" w:cs="仿宋"/>
          <w:color w:val="auto"/>
          <w:sz w:val="32"/>
          <w:szCs w:val="32"/>
        </w:rPr>
      </w:pPr>
      <w:r>
        <w:rPr>
          <w:rFonts w:hint="eastAsia" w:ascii="仿宋" w:hAnsi="仿宋" w:eastAsia="仿宋" w:cs="仿宋"/>
          <w:color w:val="auto"/>
          <w:sz w:val="32"/>
          <w:szCs w:val="32"/>
        </w:rPr>
        <w:t>重点防控金融风险。</w:t>
      </w:r>
      <w:r>
        <w:rPr>
          <w:rFonts w:hint="eastAsia" w:eastAsia="仿宋" w:cs="仿宋"/>
          <w:color w:val="auto"/>
          <w:sz w:val="32"/>
          <w:szCs w:val="32"/>
          <w:lang w:eastAsia="zh-CN"/>
        </w:rPr>
        <w:t>全年</w:t>
      </w:r>
      <w:r>
        <w:rPr>
          <w:rFonts w:hint="eastAsia" w:ascii="仿宋" w:hAnsi="仿宋" w:eastAsia="仿宋" w:cs="仿宋"/>
          <w:color w:val="auto"/>
          <w:sz w:val="32"/>
          <w:szCs w:val="32"/>
        </w:rPr>
        <w:t>互联网金融风险排查整治次数</w:t>
      </w:r>
      <w:r>
        <w:rPr>
          <w:rFonts w:hint="eastAsia" w:eastAsia="仿宋" w:cs="仿宋"/>
          <w:color w:val="auto"/>
          <w:sz w:val="32"/>
          <w:szCs w:val="32"/>
          <w:lang w:val="en-US" w:eastAsia="zh-CN"/>
        </w:rPr>
        <w:t>4次。</w:t>
      </w:r>
    </w:p>
    <w:p w14:paraId="1CA021A0">
      <w:pPr>
        <w:numPr>
          <w:ilvl w:val="0"/>
          <w:numId w:val="0"/>
        </w:numPr>
        <w:jc w:val="left"/>
        <w:rPr>
          <w:rFonts w:ascii="仿宋" w:hAnsi="仿宋" w:eastAsia="仿宋" w:cs="仿宋"/>
          <w:color w:val="auto"/>
          <w:sz w:val="32"/>
          <w:szCs w:val="32"/>
        </w:rPr>
      </w:pPr>
    </w:p>
    <w:p w14:paraId="02EE91AE">
      <w:pPr>
        <w:numPr>
          <w:ilvl w:val="0"/>
          <w:numId w:val="1"/>
        </w:numPr>
        <w:ind w:firstLine="640" w:firstLineChars="200"/>
        <w:jc w:val="left"/>
        <w:rPr>
          <w:rFonts w:ascii="仿宋" w:hAnsi="仿宋" w:eastAsia="仿宋" w:cs="仿宋"/>
          <w:color w:val="auto"/>
          <w:sz w:val="32"/>
          <w:szCs w:val="32"/>
        </w:rPr>
      </w:pPr>
      <w:r>
        <w:rPr>
          <w:rFonts w:ascii="仿宋" w:hAnsi="仿宋" w:eastAsia="仿宋" w:cs="仿宋"/>
          <w:color w:val="auto"/>
          <w:sz w:val="32"/>
          <w:szCs w:val="32"/>
        </w:rPr>
        <w:t>严厉打击非法集资</w:t>
      </w:r>
      <w:r>
        <w:rPr>
          <w:rFonts w:hint="eastAsia" w:ascii="仿宋" w:hAnsi="仿宋" w:eastAsia="仿宋" w:cs="仿宋"/>
          <w:color w:val="auto"/>
          <w:sz w:val="32"/>
          <w:szCs w:val="32"/>
        </w:rPr>
        <w:t>。防范和处置非法集资宣传经知晓人数</w:t>
      </w:r>
      <w:r>
        <w:rPr>
          <w:rFonts w:hint="eastAsia" w:eastAsia="仿宋" w:cs="仿宋"/>
          <w:color w:val="auto"/>
          <w:sz w:val="32"/>
          <w:szCs w:val="32"/>
          <w:lang w:val="en-US" w:eastAsia="zh-CN"/>
        </w:rPr>
        <w:t>10万人以上。</w:t>
      </w:r>
    </w:p>
    <w:p w14:paraId="1C8A90BC">
      <w:pPr>
        <w:numPr>
          <w:ilvl w:val="0"/>
          <w:numId w:val="1"/>
        </w:numPr>
        <w:ind w:firstLine="640" w:firstLineChars="200"/>
        <w:jc w:val="left"/>
        <w:rPr>
          <w:rFonts w:ascii="仿宋" w:hAnsi="仿宋" w:eastAsia="仿宋" w:cs="仿宋"/>
          <w:color w:val="0000FF"/>
          <w:sz w:val="32"/>
          <w:szCs w:val="32"/>
        </w:rPr>
      </w:pPr>
      <w:r>
        <w:rPr>
          <w:rFonts w:hint="eastAsia" w:ascii="仿宋" w:hAnsi="仿宋" w:eastAsia="仿宋" w:cs="仿宋"/>
          <w:color w:val="auto"/>
          <w:sz w:val="32"/>
          <w:szCs w:val="32"/>
        </w:rPr>
        <w:t>全区</w:t>
      </w:r>
      <w:r>
        <w:rPr>
          <w:rFonts w:ascii="仿宋" w:hAnsi="仿宋" w:eastAsia="仿宋" w:cs="仿宋"/>
          <w:color w:val="auto"/>
          <w:sz w:val="32"/>
          <w:szCs w:val="32"/>
        </w:rPr>
        <w:t>防范和处置非法集资宣传覆盖率</w:t>
      </w:r>
      <w:r>
        <w:rPr>
          <w:rFonts w:hint="eastAsia" w:ascii="仿宋" w:hAnsi="仿宋" w:eastAsia="仿宋" w:cs="仿宋"/>
          <w:color w:val="auto"/>
          <w:sz w:val="32"/>
          <w:szCs w:val="32"/>
        </w:rPr>
        <w:t>100%。</w:t>
      </w:r>
    </w:p>
    <w:p w14:paraId="2F4C275F">
      <w:pPr>
        <w:spacing w:line="600" w:lineRule="exact"/>
        <w:ind w:firstLine="640" w:firstLineChars="200"/>
        <w:rPr>
          <w:rFonts w:hint="eastAsia" w:ascii="Times New Roman" w:hAnsi="Times New Roman" w:eastAsia="仿宋"/>
          <w:color w:val="0000FF"/>
          <w:kern w:val="2"/>
          <w:sz w:val="32"/>
          <w:szCs w:val="32"/>
          <w:lang w:eastAsia="zh-CN"/>
        </w:rPr>
      </w:pPr>
    </w:p>
    <w:p w14:paraId="661FC22E">
      <w:p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三、绩效目标自评完成情况分析</w:t>
      </w:r>
    </w:p>
    <w:p w14:paraId="1A0F60DD">
      <w:pPr>
        <w:spacing w:line="600" w:lineRule="exact"/>
        <w:ind w:firstLine="643" w:firstLineChars="200"/>
        <w:rPr>
          <w:rFonts w:ascii="Times New Roman" w:hAnsi="Times New Roman" w:eastAsia="楷体"/>
          <w:b/>
          <w:bCs/>
          <w:kern w:val="2"/>
          <w:sz w:val="32"/>
          <w:szCs w:val="32"/>
        </w:rPr>
      </w:pPr>
      <w:r>
        <w:rPr>
          <w:rFonts w:ascii="Times New Roman" w:hAnsi="Times New Roman" w:eastAsia="楷体"/>
          <w:b/>
          <w:bCs/>
          <w:kern w:val="2"/>
          <w:sz w:val="32"/>
          <w:szCs w:val="32"/>
        </w:rPr>
        <w:t>（一）资金投入情况分析</w:t>
      </w:r>
    </w:p>
    <w:p w14:paraId="1FF74DC4">
      <w:pPr>
        <w:spacing w:line="600" w:lineRule="exact"/>
        <w:ind w:firstLine="640" w:firstLineChars="200"/>
        <w:rPr>
          <w:rFonts w:ascii="Times New Roman" w:hAnsi="Times New Roman" w:eastAsia="仿宋"/>
          <w:kern w:val="2"/>
          <w:sz w:val="32"/>
          <w:szCs w:val="32"/>
        </w:rPr>
      </w:pPr>
      <w:r>
        <w:rPr>
          <w:rFonts w:ascii="Times New Roman" w:hAnsi="Times New Roman" w:eastAsia="仿宋"/>
          <w:kern w:val="2"/>
          <w:sz w:val="32"/>
          <w:szCs w:val="32"/>
        </w:rPr>
        <w:t>1.项目资金到位情况分析。</w:t>
      </w:r>
      <w:r>
        <w:rPr>
          <w:rFonts w:hint="eastAsia" w:ascii="仿宋" w:hAnsi="仿宋" w:eastAsia="仿宋" w:cs="仿宋"/>
          <w:color w:val="000000" w:themeColor="text1"/>
          <w:sz w:val="32"/>
          <w:szCs w:val="32"/>
        </w:rPr>
        <w:t>202</w:t>
      </w:r>
      <w:r>
        <w:rPr>
          <w:rFonts w:hint="eastAsia" w:eastAsia="仿宋" w:cs="仿宋"/>
          <w:color w:val="000000" w:themeColor="text1"/>
          <w:sz w:val="32"/>
          <w:szCs w:val="32"/>
          <w:lang w:val="en-US" w:eastAsia="zh-CN"/>
        </w:rPr>
        <w:t>4</w:t>
      </w:r>
      <w:r>
        <w:rPr>
          <w:rFonts w:hint="eastAsia" w:ascii="仿宋" w:hAnsi="仿宋" w:eastAsia="仿宋" w:cs="仿宋"/>
          <w:color w:val="000000" w:themeColor="text1"/>
          <w:sz w:val="32"/>
          <w:szCs w:val="32"/>
        </w:rPr>
        <w:t>年部门专项经费</w:t>
      </w:r>
      <w:r>
        <w:rPr>
          <w:rFonts w:hint="eastAsia" w:eastAsia="仿宋" w:cs="仿宋"/>
          <w:color w:val="000000" w:themeColor="text1"/>
          <w:sz w:val="32"/>
          <w:szCs w:val="32"/>
          <w:lang w:val="en-US" w:eastAsia="zh-CN"/>
        </w:rPr>
        <w:t>15</w:t>
      </w:r>
      <w:r>
        <w:rPr>
          <w:rFonts w:hint="eastAsia" w:ascii="仿宋" w:hAnsi="仿宋" w:eastAsia="仿宋" w:cs="仿宋"/>
          <w:color w:val="000000" w:themeColor="text1"/>
          <w:sz w:val="32"/>
          <w:szCs w:val="32"/>
        </w:rPr>
        <w:t>万元，区级预算下拨</w:t>
      </w:r>
      <w:r>
        <w:rPr>
          <w:rFonts w:hint="eastAsia" w:eastAsia="仿宋" w:cs="仿宋"/>
          <w:color w:val="000000" w:themeColor="text1"/>
          <w:sz w:val="32"/>
          <w:szCs w:val="32"/>
          <w:lang w:val="en-US" w:eastAsia="zh-CN"/>
        </w:rPr>
        <w:t>15</w:t>
      </w:r>
      <w:r>
        <w:rPr>
          <w:rFonts w:hint="eastAsia" w:ascii="仿宋" w:hAnsi="仿宋" w:eastAsia="仿宋" w:cs="仿宋"/>
          <w:color w:val="000000" w:themeColor="text1"/>
          <w:sz w:val="32"/>
          <w:szCs w:val="32"/>
        </w:rPr>
        <w:t>万元，全部拨放到位。</w:t>
      </w:r>
    </w:p>
    <w:p w14:paraId="4D0621EE">
      <w:pPr>
        <w:spacing w:line="600" w:lineRule="exact"/>
        <w:ind w:firstLine="640" w:firstLineChars="200"/>
        <w:rPr>
          <w:rFonts w:hint="eastAsia" w:ascii="Times New Roman" w:hAnsi="Times New Roman" w:eastAsia="仿宋"/>
          <w:kern w:val="2"/>
          <w:sz w:val="32"/>
          <w:szCs w:val="32"/>
          <w:lang w:eastAsia="zh-CN"/>
        </w:rPr>
      </w:pPr>
      <w:r>
        <w:rPr>
          <w:rFonts w:ascii="Times New Roman" w:hAnsi="Times New Roman" w:eastAsia="仿宋"/>
          <w:kern w:val="2"/>
          <w:sz w:val="32"/>
          <w:szCs w:val="32"/>
        </w:rPr>
        <w:t>2.项目资金执行情况分析。</w:t>
      </w:r>
      <w:r>
        <w:rPr>
          <w:rFonts w:hint="eastAsia" w:ascii="仿宋" w:hAnsi="仿宋" w:eastAsia="仿宋" w:cs="仿宋"/>
          <w:color w:val="000000" w:themeColor="text1"/>
          <w:sz w:val="32"/>
          <w:szCs w:val="32"/>
        </w:rPr>
        <w:t>202</w:t>
      </w:r>
      <w:r>
        <w:rPr>
          <w:rFonts w:hint="eastAsia" w:eastAsia="仿宋" w:cs="仿宋"/>
          <w:color w:val="000000" w:themeColor="text1"/>
          <w:sz w:val="32"/>
          <w:szCs w:val="32"/>
          <w:lang w:val="en-US" w:eastAsia="zh-CN"/>
        </w:rPr>
        <w:t>4</w:t>
      </w:r>
      <w:r>
        <w:rPr>
          <w:rFonts w:hint="eastAsia" w:ascii="仿宋" w:hAnsi="仿宋" w:eastAsia="仿宋" w:cs="仿宋"/>
          <w:color w:val="000000" w:themeColor="text1"/>
          <w:sz w:val="32"/>
          <w:szCs w:val="32"/>
        </w:rPr>
        <w:t>年部门专项经费</w:t>
      </w:r>
      <w:r>
        <w:rPr>
          <w:rFonts w:hint="eastAsia" w:eastAsia="仿宋" w:cs="仿宋"/>
          <w:color w:val="000000" w:themeColor="text1"/>
          <w:sz w:val="32"/>
          <w:szCs w:val="32"/>
          <w:lang w:val="en-US" w:eastAsia="zh-CN"/>
        </w:rPr>
        <w:t>15</w:t>
      </w:r>
      <w:r>
        <w:rPr>
          <w:rFonts w:hint="eastAsia" w:ascii="仿宋" w:hAnsi="仿宋" w:eastAsia="仿宋" w:cs="仿宋"/>
          <w:color w:val="000000" w:themeColor="text1"/>
          <w:sz w:val="32"/>
          <w:szCs w:val="32"/>
        </w:rPr>
        <w:t>万元</w:t>
      </w:r>
      <w:r>
        <w:rPr>
          <w:rFonts w:hint="eastAsia" w:eastAsia="仿宋" w:cs="仿宋"/>
          <w:color w:val="000000" w:themeColor="text1"/>
          <w:sz w:val="32"/>
          <w:szCs w:val="32"/>
          <w:lang w:eastAsia="zh-CN"/>
        </w:rPr>
        <w:t>，</w:t>
      </w:r>
      <w:r>
        <w:rPr>
          <w:rFonts w:hint="eastAsia" w:ascii="仿宋" w:hAnsi="仿宋" w:eastAsia="仿宋" w:cs="仿宋"/>
          <w:color w:val="000000" w:themeColor="text1"/>
          <w:sz w:val="32"/>
          <w:szCs w:val="32"/>
        </w:rPr>
        <w:t>区级预算下拨</w:t>
      </w:r>
      <w:r>
        <w:rPr>
          <w:rFonts w:hint="eastAsia" w:eastAsia="仿宋" w:cs="仿宋"/>
          <w:color w:val="000000" w:themeColor="text1"/>
          <w:sz w:val="32"/>
          <w:szCs w:val="32"/>
          <w:lang w:val="en-US" w:eastAsia="zh-CN"/>
        </w:rPr>
        <w:t>15</w:t>
      </w:r>
      <w:r>
        <w:rPr>
          <w:rFonts w:hint="eastAsia" w:ascii="仿宋" w:hAnsi="仿宋" w:eastAsia="仿宋" w:cs="仿宋"/>
          <w:color w:val="000000" w:themeColor="text1"/>
          <w:sz w:val="32"/>
          <w:szCs w:val="32"/>
        </w:rPr>
        <w:t>万元</w:t>
      </w:r>
      <w:r>
        <w:rPr>
          <w:rFonts w:hint="eastAsia" w:eastAsia="仿宋" w:cs="仿宋"/>
          <w:color w:val="000000" w:themeColor="text1"/>
          <w:sz w:val="32"/>
          <w:szCs w:val="32"/>
          <w:lang w:eastAsia="zh-CN"/>
        </w:rPr>
        <w:t>，我单位实行专款专用，全部执行到位。</w:t>
      </w:r>
    </w:p>
    <w:p w14:paraId="09439821">
      <w:pPr>
        <w:numPr>
          <w:ilvl w:val="0"/>
          <w:numId w:val="0"/>
        </w:numPr>
        <w:spacing w:line="600" w:lineRule="exact"/>
        <w:ind w:firstLine="640" w:firstLineChars="200"/>
        <w:rPr>
          <w:color w:val="000000" w:themeColor="text1"/>
        </w:rPr>
      </w:pPr>
      <w:r>
        <w:rPr>
          <w:rFonts w:ascii="Times New Roman" w:hAnsi="Times New Roman" w:eastAsia="仿宋"/>
          <w:kern w:val="2"/>
          <w:sz w:val="32"/>
          <w:szCs w:val="32"/>
        </w:rPr>
        <w:t>3.项目资金管理情况分析。</w:t>
      </w:r>
      <w:r>
        <w:rPr>
          <w:rFonts w:hint="eastAsia" w:ascii="仿宋" w:hAnsi="仿宋" w:eastAsia="仿宋" w:cs="仿宋"/>
          <w:color w:val="000000" w:themeColor="text1"/>
          <w:sz w:val="32"/>
          <w:szCs w:val="32"/>
          <w:lang w:val="en-US" w:eastAsia="zh-CN"/>
        </w:rPr>
        <w:t>2024年部门专项业务资金</w:t>
      </w:r>
      <w:r>
        <w:rPr>
          <w:rFonts w:hint="eastAsia" w:ascii="仿宋" w:hAnsi="仿宋" w:eastAsia="仿宋" w:cs="仿宋"/>
          <w:color w:val="000000" w:themeColor="text1"/>
          <w:sz w:val="32"/>
          <w:szCs w:val="32"/>
        </w:rPr>
        <w:t>领导高度重视</w:t>
      </w:r>
      <w:r>
        <w:rPr>
          <w:rFonts w:hint="eastAsia" w:ascii="仿宋" w:hAnsi="仿宋" w:eastAsia="仿宋" w:cs="仿宋"/>
          <w:color w:val="000000" w:themeColor="text1"/>
          <w:sz w:val="32"/>
          <w:szCs w:val="32"/>
          <w:lang w:eastAsia="zh-CN"/>
        </w:rPr>
        <w:t>，</w:t>
      </w:r>
      <w:r>
        <w:rPr>
          <w:rFonts w:hint="eastAsia" w:ascii="仿宋" w:hAnsi="仿宋" w:eastAsia="仿宋" w:cs="仿宋"/>
          <w:color w:val="000000" w:themeColor="text1"/>
          <w:sz w:val="32"/>
          <w:szCs w:val="32"/>
        </w:rPr>
        <w:t>严格按照专项资金管理制度，实行专人专账管理，全部支付用于各专项项目，无截留、无占用、无挪用等情况。经常开展自查，随时监测资金使用动态及进度。</w:t>
      </w:r>
    </w:p>
    <w:p w14:paraId="34B65EFA">
      <w:pPr>
        <w:spacing w:line="600" w:lineRule="exact"/>
        <w:ind w:firstLine="643" w:firstLineChars="200"/>
        <w:rPr>
          <w:rFonts w:ascii="Times New Roman" w:hAnsi="Times New Roman" w:eastAsia="楷体"/>
          <w:b/>
          <w:bCs/>
          <w:kern w:val="2"/>
          <w:sz w:val="32"/>
          <w:szCs w:val="32"/>
        </w:rPr>
      </w:pPr>
      <w:r>
        <w:rPr>
          <w:rFonts w:ascii="Times New Roman" w:hAnsi="Times New Roman" w:eastAsia="楷体"/>
          <w:b/>
          <w:bCs/>
          <w:kern w:val="2"/>
          <w:sz w:val="32"/>
          <w:szCs w:val="32"/>
        </w:rPr>
        <w:t>（二）绩效目标完成情况分析</w:t>
      </w:r>
    </w:p>
    <w:p w14:paraId="0FB59708">
      <w:pPr>
        <w:numPr>
          <w:ilvl w:val="0"/>
          <w:numId w:val="0"/>
        </w:numPr>
        <w:spacing w:line="600" w:lineRule="exact"/>
        <w:ind w:firstLine="640" w:firstLineChars="200"/>
        <w:rPr>
          <w:rFonts w:ascii="Times New Roman" w:hAnsi="Times New Roman" w:eastAsia="仿宋"/>
          <w:kern w:val="2"/>
          <w:sz w:val="32"/>
          <w:szCs w:val="32"/>
        </w:rPr>
      </w:pPr>
      <w:r>
        <w:rPr>
          <w:rFonts w:hint="eastAsia" w:ascii="Times New Roman" w:hAnsi="Times New Roman" w:eastAsia="仿宋"/>
          <w:kern w:val="2"/>
          <w:sz w:val="32"/>
          <w:szCs w:val="32"/>
        </w:rPr>
        <w:t>对所有的预算支出决策、过程、产出等均建立完善的资金管理、资金使用等运行机制，确保资金使用效果好，充分发挥效益，资金使用合法合规。</w:t>
      </w:r>
      <w:r>
        <w:rPr>
          <w:rFonts w:ascii="仿宋" w:hAnsi="仿宋" w:eastAsia="仿宋" w:cs="仿宋"/>
          <w:color w:val="000000"/>
          <w:kern w:val="0"/>
          <w:sz w:val="32"/>
          <w:szCs w:val="32"/>
          <w:lang w:val="en-US" w:eastAsia="zh-CN" w:bidi="ar"/>
        </w:rPr>
        <w:t>从评价情况来看，预算配置指</w:t>
      </w:r>
      <w:r>
        <w:rPr>
          <w:rFonts w:hint="eastAsia" w:ascii="仿宋" w:hAnsi="仿宋" w:eastAsia="仿宋" w:cs="仿宋"/>
          <w:color w:val="000000"/>
          <w:kern w:val="0"/>
          <w:sz w:val="32"/>
          <w:szCs w:val="32"/>
          <w:lang w:val="en-US" w:eastAsia="zh-CN" w:bidi="ar"/>
        </w:rPr>
        <w:t>标、执行指标、管理指标、履职效益指标都完成的较好，全面完成绩效申报目标，及时处理协调工作中发现的问题，群众满意度提升。</w:t>
      </w:r>
    </w:p>
    <w:p w14:paraId="537D7CB4">
      <w:pPr>
        <w:ind w:firstLine="640" w:firstLineChars="200"/>
        <w:jc w:val="left"/>
        <w:rPr>
          <w:rFonts w:hint="eastAsia" w:ascii="Times New Roman" w:hAnsi="Times New Roman" w:eastAsia="仿宋"/>
          <w:kern w:val="2"/>
          <w:sz w:val="32"/>
          <w:szCs w:val="32"/>
          <w:lang w:val="en-US" w:eastAsia="zh-CN"/>
        </w:rPr>
      </w:pPr>
      <w:r>
        <w:rPr>
          <w:rFonts w:hint="eastAsia" w:ascii="Times New Roman" w:hAnsi="Times New Roman" w:eastAsia="仿宋"/>
          <w:kern w:val="2"/>
          <w:sz w:val="32"/>
          <w:szCs w:val="32"/>
        </w:rPr>
        <w:t>预算支出效益方面</w:t>
      </w:r>
      <w:r>
        <w:rPr>
          <w:rFonts w:hint="eastAsia" w:ascii="Times New Roman" w:hAnsi="Times New Roman" w:eastAsia="仿宋"/>
          <w:kern w:val="2"/>
          <w:sz w:val="32"/>
          <w:szCs w:val="32"/>
          <w:lang w:val="en-US" w:eastAsia="zh-CN"/>
        </w:rPr>
        <w:t>。</w:t>
      </w:r>
      <w:r>
        <w:rPr>
          <w:rFonts w:hint="eastAsia" w:ascii="仿宋" w:hAnsi="仿宋" w:eastAsia="仿宋"/>
          <w:color w:val="000000"/>
          <w:sz w:val="32"/>
          <w:szCs w:val="32"/>
        </w:rPr>
        <w:t>今年以来，在区委区政府的坚强领导下，我中心紧紧围绕“为把南岳打造成为世界级文化旅游目的地”的奋斗目标，在全面提升金融服务实体经济能力、推进金融创新改革、防范化解金融风险三大方面精准发力，全区金融形势稳中向好、稳中趋优，金融形势安全稳定，没有发生区域性系统性金融风险。</w:t>
      </w:r>
    </w:p>
    <w:p w14:paraId="2B1B2A6E">
      <w:pPr>
        <w:numPr>
          <w:ilvl w:val="0"/>
          <w:numId w:val="2"/>
        </w:num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偏离绩效目标的原因和下一步改进措施</w:t>
      </w:r>
    </w:p>
    <w:p w14:paraId="699080E8">
      <w:pPr>
        <w:pStyle w:val="5"/>
        <w:widowControl/>
        <w:spacing w:beforeAutospacing="0" w:afterAutospacing="0" w:line="600" w:lineRule="exact"/>
        <w:ind w:firstLine="640" w:firstLineChars="200"/>
        <w:jc w:val="both"/>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202</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年通过加强预算收支管理，不断建立健全内部管理制度，梳理内部管理流程，</w:t>
      </w:r>
      <w:r>
        <w:rPr>
          <w:rFonts w:hint="eastAsia" w:ascii="仿宋" w:hAnsi="仿宋" w:eastAsia="仿宋" w:cs="仿宋"/>
          <w:color w:val="000000" w:themeColor="text1"/>
          <w:sz w:val="32"/>
          <w:szCs w:val="32"/>
          <w:lang w:eastAsia="zh-CN"/>
        </w:rPr>
        <w:t>项目</w:t>
      </w:r>
      <w:r>
        <w:rPr>
          <w:rFonts w:hint="eastAsia" w:ascii="仿宋" w:hAnsi="仿宋" w:eastAsia="仿宋" w:cs="仿宋"/>
          <w:color w:val="000000" w:themeColor="text1"/>
          <w:sz w:val="32"/>
          <w:szCs w:val="32"/>
        </w:rPr>
        <w:t>管理水平得到有效提高。但我单位在预算支出上仍存在以下问题：项目经费拨付滞后。因为区财政紧张，项目经费的拨付及支付都有延迟。</w:t>
      </w:r>
    </w:p>
    <w:p w14:paraId="3C20CCA9">
      <w:pPr>
        <w:pStyle w:val="5"/>
        <w:widowControl/>
        <w:spacing w:beforeAutospacing="0" w:afterAutospacing="0" w:line="600" w:lineRule="exact"/>
        <w:ind w:firstLine="640" w:firstLineChars="200"/>
        <w:jc w:val="both"/>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针对上述存在的问题及我单位项目支出管理工作的需要，拟实施的改进措施如下：强化绩效管理意识,进一步强化绩效理念，将绩效管理理念贯穿于资金分配到资金使用全过程，加大资金整合力度</w:t>
      </w:r>
      <w:r>
        <w:rPr>
          <w:rFonts w:hint="eastAsia" w:eastAsia="仿宋" w:cs="仿宋"/>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强化专项资金管理，把有限的资金用在刀刃上，提高财政资金使用效益。 </w:t>
      </w:r>
    </w:p>
    <w:p w14:paraId="7FFD068E">
      <w:pPr>
        <w:spacing w:line="600" w:lineRule="exact"/>
        <w:ind w:firstLine="640" w:firstLineChars="200"/>
        <w:rPr>
          <w:rFonts w:ascii="Times New Roman" w:hAnsi="Times New Roman" w:eastAsia="黑体"/>
          <w:kern w:val="2"/>
          <w:sz w:val="32"/>
          <w:szCs w:val="32"/>
        </w:rPr>
      </w:pPr>
      <w:r>
        <w:rPr>
          <w:rFonts w:ascii="Times New Roman" w:hAnsi="Times New Roman" w:eastAsia="黑体"/>
          <w:kern w:val="2"/>
          <w:sz w:val="32"/>
          <w:szCs w:val="32"/>
        </w:rPr>
        <w:t>五、绩效自评结果拟应用和公开情况</w:t>
      </w:r>
    </w:p>
    <w:p w14:paraId="5423EB6C">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ascii="仿宋" w:hAnsi="仿宋" w:eastAsia="仿宋" w:cs="仿宋"/>
          <w:color w:val="000000"/>
          <w:kern w:val="0"/>
          <w:sz w:val="32"/>
          <w:szCs w:val="32"/>
          <w:lang w:val="en-US" w:eastAsia="zh-CN" w:bidi="ar"/>
        </w:rPr>
        <w:t>本部门预算绩效管理开展情况、绩效目</w:t>
      </w:r>
      <w:r>
        <w:rPr>
          <w:rFonts w:hint="eastAsia" w:ascii="仿宋" w:hAnsi="仿宋" w:eastAsia="仿宋" w:cs="仿宋"/>
          <w:color w:val="000000"/>
          <w:kern w:val="0"/>
          <w:sz w:val="32"/>
          <w:szCs w:val="32"/>
          <w:lang w:val="en-US" w:eastAsia="zh-CN" w:bidi="ar"/>
        </w:rPr>
        <w:t>标和绩效评价表等，按照财政绩效部门要求公开或其他有关部门要求需随同部门决算一同公开的绩效信息。</w:t>
      </w:r>
    </w:p>
    <w:p w14:paraId="4B6A0022">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BC5F4FD">
      <w:pPr>
        <w:keepNext w:val="0"/>
        <w:keepLines w:val="0"/>
        <w:widowControl/>
        <w:suppressLineNumbers w:val="0"/>
        <w:ind w:firstLine="560" w:firstLineChars="200"/>
        <w:jc w:val="right"/>
        <w:rPr>
          <w:rFonts w:hint="eastAsia" w:ascii="仿宋" w:hAnsi="仿宋" w:eastAsia="仿宋" w:cs="仿宋"/>
          <w:color w:val="000000"/>
          <w:kern w:val="0"/>
          <w:sz w:val="32"/>
          <w:szCs w:val="32"/>
          <w:lang w:val="en-US" w:eastAsia="zh-CN" w:bidi="ar"/>
        </w:rPr>
      </w:pPr>
      <w:r>
        <w:rPr>
          <w:rFonts w:hint="eastAsia"/>
          <w:color w:val="000000" w:themeColor="text1"/>
          <w:lang w:val="en-US" w:eastAsia="zh-CN"/>
        </w:rPr>
        <w:t xml:space="preserve">                          </w:t>
      </w:r>
      <w:r>
        <w:rPr>
          <w:rFonts w:hint="eastAsia" w:ascii="仿宋" w:hAnsi="仿宋" w:eastAsia="仿宋" w:cs="仿宋"/>
          <w:color w:val="000000"/>
          <w:kern w:val="0"/>
          <w:sz w:val="32"/>
          <w:szCs w:val="32"/>
          <w:lang w:val="en-US" w:eastAsia="zh-CN" w:bidi="ar"/>
        </w:rPr>
        <w:t xml:space="preserve"> 南岳区</w:t>
      </w:r>
      <w:r>
        <w:rPr>
          <w:rFonts w:hint="eastAsia" w:eastAsia="仿宋" w:cs="仿宋"/>
          <w:color w:val="000000"/>
          <w:kern w:val="0"/>
          <w:sz w:val="32"/>
          <w:szCs w:val="32"/>
          <w:lang w:val="en-US" w:eastAsia="zh-CN" w:bidi="ar"/>
        </w:rPr>
        <w:t>金融事务中心</w:t>
      </w:r>
    </w:p>
    <w:p w14:paraId="33724F9B">
      <w:pPr>
        <w:keepNext w:val="0"/>
        <w:keepLines w:val="0"/>
        <w:widowControl/>
        <w:suppressLineNumbers w:val="0"/>
        <w:ind w:firstLine="5120" w:firstLineChars="1600"/>
        <w:jc w:val="right"/>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2025年5月19日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77636A"/>
    <w:multiLevelType w:val="singleLevel"/>
    <w:tmpl w:val="8B77636A"/>
    <w:lvl w:ilvl="0" w:tentative="0">
      <w:start w:val="2"/>
      <w:numFmt w:val="decimal"/>
      <w:suff w:val="nothing"/>
      <w:lvlText w:val="%1、"/>
      <w:lvlJc w:val="left"/>
    </w:lvl>
  </w:abstractNum>
  <w:abstractNum w:abstractNumId="1">
    <w:nsid w:val="24FD5CAC"/>
    <w:multiLevelType w:val="singleLevel"/>
    <w:tmpl w:val="24FD5CA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F6"/>
    <w:rsid w:val="000B47F6"/>
    <w:rsid w:val="008E4FF3"/>
    <w:rsid w:val="00DF4F86"/>
    <w:rsid w:val="00E644F4"/>
    <w:rsid w:val="00F94F90"/>
    <w:rsid w:val="060C3BD1"/>
    <w:rsid w:val="0D416E10"/>
    <w:rsid w:val="0E522311"/>
    <w:rsid w:val="1409787D"/>
    <w:rsid w:val="14AE783A"/>
    <w:rsid w:val="1BFE3286"/>
    <w:rsid w:val="2FFB5805"/>
    <w:rsid w:val="3D124C16"/>
    <w:rsid w:val="5E4B5302"/>
    <w:rsid w:val="60DA27D6"/>
    <w:rsid w:val="66840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autoRedefine/>
    <w:qFormat/>
    <w:uiPriority w:val="0"/>
    <w:pPr>
      <w:spacing w:beforeAutospacing="1" w:afterAutospacing="1"/>
      <w:jc w:val="left"/>
    </w:pPr>
    <w:rPr>
      <w:rFonts w:asciiTheme="minorHAnsi" w:hAnsiTheme="minorHAnsi" w:eastAsiaTheme="minorEastAsia"/>
      <w:sz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font21"/>
    <w:basedOn w:val="7"/>
    <w:qFormat/>
    <w:uiPriority w:val="0"/>
    <w:rPr>
      <w:rFonts w:hint="eastAsia" w:ascii="宋体" w:hAnsi="宋体" w:eastAsia="宋体" w:cs="宋体"/>
      <w:color w:val="000000"/>
      <w:sz w:val="18"/>
      <w:szCs w:val="18"/>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31"/>
    <w:basedOn w:val="7"/>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1232</Words>
  <Characters>1280</Characters>
  <Lines>27</Lines>
  <Paragraphs>7</Paragraphs>
  <TotalTime>3</TotalTime>
  <ScaleCrop>false</ScaleCrop>
  <LinksUpToDate>false</LinksUpToDate>
  <CharactersWithSpaces>1311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2025-05-18T03:19:00Z</dcterms:created>
  <dc:creator>微软用户</dc:creator>
  <cp:lastModifiedBy>文萍</cp:lastModifiedBy>
  <dcterms:modified xsi:type="dcterms:W3CDTF">2025-11-13T07:17:57Z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eyJoZGlkIjoiMzM1MTQyNjMwYzI4MWRjNmUzY2M2NDg4ODE3MDdkOTAiLCJ1c2VySWQiOiIyODMxNDIzODUifQ==</vt:lpwstr>
  </property>
  <property fmtid="{D5CDD505-2E9C-101B-9397-08002B2CF9AE}" pid="3" name="KSOProductBuildVer">
    <vt:lpwstr>2052-12.1.0.23542</vt:lpwstr>
  </property>
  <property fmtid="{D5CDD505-2E9C-101B-9397-08002B2CF9AE}" pid="4" name="ICV">
    <vt:lpwstr>7396D7E0DD2D47FDBF78F6E4CFB1C718_13</vt:lpwstr>
  </property>
</Properties>
</file>