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8B" w:rsidRDefault="007D7397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bookmarkStart w:id="0" w:name="OLE_LINK6"/>
      <w:r>
        <w:rPr>
          <w:rFonts w:ascii="Times New Roman" w:eastAsia="方正小标宋简体" w:hAnsi="Times New Roman" w:hint="eastAsia"/>
          <w:kern w:val="2"/>
          <w:sz w:val="44"/>
          <w:szCs w:val="44"/>
        </w:rPr>
        <w:t>南岳区城市管理和综合执法局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2025</w:t>
      </w:r>
      <w:r w:rsidR="0078767A">
        <w:rPr>
          <w:rFonts w:ascii="Times New Roman" w:eastAsia="方正小标宋简体" w:hAnsi="Times New Roman"/>
          <w:kern w:val="2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景区卡口道闸更新项目</w:t>
      </w:r>
      <w:r w:rsidR="0078767A">
        <w:rPr>
          <w:rFonts w:ascii="Times New Roman" w:eastAsia="方正小标宋简体" w:hAnsi="Times New Roman"/>
          <w:kern w:val="2"/>
          <w:sz w:val="44"/>
          <w:szCs w:val="44"/>
        </w:rPr>
        <w:t>专项资金绩效自评报告</w:t>
      </w:r>
    </w:p>
    <w:bookmarkEnd w:id="0"/>
    <w:p w:rsidR="00150E8B" w:rsidRDefault="00150E8B" w:rsidP="007D7397">
      <w:pPr>
        <w:spacing w:line="600" w:lineRule="exact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150E8B" w:rsidRDefault="0078767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一、绩效目标</w:t>
      </w:r>
      <w:r w:rsidR="007D7397">
        <w:rPr>
          <w:rFonts w:ascii="Times New Roman" w:eastAsia="黑体" w:hAnsi="Times New Roman" w:hint="eastAsia"/>
          <w:kern w:val="2"/>
          <w:sz w:val="32"/>
          <w:szCs w:val="32"/>
        </w:rPr>
        <w:t>分</w:t>
      </w:r>
      <w:r>
        <w:rPr>
          <w:rFonts w:ascii="Times New Roman" w:eastAsia="黑体" w:hAnsi="Times New Roman"/>
          <w:kern w:val="2"/>
          <w:sz w:val="32"/>
          <w:szCs w:val="32"/>
        </w:rPr>
        <w:t>解下达情况</w:t>
      </w:r>
    </w:p>
    <w:p w:rsidR="00150E8B" w:rsidRDefault="0078767A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财政专项资金下达预算及项目情况。</w:t>
      </w:r>
    </w:p>
    <w:p w:rsidR="007D7397" w:rsidRDefault="007D7397" w:rsidP="007D7397">
      <w:pPr>
        <w:spacing w:line="600" w:lineRule="exact"/>
        <w:ind w:firstLineChars="200" w:firstLine="640"/>
        <w:rPr>
          <w:rFonts w:eastAsia="仿宋" w:cs="仿宋"/>
          <w:sz w:val="32"/>
          <w:szCs w:val="30"/>
          <w:shd w:val="clear" w:color="auto" w:fill="FFFFFF"/>
          <w:lang/>
        </w:rPr>
      </w:pPr>
      <w:r>
        <w:rPr>
          <w:rFonts w:eastAsia="仿宋" w:cs="仿宋" w:hint="eastAsia"/>
          <w:sz w:val="32"/>
          <w:szCs w:val="30"/>
          <w:shd w:val="clear" w:color="auto" w:fill="FFFFFF"/>
          <w:lang/>
        </w:rPr>
        <w:t>南岳区城市管理和综合执法局2024年景区卡口道闸更新项目资金预算15.7</w:t>
      </w:r>
      <w:r w:rsidR="00427FF7">
        <w:rPr>
          <w:rFonts w:eastAsia="仿宋" w:cs="仿宋" w:hint="eastAsia"/>
          <w:sz w:val="32"/>
          <w:szCs w:val="30"/>
          <w:shd w:val="clear" w:color="auto" w:fill="FFFFFF"/>
          <w:lang/>
        </w:rPr>
        <w:t>95</w:t>
      </w:r>
      <w:r>
        <w:rPr>
          <w:rFonts w:eastAsia="仿宋" w:cs="仿宋" w:hint="eastAsia"/>
          <w:sz w:val="32"/>
          <w:szCs w:val="30"/>
          <w:shd w:val="clear" w:color="auto" w:fill="FFFFFF"/>
          <w:lang/>
        </w:rPr>
        <w:t>万元，列入全区性项目，用于对中心景区康家陇、白龙、西岭、大禾田、莲塘、龙凤、祖师殿七个卡口进行道闸的更新提质改造。供应企业为衡阳维佳安防工程有限公司</w:t>
      </w:r>
      <w:r w:rsidR="008B75D0">
        <w:rPr>
          <w:rFonts w:eastAsia="仿宋" w:cs="仿宋" w:hint="eastAsia"/>
          <w:sz w:val="32"/>
          <w:szCs w:val="30"/>
          <w:shd w:val="clear" w:color="auto" w:fill="FFFFFF"/>
          <w:lang/>
        </w:rPr>
        <w:t>，总价款</w:t>
      </w:r>
      <w:r w:rsidR="00427FF7">
        <w:rPr>
          <w:rFonts w:eastAsia="仿宋" w:cs="仿宋" w:hint="eastAsia"/>
          <w:sz w:val="32"/>
          <w:szCs w:val="30"/>
          <w:shd w:val="clear" w:color="auto" w:fill="FFFFFF"/>
          <w:lang/>
        </w:rPr>
        <w:t>15.6938万元，2024年11月</w:t>
      </w:r>
      <w:r w:rsidR="008B75D0">
        <w:rPr>
          <w:rFonts w:eastAsia="仿宋" w:cs="仿宋" w:hint="eastAsia"/>
          <w:sz w:val="32"/>
          <w:szCs w:val="30"/>
          <w:shd w:val="clear" w:color="auto" w:fill="FFFFFF"/>
          <w:lang/>
        </w:rPr>
        <w:t>财政拨付资金到位，目前已</w:t>
      </w:r>
      <w:r w:rsidR="00427FF7">
        <w:rPr>
          <w:rFonts w:eastAsia="仿宋" w:cs="仿宋" w:hint="eastAsia"/>
          <w:sz w:val="32"/>
          <w:szCs w:val="30"/>
          <w:shd w:val="clear" w:color="auto" w:fill="FFFFFF"/>
          <w:lang/>
        </w:rPr>
        <w:t>支付</w:t>
      </w:r>
      <w:r w:rsidR="008B75D0">
        <w:rPr>
          <w:rFonts w:eastAsia="仿宋" w:cs="仿宋" w:hint="eastAsia"/>
          <w:sz w:val="32"/>
          <w:szCs w:val="30"/>
          <w:shd w:val="clear" w:color="auto" w:fill="FFFFFF"/>
          <w:lang/>
        </w:rPr>
        <w:t>97%款项15.2230万元， 3%质保金一年后支付</w:t>
      </w:r>
      <w:r w:rsidR="00427FF7">
        <w:rPr>
          <w:rFonts w:eastAsia="仿宋" w:cs="仿宋" w:hint="eastAsia"/>
          <w:sz w:val="32"/>
          <w:szCs w:val="30"/>
          <w:shd w:val="clear" w:color="auto" w:fill="FFFFFF"/>
          <w:lang/>
        </w:rPr>
        <w:t>。</w:t>
      </w:r>
    </w:p>
    <w:p w:rsidR="00150E8B" w:rsidRDefault="0078767A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项目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绩效目标设定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情况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。</w:t>
      </w:r>
    </w:p>
    <w:p w:rsidR="00E00326" w:rsidRDefault="00E00326" w:rsidP="00E00326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1、数量指标：</w:t>
      </w:r>
    </w:p>
    <w:p w:rsidR="00E00326" w:rsidRDefault="00E00326" w:rsidP="00E00326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①</w:t>
      </w:r>
      <w:r w:rsidR="003A7E08">
        <w:rPr>
          <w:rFonts w:eastAsia="仿宋" w:cs="仿宋" w:hint="eastAsia"/>
          <w:kern w:val="2"/>
          <w:sz w:val="32"/>
          <w:szCs w:val="30"/>
        </w:rPr>
        <w:t>卡口日均放行车辆台次2200台次/天</w:t>
      </w:r>
      <w:r>
        <w:rPr>
          <w:rFonts w:eastAsia="仿宋" w:cs="仿宋" w:hint="eastAsia"/>
          <w:kern w:val="2"/>
          <w:sz w:val="32"/>
          <w:szCs w:val="30"/>
        </w:rPr>
        <w:t>；</w:t>
      </w:r>
    </w:p>
    <w:p w:rsidR="003A7E08" w:rsidRDefault="00E00326" w:rsidP="00E00326">
      <w:pPr>
        <w:spacing w:line="600" w:lineRule="exact"/>
        <w:ind w:firstLineChars="200" w:firstLine="640"/>
        <w:rPr>
          <w:rFonts w:eastAsia="仿宋" w:cs="仿宋" w:hint="eastAsia"/>
          <w:color w:val="000000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②</w:t>
      </w:r>
      <w:r w:rsidR="003A7E08">
        <w:rPr>
          <w:rFonts w:eastAsia="仿宋" w:cs="仿宋" w:hint="eastAsia"/>
          <w:kern w:val="2"/>
          <w:sz w:val="32"/>
          <w:szCs w:val="30"/>
        </w:rPr>
        <w:t>道闸更新的景区卡口数量7个，包括</w:t>
      </w:r>
      <w:r w:rsidR="003A7E08">
        <w:rPr>
          <w:rFonts w:eastAsia="仿宋" w:cs="仿宋" w:hint="eastAsia"/>
          <w:sz w:val="32"/>
          <w:szCs w:val="30"/>
          <w:shd w:val="clear" w:color="auto" w:fill="FFFFFF"/>
          <w:lang/>
        </w:rPr>
        <w:t>康家陇、白龙、西岭、大禾田、莲塘、龙凤、祖师殿七个卡口</w:t>
      </w:r>
      <w:r w:rsidR="003A7E08">
        <w:rPr>
          <w:rFonts w:eastAsia="仿宋" w:cs="仿宋" w:hint="eastAsia"/>
          <w:color w:val="000000"/>
          <w:sz w:val="32"/>
          <w:szCs w:val="30"/>
        </w:rPr>
        <w:t>；</w:t>
      </w:r>
    </w:p>
    <w:p w:rsidR="00E00326" w:rsidRDefault="00E00326" w:rsidP="00E00326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2、质量指标：</w:t>
      </w:r>
      <w:r w:rsidR="003A7E08" w:rsidRPr="003A7E08">
        <w:rPr>
          <w:rFonts w:eastAsia="仿宋" w:cs="仿宋" w:hint="eastAsia"/>
          <w:kern w:val="2"/>
          <w:sz w:val="32"/>
          <w:szCs w:val="30"/>
        </w:rPr>
        <w:t>道闸</w:t>
      </w:r>
      <w:r w:rsidR="003A7E08">
        <w:rPr>
          <w:rFonts w:eastAsia="仿宋" w:cs="仿宋" w:hint="eastAsia"/>
          <w:kern w:val="2"/>
          <w:sz w:val="32"/>
          <w:szCs w:val="30"/>
        </w:rPr>
        <w:t>更新完工质量合格完成率100%；</w:t>
      </w:r>
    </w:p>
    <w:p w:rsidR="00E00326" w:rsidRDefault="00E00326" w:rsidP="00E00326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3、时效指标：</w:t>
      </w:r>
      <w:r w:rsidR="003A7E08" w:rsidRPr="003A7E08">
        <w:rPr>
          <w:rFonts w:eastAsia="仿宋" w:cs="仿宋" w:hint="eastAsia"/>
          <w:kern w:val="2"/>
          <w:sz w:val="32"/>
          <w:szCs w:val="30"/>
        </w:rPr>
        <w:t>道闸</w:t>
      </w:r>
      <w:r w:rsidR="003A7E08">
        <w:rPr>
          <w:rFonts w:eastAsia="仿宋" w:cs="仿宋" w:hint="eastAsia"/>
          <w:kern w:val="2"/>
          <w:sz w:val="32"/>
          <w:szCs w:val="30"/>
        </w:rPr>
        <w:t>更新项目于</w:t>
      </w:r>
      <w:r>
        <w:rPr>
          <w:rFonts w:eastAsia="仿宋" w:cs="仿宋" w:hint="eastAsia"/>
          <w:kern w:val="2"/>
          <w:sz w:val="32"/>
          <w:szCs w:val="30"/>
        </w:rPr>
        <w:t>2024年</w:t>
      </w:r>
      <w:r w:rsidR="003A7E08">
        <w:rPr>
          <w:rFonts w:eastAsia="仿宋" w:cs="仿宋" w:hint="eastAsia"/>
          <w:kern w:val="2"/>
          <w:sz w:val="32"/>
          <w:szCs w:val="30"/>
        </w:rPr>
        <w:t>10月25日</w:t>
      </w:r>
      <w:r>
        <w:rPr>
          <w:rFonts w:eastAsia="仿宋" w:cs="仿宋" w:hint="eastAsia"/>
          <w:kern w:val="2"/>
          <w:sz w:val="32"/>
          <w:szCs w:val="30"/>
        </w:rPr>
        <w:t>前</w:t>
      </w:r>
      <w:r w:rsidR="003A7E08">
        <w:rPr>
          <w:rFonts w:eastAsia="仿宋" w:cs="仿宋" w:hint="eastAsia"/>
          <w:kern w:val="2"/>
          <w:sz w:val="32"/>
          <w:szCs w:val="30"/>
        </w:rPr>
        <w:t>完工，完工及时率100%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E00326" w:rsidRDefault="00E00326" w:rsidP="00E00326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4、成本指标：</w:t>
      </w:r>
      <w:r>
        <w:rPr>
          <w:rFonts w:eastAsia="仿宋" w:cs="仿宋" w:hint="eastAsia"/>
          <w:kern w:val="2"/>
          <w:sz w:val="32"/>
          <w:szCs w:val="30"/>
        </w:rPr>
        <w:t>项目</w:t>
      </w:r>
      <w:r w:rsidR="003A7E08">
        <w:rPr>
          <w:rFonts w:eastAsia="仿宋" w:cs="仿宋" w:hint="eastAsia"/>
          <w:kern w:val="2"/>
          <w:sz w:val="32"/>
          <w:szCs w:val="30"/>
        </w:rPr>
        <w:t>总</w:t>
      </w:r>
      <w:r>
        <w:rPr>
          <w:rFonts w:eastAsia="仿宋" w:cs="仿宋" w:hint="eastAsia"/>
          <w:kern w:val="2"/>
          <w:sz w:val="32"/>
          <w:szCs w:val="30"/>
        </w:rPr>
        <w:t>价不超过</w:t>
      </w:r>
      <w:r w:rsidR="003A7E08">
        <w:rPr>
          <w:rFonts w:eastAsia="仿宋" w:cs="仿宋" w:hint="eastAsia"/>
          <w:kern w:val="2"/>
          <w:sz w:val="32"/>
          <w:szCs w:val="30"/>
        </w:rPr>
        <w:t>15.6938万元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E00326" w:rsidRDefault="00E00326" w:rsidP="00E00326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5、效益指标：</w:t>
      </w:r>
      <w:r w:rsidR="003A7E08">
        <w:rPr>
          <w:rFonts w:eastAsia="仿宋" w:cs="仿宋" w:hint="eastAsia"/>
          <w:sz w:val="32"/>
          <w:szCs w:val="30"/>
          <w:shd w:val="clear" w:color="auto" w:fill="FFFFFF"/>
          <w:lang/>
        </w:rPr>
        <w:t>通过景区卡口道闸更新项目的实施，可以</w:t>
      </w:r>
      <w:r w:rsidR="003A7E08">
        <w:rPr>
          <w:rFonts w:eastAsia="仿宋" w:cs="仿宋" w:hint="eastAsia"/>
          <w:kern w:val="2"/>
          <w:sz w:val="32"/>
          <w:szCs w:val="30"/>
        </w:rPr>
        <w:t>增加景区门票收入</w:t>
      </w:r>
      <w:r>
        <w:rPr>
          <w:rFonts w:eastAsia="仿宋" w:cs="仿宋" w:hint="eastAsia"/>
          <w:kern w:val="2"/>
          <w:sz w:val="32"/>
          <w:szCs w:val="30"/>
        </w:rPr>
        <w:t>，</w:t>
      </w:r>
      <w:r w:rsidR="003A7E08">
        <w:rPr>
          <w:rFonts w:eastAsia="仿宋" w:cs="仿宋" w:hint="eastAsia"/>
          <w:kern w:val="2"/>
          <w:sz w:val="32"/>
          <w:szCs w:val="30"/>
        </w:rPr>
        <w:t>减少景区内交通压力，减少社会车辆进</w:t>
      </w:r>
      <w:r w:rsidR="003A7E08">
        <w:rPr>
          <w:rFonts w:eastAsia="仿宋" w:cs="仿宋" w:hint="eastAsia"/>
          <w:kern w:val="2"/>
          <w:sz w:val="32"/>
          <w:szCs w:val="30"/>
        </w:rPr>
        <w:lastRenderedPageBreak/>
        <w:t>入景区产生的污染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E00326" w:rsidRDefault="00E00326" w:rsidP="00E00326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6、满意度指标：</w:t>
      </w:r>
      <w:r w:rsidR="00831F78">
        <w:rPr>
          <w:rFonts w:eastAsia="仿宋" w:cs="仿宋" w:hint="eastAsia"/>
          <w:kern w:val="2"/>
          <w:sz w:val="32"/>
          <w:szCs w:val="30"/>
        </w:rPr>
        <w:t>游客投诉率低于0.1</w:t>
      </w:r>
      <w:r>
        <w:rPr>
          <w:rFonts w:eastAsia="仿宋" w:cs="仿宋" w:hint="eastAsia"/>
          <w:kern w:val="2"/>
          <w:sz w:val="32"/>
          <w:szCs w:val="30"/>
        </w:rPr>
        <w:t>%。</w:t>
      </w:r>
    </w:p>
    <w:p w:rsidR="00150E8B" w:rsidRDefault="0078767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二、绩效自评工作开展情况</w:t>
      </w:r>
    </w:p>
    <w:p w:rsidR="00150E8B" w:rsidRDefault="0078767A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150E8B" w:rsidRDefault="0078767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三、绩效目标自评完成情况分析</w:t>
      </w:r>
    </w:p>
    <w:p w:rsidR="00150E8B" w:rsidRDefault="0078767A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（一）资金投入情况分析</w:t>
      </w:r>
    </w:p>
    <w:p w:rsidR="00150E8B" w:rsidRDefault="0078767A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项目资金到位情况分析。</w:t>
      </w:r>
    </w:p>
    <w:p w:rsidR="00831F78" w:rsidRDefault="00831F78" w:rsidP="00831F78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本专项资金于2024年11月区财政下达指标：全区项目支出解决2024年</w:t>
      </w:r>
      <w:r>
        <w:rPr>
          <w:rFonts w:eastAsia="仿宋" w:cs="仿宋" w:hint="eastAsia"/>
          <w:sz w:val="32"/>
          <w:szCs w:val="30"/>
          <w:shd w:val="clear" w:color="auto" w:fill="FFFFFF"/>
          <w:lang/>
        </w:rPr>
        <w:t>景区卡口道闸更新</w:t>
      </w:r>
      <w:r>
        <w:rPr>
          <w:rFonts w:eastAsia="仿宋" w:cs="仿宋" w:hint="eastAsia"/>
          <w:kern w:val="2"/>
          <w:sz w:val="32"/>
          <w:szCs w:val="30"/>
        </w:rPr>
        <w:t>经费15.6938万元。</w:t>
      </w:r>
    </w:p>
    <w:p w:rsidR="00150E8B" w:rsidRDefault="0078767A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2.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项目资金执行情况分析。</w:t>
      </w:r>
    </w:p>
    <w:p w:rsidR="00150E8B" w:rsidRPr="00831F78" w:rsidRDefault="00831F78" w:rsidP="00831F78">
      <w:pPr>
        <w:spacing w:line="600" w:lineRule="exact"/>
        <w:ind w:firstLineChars="200" w:firstLine="640"/>
        <w:rPr>
          <w:rFonts w:eastAsia="仿宋" w:cs="仿宋"/>
          <w:sz w:val="32"/>
          <w:szCs w:val="30"/>
          <w:shd w:val="clear" w:color="auto" w:fill="FFFFFF"/>
          <w:lang/>
        </w:rPr>
      </w:pPr>
      <w:r>
        <w:rPr>
          <w:rFonts w:eastAsia="仿宋" w:cs="仿宋" w:hint="eastAsia"/>
          <w:kern w:val="2"/>
          <w:sz w:val="32"/>
          <w:szCs w:val="30"/>
        </w:rPr>
        <w:t>截至2024年12月31日，项目已验收并实际支付</w:t>
      </w:r>
      <w:r>
        <w:rPr>
          <w:rFonts w:eastAsia="仿宋" w:cs="仿宋" w:hint="eastAsia"/>
          <w:sz w:val="32"/>
          <w:szCs w:val="30"/>
          <w:shd w:val="clear" w:color="auto" w:fill="FFFFFF"/>
          <w:lang/>
        </w:rPr>
        <w:t>衡阳维佳安防工程有限公司总价款的97% ，计15.2230</w:t>
      </w:r>
      <w:r>
        <w:rPr>
          <w:rFonts w:eastAsia="仿宋" w:cs="仿宋" w:hint="eastAsia"/>
          <w:kern w:val="2"/>
          <w:sz w:val="32"/>
          <w:szCs w:val="30"/>
        </w:rPr>
        <w:t>万元。3%质保金待2025年11月支付。</w:t>
      </w:r>
      <w:r w:rsidRPr="00831F78">
        <w:rPr>
          <w:rFonts w:eastAsia="仿宋" w:cs="仿宋" w:hint="eastAsia"/>
          <w:sz w:val="32"/>
          <w:szCs w:val="30"/>
          <w:shd w:val="clear" w:color="auto" w:fill="FFFFFF"/>
          <w:lang/>
        </w:rPr>
        <w:t>整个专项</w:t>
      </w:r>
      <w:r>
        <w:rPr>
          <w:rFonts w:eastAsia="仿宋" w:cs="仿宋" w:hint="eastAsia"/>
          <w:sz w:val="32"/>
          <w:szCs w:val="30"/>
          <w:shd w:val="clear" w:color="auto" w:fill="FFFFFF"/>
          <w:lang/>
        </w:rPr>
        <w:t>2024年的</w:t>
      </w:r>
      <w:r w:rsidRPr="00831F78">
        <w:rPr>
          <w:rFonts w:eastAsia="仿宋" w:cs="仿宋" w:hint="eastAsia"/>
          <w:sz w:val="32"/>
          <w:szCs w:val="30"/>
          <w:shd w:val="clear" w:color="auto" w:fill="FFFFFF"/>
          <w:lang/>
        </w:rPr>
        <w:t>实际支付率为97%。</w:t>
      </w:r>
    </w:p>
    <w:p w:rsidR="00150E8B" w:rsidRDefault="0078767A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3.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项目资金管理情况分析。</w:t>
      </w:r>
    </w:p>
    <w:p w:rsidR="00150E8B" w:rsidRDefault="0078767A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1" w:name="OLE_LINK3"/>
      <w:r>
        <w:rPr>
          <w:rFonts w:ascii="Times New Roman" w:eastAsia="仿宋" w:hAnsi="Times New Roman" w:hint="eastAsia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1"/>
    <w:p w:rsidR="00150E8B" w:rsidRDefault="0078767A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（二）绩效目标</w:t>
      </w:r>
      <w:r>
        <w:rPr>
          <w:rFonts w:ascii="Times New Roman" w:eastAsia="楷体" w:hAnsi="Times New Roman" w:hint="eastAsia"/>
          <w:b/>
          <w:bCs/>
          <w:kern w:val="2"/>
          <w:sz w:val="32"/>
          <w:szCs w:val="32"/>
        </w:rPr>
        <w:t>实际</w:t>
      </w: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完成情况分析</w:t>
      </w:r>
    </w:p>
    <w:p w:rsidR="00831F78" w:rsidRDefault="00831F78" w:rsidP="00831F78">
      <w:pPr>
        <w:spacing w:line="600" w:lineRule="exact"/>
        <w:ind w:firstLineChars="200" w:firstLine="643"/>
        <w:rPr>
          <w:rFonts w:eastAsia="仿宋" w:cs="仿宋" w:hint="eastAsia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lastRenderedPageBreak/>
        <w:t>1、数量指标完成情况：</w:t>
      </w:r>
    </w:p>
    <w:p w:rsidR="00831F78" w:rsidRDefault="00831F78" w:rsidP="00831F78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①卡口日均放行车辆台次2200台次/天，实际完成放行车辆达2500台次/</w:t>
      </w:r>
      <w:r w:rsidR="00BB5C36">
        <w:rPr>
          <w:rFonts w:eastAsia="仿宋" w:cs="仿宋" w:hint="eastAsia"/>
          <w:kern w:val="2"/>
          <w:sz w:val="32"/>
          <w:szCs w:val="30"/>
        </w:rPr>
        <w:t>天，完成预定目标。</w:t>
      </w:r>
    </w:p>
    <w:p w:rsidR="00831F78" w:rsidRDefault="00831F78" w:rsidP="00831F78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②道闸更新完成的的景区卡口数量7个，即：</w:t>
      </w:r>
      <w:r>
        <w:rPr>
          <w:rFonts w:eastAsia="仿宋" w:cs="仿宋" w:hint="eastAsia"/>
          <w:sz w:val="32"/>
          <w:szCs w:val="30"/>
          <w:shd w:val="clear" w:color="auto" w:fill="FFFFFF"/>
          <w:lang/>
        </w:rPr>
        <w:t>康家陇、白龙、西岭、大禾田、莲塘、龙凤、祖师殿七个卡口</w:t>
      </w:r>
      <w:r>
        <w:rPr>
          <w:rFonts w:eastAsia="仿宋" w:cs="仿宋" w:hint="eastAsia"/>
          <w:kern w:val="2"/>
          <w:sz w:val="32"/>
          <w:szCs w:val="30"/>
        </w:rPr>
        <w:t>；完成率100%</w:t>
      </w:r>
      <w:r w:rsidR="00BB5C36">
        <w:rPr>
          <w:rFonts w:eastAsia="仿宋" w:cs="仿宋" w:hint="eastAsia"/>
          <w:kern w:val="2"/>
          <w:sz w:val="32"/>
          <w:szCs w:val="30"/>
        </w:rPr>
        <w:t>。</w:t>
      </w:r>
    </w:p>
    <w:p w:rsidR="00831F78" w:rsidRDefault="00831F78" w:rsidP="00831F78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2、质量指标完成情况：</w:t>
      </w:r>
      <w:r>
        <w:rPr>
          <w:rFonts w:eastAsia="仿宋" w:cs="仿宋" w:hint="eastAsia"/>
          <w:kern w:val="2"/>
          <w:sz w:val="32"/>
          <w:szCs w:val="30"/>
        </w:rPr>
        <w:t>完成率为</w:t>
      </w:r>
      <w:r w:rsidR="00BB5C36">
        <w:rPr>
          <w:rFonts w:eastAsia="仿宋" w:cs="仿宋" w:hint="eastAsia"/>
          <w:kern w:val="2"/>
          <w:sz w:val="32"/>
          <w:szCs w:val="30"/>
        </w:rPr>
        <w:t>100</w:t>
      </w:r>
      <w:r>
        <w:rPr>
          <w:rFonts w:eastAsia="仿宋" w:cs="仿宋" w:hint="eastAsia"/>
          <w:kern w:val="2"/>
          <w:sz w:val="32"/>
          <w:szCs w:val="30"/>
        </w:rPr>
        <w:t>%。</w:t>
      </w:r>
    </w:p>
    <w:p w:rsidR="00831F78" w:rsidRDefault="00831F78" w:rsidP="00831F78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3、时效指标完成情况：</w:t>
      </w:r>
      <w:r>
        <w:rPr>
          <w:rFonts w:eastAsia="仿宋" w:cs="仿宋" w:hint="eastAsia"/>
          <w:kern w:val="2"/>
          <w:sz w:val="32"/>
          <w:szCs w:val="30"/>
        </w:rPr>
        <w:t>2024年</w:t>
      </w:r>
      <w:r w:rsidR="00BB5C36">
        <w:rPr>
          <w:rFonts w:eastAsia="仿宋" w:cs="仿宋" w:hint="eastAsia"/>
          <w:kern w:val="2"/>
          <w:sz w:val="32"/>
          <w:szCs w:val="30"/>
        </w:rPr>
        <w:t>10</w:t>
      </w:r>
      <w:r>
        <w:rPr>
          <w:rFonts w:eastAsia="仿宋" w:cs="仿宋" w:hint="eastAsia"/>
          <w:kern w:val="2"/>
          <w:sz w:val="32"/>
          <w:szCs w:val="30"/>
        </w:rPr>
        <w:t>月底前已</w:t>
      </w:r>
      <w:r w:rsidR="00BB5C36">
        <w:rPr>
          <w:rFonts w:eastAsia="仿宋" w:cs="仿宋" w:hint="eastAsia"/>
          <w:kern w:val="2"/>
          <w:sz w:val="32"/>
          <w:szCs w:val="30"/>
        </w:rPr>
        <w:t>全部完成安装并验收，</w:t>
      </w:r>
      <w:r>
        <w:rPr>
          <w:rFonts w:eastAsia="仿宋" w:cs="仿宋" w:hint="eastAsia"/>
          <w:kern w:val="2"/>
          <w:sz w:val="32"/>
          <w:szCs w:val="30"/>
        </w:rPr>
        <w:t>时效指标已完成，完成率为100%。</w:t>
      </w:r>
    </w:p>
    <w:p w:rsidR="00831F78" w:rsidRDefault="00831F78" w:rsidP="00831F78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4、成本指标完成情况：</w:t>
      </w:r>
      <w:r>
        <w:rPr>
          <w:rFonts w:eastAsia="仿宋" w:cs="仿宋" w:hint="eastAsia"/>
          <w:kern w:val="2"/>
          <w:sz w:val="32"/>
          <w:szCs w:val="30"/>
        </w:rPr>
        <w:t>项目</w:t>
      </w:r>
      <w:r w:rsidR="00BB5C36">
        <w:rPr>
          <w:rFonts w:eastAsia="仿宋" w:cs="仿宋" w:hint="eastAsia"/>
          <w:kern w:val="2"/>
          <w:sz w:val="32"/>
          <w:szCs w:val="30"/>
        </w:rPr>
        <w:t>总价15.6938万元</w:t>
      </w:r>
      <w:r>
        <w:rPr>
          <w:rFonts w:eastAsia="仿宋" w:cs="仿宋" w:hint="eastAsia"/>
          <w:kern w:val="2"/>
          <w:sz w:val="32"/>
          <w:szCs w:val="30"/>
        </w:rPr>
        <w:t>。实际总成本控制在预算范围内，本项完成率为100%。</w:t>
      </w:r>
    </w:p>
    <w:p w:rsidR="00831F78" w:rsidRPr="00BB5C36" w:rsidRDefault="00831F78" w:rsidP="00831F78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5、效益指标完成情况：</w:t>
      </w:r>
      <w:r w:rsidR="00BB5C36">
        <w:rPr>
          <w:rFonts w:eastAsia="仿宋" w:cs="仿宋" w:hint="eastAsia"/>
          <w:kern w:val="2"/>
          <w:sz w:val="32"/>
          <w:szCs w:val="30"/>
        </w:rPr>
        <w:t>根据完成后的情况来看，有效阻止景区社会车辆的进入，对门票收入的实现、交通压力的缓解、以及减少社会车辆进入景区产生的污染均发挥了积极</w:t>
      </w:r>
      <w:r w:rsidR="00BB5C36" w:rsidRPr="00BB5C36">
        <w:rPr>
          <w:rFonts w:eastAsia="仿宋" w:cs="仿宋" w:hint="eastAsia"/>
          <w:kern w:val="2"/>
          <w:sz w:val="32"/>
          <w:szCs w:val="30"/>
        </w:rPr>
        <w:t>作用，</w:t>
      </w:r>
      <w:r w:rsidRPr="00BB5C36">
        <w:rPr>
          <w:rFonts w:eastAsia="仿宋" w:cs="仿宋" w:hint="eastAsia"/>
          <w:kern w:val="2"/>
          <w:sz w:val="32"/>
          <w:szCs w:val="30"/>
        </w:rPr>
        <w:t>本项完成率为100%。</w:t>
      </w:r>
    </w:p>
    <w:p w:rsidR="00831F78" w:rsidRDefault="00831F78" w:rsidP="00831F78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6、满意度指标完成情况：</w:t>
      </w:r>
      <w:r w:rsidR="00BB5C36">
        <w:rPr>
          <w:rFonts w:eastAsia="仿宋" w:cs="仿宋" w:hint="eastAsia"/>
          <w:kern w:val="2"/>
          <w:sz w:val="32"/>
          <w:szCs w:val="30"/>
        </w:rPr>
        <w:t>项目实施完成后，游客投诉率为0，低于预设</w:t>
      </w:r>
      <w:r>
        <w:rPr>
          <w:rFonts w:eastAsia="仿宋" w:cs="仿宋" w:hint="eastAsia"/>
          <w:kern w:val="2"/>
          <w:sz w:val="32"/>
          <w:szCs w:val="30"/>
        </w:rPr>
        <w:t>目标</w:t>
      </w:r>
      <w:r w:rsidR="00BB5C36">
        <w:rPr>
          <w:rFonts w:eastAsia="仿宋" w:cs="仿宋" w:hint="eastAsia"/>
          <w:kern w:val="2"/>
          <w:sz w:val="32"/>
          <w:szCs w:val="30"/>
        </w:rPr>
        <w:t>低于0.1</w:t>
      </w:r>
      <w:r>
        <w:rPr>
          <w:rFonts w:eastAsia="仿宋" w:cs="仿宋" w:hint="eastAsia"/>
          <w:kern w:val="2"/>
          <w:sz w:val="32"/>
          <w:szCs w:val="30"/>
        </w:rPr>
        <w:t>%，完成率为100%。</w:t>
      </w:r>
    </w:p>
    <w:p w:rsidR="00831F78" w:rsidRDefault="00831F78" w:rsidP="00831F78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本项目总体评分为</w:t>
      </w:r>
      <w:r w:rsidR="00BB5C36">
        <w:rPr>
          <w:rFonts w:eastAsia="仿宋" w:cs="仿宋" w:hint="eastAsia"/>
          <w:kern w:val="2"/>
          <w:sz w:val="32"/>
          <w:szCs w:val="30"/>
        </w:rPr>
        <w:t>99.7</w:t>
      </w:r>
      <w:r>
        <w:rPr>
          <w:rFonts w:eastAsia="仿宋" w:cs="仿宋" w:hint="eastAsia"/>
          <w:kern w:val="2"/>
          <w:sz w:val="32"/>
          <w:szCs w:val="30"/>
        </w:rPr>
        <w:t>分，为</w:t>
      </w:r>
      <w:r w:rsidR="00BB5C36">
        <w:rPr>
          <w:rFonts w:eastAsia="仿宋" w:cs="仿宋" w:hint="eastAsia"/>
          <w:kern w:val="2"/>
          <w:sz w:val="32"/>
          <w:szCs w:val="30"/>
        </w:rPr>
        <w:t>优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150E8B" w:rsidRDefault="0078767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四、</w:t>
      </w:r>
      <w:r>
        <w:rPr>
          <w:rFonts w:ascii="Times New Roman" w:eastAsia="黑体" w:hAnsi="Times New Roman"/>
          <w:kern w:val="2"/>
          <w:sz w:val="32"/>
          <w:szCs w:val="32"/>
        </w:rPr>
        <w:t>偏离绩效目标的原因和下一步改进措施</w:t>
      </w:r>
    </w:p>
    <w:p w:rsidR="00BB5C36" w:rsidRDefault="00BB5C36" w:rsidP="00BB5C36">
      <w:pPr>
        <w:spacing w:line="600" w:lineRule="exact"/>
        <w:ind w:firstLineChars="200" w:firstLine="643"/>
        <w:jc w:val="left"/>
        <w:rPr>
          <w:rFonts w:eastAsia="仿宋" w:cs="仿宋"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sz w:val="32"/>
          <w:szCs w:val="30"/>
        </w:rPr>
        <w:t>（一）</w:t>
      </w: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项目资金执行情况分析：</w:t>
      </w:r>
      <w:r>
        <w:rPr>
          <w:rFonts w:eastAsia="仿宋" w:cs="仿宋" w:hint="eastAsia"/>
          <w:kern w:val="2"/>
          <w:sz w:val="32"/>
          <w:szCs w:val="30"/>
        </w:rPr>
        <w:t>资金实际支付率</w:t>
      </w:r>
      <w:r w:rsidR="0078767A">
        <w:rPr>
          <w:rFonts w:eastAsia="仿宋" w:cs="仿宋" w:hint="eastAsia"/>
          <w:kern w:val="2"/>
          <w:sz w:val="32"/>
          <w:szCs w:val="30"/>
        </w:rPr>
        <w:t>97</w:t>
      </w:r>
      <w:r>
        <w:rPr>
          <w:rFonts w:eastAsia="仿宋" w:cs="仿宋" w:hint="eastAsia"/>
          <w:kern w:val="2"/>
          <w:sz w:val="32"/>
          <w:szCs w:val="30"/>
        </w:rPr>
        <w:t>%，</w:t>
      </w:r>
      <w:r w:rsidR="0078767A">
        <w:rPr>
          <w:rFonts w:eastAsia="仿宋" w:cs="仿宋" w:hint="eastAsia"/>
          <w:kern w:val="2"/>
          <w:sz w:val="32"/>
          <w:szCs w:val="30"/>
        </w:rPr>
        <w:t>没有达到100%，偏离原因是：留有3%的质保金，为保障道闸的质量而设，不影响项目绩效目标的实现，一年后如无质量问题，将如数将质保金支付给对方。</w:t>
      </w:r>
    </w:p>
    <w:p w:rsidR="00150E8B" w:rsidRDefault="0078767A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lastRenderedPageBreak/>
        <w:t>五、绩效自评结果拟应用和公开情况</w:t>
      </w:r>
    </w:p>
    <w:p w:rsidR="00150E8B" w:rsidRDefault="0078767A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，并上传整体绩效自评报告和专项绩效自评报告，并通过预决算公开平台同步上传至单位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78767A" w:rsidRDefault="0078767A" w:rsidP="0078767A">
      <w:pPr>
        <w:spacing w:line="600" w:lineRule="exact"/>
        <w:ind w:firstLineChars="1300" w:firstLine="4160"/>
        <w:rPr>
          <w:rFonts w:ascii="Times New Roman" w:eastAsia="仿宋" w:hAnsi="Times New Roman" w:hint="eastAsia"/>
          <w:kern w:val="2"/>
          <w:sz w:val="32"/>
          <w:szCs w:val="32"/>
        </w:rPr>
      </w:pPr>
    </w:p>
    <w:p w:rsidR="0078767A" w:rsidRDefault="0078767A" w:rsidP="0078767A">
      <w:pPr>
        <w:spacing w:line="600" w:lineRule="exact"/>
        <w:ind w:firstLineChars="1300" w:firstLine="4160"/>
        <w:rPr>
          <w:rFonts w:ascii="Times New Roman" w:eastAsia="仿宋" w:hAnsi="Times New Roman" w:hint="eastAsia"/>
          <w:kern w:val="2"/>
          <w:sz w:val="32"/>
          <w:szCs w:val="32"/>
        </w:rPr>
      </w:pPr>
    </w:p>
    <w:p w:rsidR="0078767A" w:rsidRDefault="0078767A" w:rsidP="0078767A">
      <w:pPr>
        <w:spacing w:line="600" w:lineRule="exact"/>
        <w:ind w:firstLineChars="1300" w:firstLine="4160"/>
        <w:rPr>
          <w:rFonts w:ascii="Times New Roman" w:eastAsia="仿宋" w:hAnsi="Times New Roman" w:hint="eastAsia"/>
          <w:kern w:val="2"/>
          <w:sz w:val="32"/>
          <w:szCs w:val="32"/>
        </w:rPr>
      </w:pPr>
    </w:p>
    <w:p w:rsidR="00150E8B" w:rsidRDefault="0078767A" w:rsidP="0078767A">
      <w:pPr>
        <w:spacing w:line="600" w:lineRule="exact"/>
        <w:ind w:firstLineChars="1300" w:firstLine="416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南岳区城市管理和综合执法局</w:t>
      </w:r>
    </w:p>
    <w:p w:rsidR="00150E8B" w:rsidRDefault="0078767A" w:rsidP="007D739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2025</w:t>
      </w:r>
      <w:r>
        <w:rPr>
          <w:rFonts w:ascii="Times New Roman" w:eastAsia="仿宋" w:hAnsi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/>
          <w:kern w:val="2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>
        <w:rPr>
          <w:rFonts w:ascii="Times New Roman" w:eastAsia="仿宋" w:hAnsi="Times New Roman"/>
          <w:kern w:val="2"/>
          <w:sz w:val="32"/>
          <w:szCs w:val="32"/>
        </w:rPr>
        <w:t xml:space="preserve"> </w:t>
      </w:r>
      <w:r>
        <w:rPr>
          <w:rFonts w:ascii="Times New Roman" w:eastAsia="仿宋" w:hAnsi="Times New Roman"/>
          <w:kern w:val="2"/>
          <w:sz w:val="32"/>
          <w:szCs w:val="32"/>
        </w:rPr>
        <w:t>日</w:t>
      </w:r>
    </w:p>
    <w:p w:rsidR="00150E8B" w:rsidRDefault="00150E8B"/>
    <w:sectPr w:rsidR="00150E8B" w:rsidSect="00150E8B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150E8B"/>
    <w:rsid w:val="003A7E08"/>
    <w:rsid w:val="00427FF7"/>
    <w:rsid w:val="0078767A"/>
    <w:rsid w:val="007D7397"/>
    <w:rsid w:val="00831F78"/>
    <w:rsid w:val="008B75D0"/>
    <w:rsid w:val="00BB5C36"/>
    <w:rsid w:val="00E00326"/>
    <w:rsid w:val="2FD607DF"/>
    <w:rsid w:val="515F3303"/>
    <w:rsid w:val="5277131C"/>
    <w:rsid w:val="76ED5908"/>
    <w:rsid w:val="7A24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E8B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paragraph" w:styleId="3">
    <w:name w:val="heading 3"/>
    <w:basedOn w:val="a"/>
    <w:next w:val="a"/>
    <w:semiHidden/>
    <w:unhideWhenUsed/>
    <w:qFormat/>
    <w:rsid w:val="00150E8B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150E8B"/>
    <w:pPr>
      <w:ind w:left="1680"/>
    </w:pPr>
    <w:rPr>
      <w:rFonts w:ascii="Calibri" w:hAnsi="Calibri"/>
      <w:szCs w:val="22"/>
    </w:rPr>
  </w:style>
  <w:style w:type="paragraph" w:styleId="a3">
    <w:name w:val="footer"/>
    <w:basedOn w:val="a"/>
    <w:next w:val="5"/>
    <w:qFormat/>
    <w:rsid w:val="0015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qFormat/>
    <w:rsid w:val="0015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50E8B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Administrator</cp:lastModifiedBy>
  <cp:revision>2</cp:revision>
  <cp:lastPrinted>2025-05-23T08:02:00Z</cp:lastPrinted>
  <dcterms:created xsi:type="dcterms:W3CDTF">2025-05-23T07:35:00Z</dcterms:created>
  <dcterms:modified xsi:type="dcterms:W3CDTF">2025-06-13T09:51:00Z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6E24C7210A49401EB3942FA4A2E77C09_13</vt:lpwstr>
  </property>
</Properties>
</file>