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09" w:rsidRDefault="00401213" w:rsidP="00401213">
      <w:pPr>
        <w:spacing w:line="600" w:lineRule="exact"/>
        <w:jc w:val="center"/>
        <w:rPr>
          <w:rFonts w:ascii="Times New Roman" w:eastAsia="方正小标宋简体" w:hAnsi="Times New Roman" w:hint="eastAsia"/>
          <w:kern w:val="2"/>
          <w:sz w:val="44"/>
          <w:szCs w:val="44"/>
        </w:rPr>
      </w:pPr>
      <w:bookmarkStart w:id="0" w:name="OLE_LINK6"/>
      <w:r>
        <w:rPr>
          <w:rFonts w:ascii="Times New Roman" w:eastAsia="方正小标宋简体" w:hAnsi="Times New Roman" w:hint="eastAsia"/>
          <w:kern w:val="2"/>
          <w:sz w:val="44"/>
          <w:szCs w:val="44"/>
        </w:rPr>
        <w:t>南岳区城市管理和综合执法局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2025</w:t>
      </w:r>
      <w:r w:rsidR="008147FB">
        <w:rPr>
          <w:rFonts w:ascii="Times New Roman" w:eastAsia="方正小标宋简体" w:hAnsi="Times New Roman"/>
          <w:kern w:val="2"/>
          <w:sz w:val="44"/>
          <w:szCs w:val="44"/>
        </w:rPr>
        <w:t>年</w:t>
      </w:r>
      <w:r w:rsidRPr="00401213">
        <w:rPr>
          <w:rFonts w:ascii="Times New Roman" w:eastAsia="方正小标宋简体" w:hAnsi="Times New Roman" w:hint="eastAsia"/>
          <w:kern w:val="2"/>
          <w:sz w:val="44"/>
          <w:szCs w:val="44"/>
        </w:rPr>
        <w:t>年度花卉采购项目</w:t>
      </w:r>
      <w:r w:rsidR="008147FB">
        <w:rPr>
          <w:rFonts w:ascii="Times New Roman" w:eastAsia="方正小标宋简体" w:hAnsi="Times New Roman"/>
          <w:kern w:val="2"/>
          <w:sz w:val="44"/>
          <w:szCs w:val="44"/>
        </w:rPr>
        <w:t>专项资金绩效自评报告</w:t>
      </w:r>
      <w:bookmarkEnd w:id="0"/>
    </w:p>
    <w:p w:rsidR="00401213" w:rsidRPr="00401213" w:rsidRDefault="00401213" w:rsidP="00401213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</w:p>
    <w:p w:rsidR="004D3809" w:rsidRDefault="008147FB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一、绩效目标解下达情况</w:t>
      </w:r>
    </w:p>
    <w:p w:rsidR="004D3809" w:rsidRDefault="008147FB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</w:t>
      </w:r>
      <w:r w:rsidR="00090F9E" w:rsidRPr="00090F9E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年度花卉采购项目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财政专项资金下达预算及项目情况。</w:t>
      </w:r>
    </w:p>
    <w:p w:rsidR="004D3809" w:rsidRDefault="00090F9E" w:rsidP="00256827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年度花卉采购项目实施</w:t>
      </w:r>
      <w:r w:rsidRPr="00090F9E">
        <w:rPr>
          <w:rFonts w:ascii="Times New Roman" w:eastAsia="仿宋" w:hAnsi="Times New Roman" w:hint="eastAsia"/>
          <w:kern w:val="2"/>
          <w:sz w:val="32"/>
          <w:szCs w:val="32"/>
        </w:rPr>
        <w:t>时间从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2023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年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9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月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15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日至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2024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年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9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月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15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日止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采购方式为竞争性磋商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中标企业为湖南新城建设工程有限公司，中标价格为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110.3888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万元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服务内容包括提供指定要求的品种、规格和数量的花卉，并提供送货、种植和维护服务，经我单位业务部门验收考核后（依据考核结果扣分扣款），根据财务状况及时支付款项（一般按季度支付）。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该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项目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财政资金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下达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时间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分别为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7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依据考核结果扣款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0.2588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万元，共支付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该项目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款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110.13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万元</w:t>
      </w:r>
      <w:r w:rsidRPr="00090F9E">
        <w:rPr>
          <w:rFonts w:ascii="Times New Roman" w:eastAsia="仿宋" w:hAnsi="Times New Roman"/>
          <w:kern w:val="2"/>
          <w:sz w:val="32"/>
          <w:szCs w:val="32"/>
        </w:rPr>
        <w:t>，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年度总体目标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为对城区所有指定地点节点</w:t>
      </w:r>
      <w:r w:rsidR="00256827" w:rsidRPr="00090F9E">
        <w:rPr>
          <w:rFonts w:ascii="Times New Roman" w:eastAsia="仿宋" w:hAnsi="Times New Roman"/>
          <w:kern w:val="2"/>
          <w:sz w:val="32"/>
          <w:szCs w:val="32"/>
        </w:rPr>
        <w:t>提供指定要求的品种、规格和数量的花卉，并提供送货、种植和维护服务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，实现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城区花卉的正常绿化美化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功能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</w:t>
      </w:r>
      <w:r w:rsidR="00256827" w:rsidRPr="00090F9E"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年度花卉采购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项目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年初或年中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绩效目标设定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情况</w:t>
      </w: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。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bookmarkStart w:id="1" w:name="OLE_LINK4"/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、产出指标：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数量指标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1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、重大节日地面临时节点花卉数量达到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3240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株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bookmarkStart w:id="2" w:name="OLE_LINK1"/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数量指标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2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、花坛景观节点花卉布置面积达到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178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平方米，数量指标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3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、立体花箱花盒个数达到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3836</w:t>
      </w:r>
      <w:r w:rsidR="00256827">
        <w:rPr>
          <w:rFonts w:ascii="Times New Roman" w:eastAsia="仿宋" w:hAnsi="Times New Roman" w:hint="eastAsia"/>
          <w:kern w:val="2"/>
          <w:sz w:val="32"/>
          <w:szCs w:val="32"/>
        </w:rPr>
        <w:t>个。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质量指标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为工作完成率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，时效指标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为工作完成及时率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，成本指标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该项目合同金额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110.3888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bookmarkEnd w:id="2"/>
    <w:p w:rsidR="004024E9" w:rsidRDefault="008147FB">
      <w:pPr>
        <w:spacing w:line="600" w:lineRule="exact"/>
        <w:ind w:firstLineChars="200" w:firstLine="643"/>
        <w:rPr>
          <w:rFonts w:ascii="Times New Roman" w:eastAsia="仿宋" w:hAnsi="Times New Roman" w:hint="eastAsia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lastRenderedPageBreak/>
        <w:t>2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、效益指标：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经济效益指标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不适用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，社会效益指标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为保障工作正常运转的有限保障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，生态环境指标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为城市人居环境质量的提升。</w:t>
      </w:r>
    </w:p>
    <w:p w:rsidR="004D3809" w:rsidRDefault="008147FB" w:rsidP="004024E9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、满意度指标</w:t>
      </w:r>
      <w:r w:rsidR="004024E9"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：</w:t>
      </w:r>
      <w:r w:rsidR="004024E9" w:rsidRPr="004024E9">
        <w:rPr>
          <w:rFonts w:ascii="Times New Roman" w:eastAsia="仿宋" w:hAnsi="Times New Roman" w:hint="eastAsia"/>
          <w:kern w:val="2"/>
          <w:sz w:val="32"/>
          <w:szCs w:val="32"/>
        </w:rPr>
        <w:t>服务对象满意度指标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为群众满意度达到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95%</w:t>
      </w:r>
    </w:p>
    <w:bookmarkEnd w:id="1"/>
    <w:p w:rsidR="004D3809" w:rsidRDefault="008147FB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二、绩效自评工作开展情况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三、绩效目标自评完成情况分析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（一）资金投入情况分析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项目资金到位情况分析。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年财政实际下拨了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110.13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项目资金执行情况分析。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本项目实际支付给</w:t>
      </w:r>
      <w:r w:rsidR="004024E9" w:rsidRPr="00090F9E">
        <w:rPr>
          <w:rFonts w:ascii="Times New Roman" w:eastAsia="仿宋" w:hAnsi="Times New Roman"/>
          <w:kern w:val="2"/>
          <w:sz w:val="32"/>
          <w:szCs w:val="32"/>
        </w:rPr>
        <w:t>湖南新城建设工程有限公司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110.13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万元，用于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花卉提供、种植和维护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方面。</w:t>
      </w:r>
    </w:p>
    <w:p w:rsidR="004D3809" w:rsidRDefault="008147FB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3.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项目资金管理情况分析。</w:t>
      </w:r>
    </w:p>
    <w:p w:rsidR="004D3809" w:rsidRDefault="008147FB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3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:rsidR="004D3809" w:rsidRDefault="008147FB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（二）绩效目标</w:t>
      </w:r>
      <w:r>
        <w:rPr>
          <w:rFonts w:ascii="Times New Roman" w:eastAsia="楷体" w:hAnsi="Times New Roman" w:hint="eastAsia"/>
          <w:b/>
          <w:bCs/>
          <w:kern w:val="2"/>
          <w:sz w:val="32"/>
          <w:szCs w:val="32"/>
        </w:rPr>
        <w:t>实际</w:t>
      </w: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完成情况分析</w:t>
      </w:r>
    </w:p>
    <w:p w:rsidR="004D3809" w:rsidRDefault="008147FB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lastRenderedPageBreak/>
        <w:t>1.</w:t>
      </w:r>
      <w:r>
        <w:rPr>
          <w:rFonts w:eastAsia="仿宋" w:cs="仿宋" w:hint="eastAsia"/>
          <w:b/>
          <w:bCs/>
          <w:kern w:val="2"/>
          <w:sz w:val="32"/>
          <w:szCs w:val="32"/>
        </w:rPr>
        <w:t>产出指标完成情况分析。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包括产出数量、质量、时效、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经济</w:t>
      </w:r>
      <w:r>
        <w:rPr>
          <w:rFonts w:ascii="Times New Roman" w:eastAsia="仿宋" w:hAnsi="Times New Roman"/>
          <w:kern w:val="2"/>
          <w:sz w:val="32"/>
          <w:szCs w:val="32"/>
        </w:rPr>
        <w:t>成本指标</w:t>
      </w:r>
      <w:r>
        <w:rPr>
          <w:rFonts w:ascii="Times New Roman" w:eastAsia="仿宋" w:hAnsi="Times New Roman"/>
          <w:kern w:val="2"/>
          <w:sz w:val="32"/>
          <w:szCs w:val="32"/>
        </w:rPr>
        <w:t>的全年实际</w:t>
      </w:r>
      <w:r>
        <w:rPr>
          <w:rFonts w:ascii="Times New Roman" w:eastAsia="仿宋" w:hAnsi="Times New Roman"/>
          <w:kern w:val="2"/>
          <w:sz w:val="32"/>
          <w:szCs w:val="32"/>
        </w:rPr>
        <w:t>完成情况。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产出指标：数量指标</w:t>
      </w:r>
      <w:bookmarkStart w:id="4" w:name="OLE_LINK7"/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bookmarkEnd w:id="4"/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重大节日地面临时节点花卉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3240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株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花坛景观节点花卉布置面积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178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平方米，立体花箱花盒个数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3836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个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完成了年初的计划，相比较</w:t>
      </w:r>
      <w:r w:rsidR="004024E9">
        <w:rPr>
          <w:rFonts w:ascii="Times New Roman" w:eastAsia="仿宋" w:hAnsi="Times New Roman" w:hint="eastAsia"/>
          <w:kern w:val="2"/>
          <w:sz w:val="32"/>
          <w:szCs w:val="32"/>
        </w:rPr>
        <w:t>没有存在偏差。</w:t>
      </w:r>
    </w:p>
    <w:p w:rsidR="004D3809" w:rsidRDefault="00C0259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质量指标实际工作完成率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 w:rsidR="008147FB">
        <w:rPr>
          <w:rFonts w:ascii="Times New Roman" w:eastAsia="仿宋" w:hAnsi="Times New Roman" w:hint="eastAsia"/>
          <w:kern w:val="2"/>
          <w:sz w:val="32"/>
          <w:szCs w:val="32"/>
        </w:rPr>
        <w:t>完成了年初的计划，相比较年度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没有存在偏差。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时效指标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工作完成及时率达到</w:t>
      </w:r>
      <w:bookmarkStart w:id="5" w:name="OLE_LINK5"/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目标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，相比较年度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没有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存在偏差</w:t>
      </w:r>
      <w:bookmarkEnd w:id="5"/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成本指标</w:t>
      </w:r>
      <w:r w:rsidR="00C40661">
        <w:rPr>
          <w:rFonts w:ascii="Times New Roman" w:eastAsia="仿宋" w:hAnsi="Times New Roman" w:hint="eastAsia"/>
          <w:kern w:val="2"/>
          <w:sz w:val="32"/>
          <w:szCs w:val="32"/>
        </w:rPr>
        <w:t>支付项目款</w:t>
      </w:r>
      <w:r w:rsidR="00C66431">
        <w:rPr>
          <w:rFonts w:eastAsia="仿宋" w:cs="仿宋" w:hint="eastAsia"/>
          <w:kern w:val="2"/>
          <w:sz w:val="32"/>
          <w:szCs w:val="30"/>
        </w:rPr>
        <w:t>为110.</w:t>
      </w:r>
      <w:r w:rsidR="00C148F9">
        <w:rPr>
          <w:rFonts w:eastAsia="仿宋" w:cs="仿宋" w:hint="eastAsia"/>
          <w:kern w:val="2"/>
          <w:sz w:val="32"/>
          <w:szCs w:val="30"/>
        </w:rPr>
        <w:t>13</w:t>
      </w:r>
      <w:r w:rsidR="00C40661">
        <w:rPr>
          <w:rFonts w:eastAsia="仿宋" w:cs="仿宋" w:hint="eastAsia"/>
          <w:kern w:val="2"/>
          <w:sz w:val="32"/>
          <w:szCs w:val="30"/>
        </w:rPr>
        <w:t>万元，期初目标成本为110.3888万元，成本控制在目标成本范围内，</w:t>
      </w:r>
      <w:r w:rsidR="00C66431">
        <w:rPr>
          <w:rFonts w:eastAsia="仿宋" w:cs="仿宋" w:hint="eastAsia"/>
          <w:kern w:val="2"/>
          <w:sz w:val="32"/>
          <w:szCs w:val="30"/>
        </w:rPr>
        <w:t>完成率为100%。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相比较年度偏差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0.2588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万元，节约了资金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0.2588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p w:rsidR="004D3809" w:rsidRDefault="008147FB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2.</w:t>
      </w:r>
      <w:r>
        <w:rPr>
          <w:rFonts w:eastAsia="仿宋" w:cs="仿宋" w:hint="eastAsia"/>
          <w:b/>
          <w:bCs/>
          <w:kern w:val="2"/>
          <w:sz w:val="32"/>
          <w:szCs w:val="32"/>
        </w:rPr>
        <w:t>效益指标完成情况分析。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包括</w:t>
      </w:r>
      <w:r>
        <w:rPr>
          <w:rFonts w:ascii="Times New Roman" w:eastAsia="仿宋" w:hAnsi="Times New Roman"/>
          <w:kern w:val="2"/>
          <w:sz w:val="32"/>
          <w:szCs w:val="32"/>
        </w:rPr>
        <w:t>专</w:t>
      </w:r>
      <w:r>
        <w:rPr>
          <w:rFonts w:ascii="Times New Roman" w:eastAsia="仿宋" w:hAnsi="Times New Roman"/>
          <w:kern w:val="2"/>
          <w:sz w:val="32"/>
          <w:szCs w:val="32"/>
        </w:rPr>
        <w:t>项</w:t>
      </w:r>
      <w:r>
        <w:rPr>
          <w:rFonts w:ascii="Times New Roman" w:eastAsia="仿宋" w:hAnsi="Times New Roman"/>
          <w:kern w:val="2"/>
          <w:sz w:val="32"/>
          <w:szCs w:val="32"/>
        </w:rPr>
        <w:t>资金</w:t>
      </w:r>
      <w:r>
        <w:rPr>
          <w:rFonts w:ascii="Times New Roman" w:eastAsia="仿宋" w:hAnsi="Times New Roman"/>
          <w:kern w:val="2"/>
          <w:sz w:val="32"/>
          <w:szCs w:val="32"/>
        </w:rPr>
        <w:t>所产生的经济效益、社会效益、</w:t>
      </w:r>
      <w:bookmarkStart w:id="6" w:name="OLE_LINK2"/>
      <w:r>
        <w:rPr>
          <w:rFonts w:ascii="Times New Roman" w:eastAsia="仿宋" w:hAnsi="Times New Roman"/>
          <w:kern w:val="2"/>
          <w:sz w:val="32"/>
          <w:szCs w:val="32"/>
        </w:rPr>
        <w:t>可持续影响</w:t>
      </w:r>
      <w:bookmarkEnd w:id="6"/>
      <w:r>
        <w:rPr>
          <w:rFonts w:ascii="Times New Roman" w:eastAsia="仿宋" w:hAnsi="Times New Roman"/>
          <w:kern w:val="2"/>
          <w:sz w:val="32"/>
          <w:szCs w:val="32"/>
        </w:rPr>
        <w:t>等。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社会效益指标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保障工作正常运转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实际完成了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完成了年初的计划，相比较年度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没有存在偏差。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生态环境指标实际完成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上对城市的人居环境质量得到了有效提升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完成了年初的计划，相比较年度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没有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存在偏差</w:t>
      </w:r>
      <w:r w:rsidR="00C02590"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D3809" w:rsidRDefault="008147FB">
      <w:pPr>
        <w:spacing w:line="600" w:lineRule="exact"/>
        <w:ind w:firstLineChars="200" w:firstLine="643"/>
        <w:rPr>
          <w:rFonts w:eastAsia="仿宋" w:cs="仿宋"/>
          <w:b/>
          <w:bCs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3.</w:t>
      </w:r>
      <w:r>
        <w:rPr>
          <w:rFonts w:eastAsia="仿宋" w:cs="仿宋" w:hint="eastAsia"/>
          <w:b/>
          <w:bCs/>
          <w:kern w:val="2"/>
          <w:sz w:val="32"/>
          <w:szCs w:val="32"/>
        </w:rPr>
        <w:t>满意度指标完成情况分析。</w:t>
      </w:r>
    </w:p>
    <w:p w:rsidR="004D3809" w:rsidRDefault="008147FB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满意度指标实际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群众满意度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完成了年初的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lastRenderedPageBreak/>
        <w:t>指标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，完成率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100%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，相比较年度</w:t>
      </w:r>
      <w:r w:rsidR="00C148F9">
        <w:rPr>
          <w:rFonts w:ascii="Times New Roman" w:eastAsia="仿宋" w:hAnsi="Times New Roman" w:hint="eastAsia"/>
          <w:kern w:val="2"/>
          <w:sz w:val="32"/>
          <w:szCs w:val="32"/>
        </w:rPr>
        <w:t>没有偏差。</w:t>
      </w:r>
    </w:p>
    <w:p w:rsidR="004D3809" w:rsidRDefault="008147FB" w:rsidP="00C40661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</w:t>
      </w:r>
      <w:r>
        <w:rPr>
          <w:rFonts w:ascii="Times New Roman" w:eastAsia="黑体" w:hAnsi="Times New Roman"/>
          <w:kern w:val="2"/>
          <w:sz w:val="32"/>
          <w:szCs w:val="32"/>
        </w:rPr>
        <w:t>绩效自评结果拟应用和公开情况</w:t>
      </w:r>
    </w:p>
    <w:p w:rsidR="004D3809" w:rsidRDefault="008147FB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，并上传整体绩效自评报告和专项绩效自评报告，并通过预决算公开平台同步上传至单位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4D3809" w:rsidRDefault="004D3809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4D3809" w:rsidRDefault="00C40661" w:rsidP="00C40661">
      <w:pPr>
        <w:spacing w:line="600" w:lineRule="exact"/>
        <w:ind w:firstLineChars="1300" w:firstLine="416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南岳区城市管理和综合执法局</w:t>
      </w:r>
      <w:r>
        <w:rPr>
          <w:rFonts w:ascii="Times New Roman" w:eastAsia="仿宋" w:hAnsi="Times New Roman" w:hint="eastAsia"/>
          <w:kern w:val="2"/>
          <w:sz w:val="32"/>
          <w:szCs w:val="32"/>
        </w:rPr>
        <w:t xml:space="preserve">     </w:t>
      </w:r>
    </w:p>
    <w:p w:rsidR="004D3809" w:rsidRDefault="008147FB" w:rsidP="00401213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2025</w:t>
      </w:r>
      <w:r>
        <w:rPr>
          <w:rFonts w:ascii="Times New Roman" w:eastAsia="仿宋" w:hAnsi="Times New Roman"/>
          <w:kern w:val="2"/>
          <w:sz w:val="32"/>
          <w:szCs w:val="32"/>
        </w:rPr>
        <w:t>年</w:t>
      </w:r>
      <w:r w:rsidR="00C40661"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/>
          <w:kern w:val="2"/>
          <w:sz w:val="32"/>
          <w:szCs w:val="32"/>
        </w:rPr>
        <w:t xml:space="preserve"> </w:t>
      </w:r>
      <w:r w:rsidR="00C40661"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>
        <w:rPr>
          <w:rFonts w:ascii="Times New Roman" w:eastAsia="仿宋" w:hAnsi="Times New Roman"/>
          <w:kern w:val="2"/>
          <w:sz w:val="32"/>
          <w:szCs w:val="32"/>
        </w:rPr>
        <w:t xml:space="preserve"> </w:t>
      </w:r>
      <w:r>
        <w:rPr>
          <w:rFonts w:ascii="Times New Roman" w:eastAsia="仿宋" w:hAnsi="Times New Roman"/>
          <w:kern w:val="2"/>
          <w:sz w:val="32"/>
          <w:szCs w:val="32"/>
        </w:rPr>
        <w:t>日</w:t>
      </w:r>
    </w:p>
    <w:p w:rsidR="004D3809" w:rsidRDefault="004D3809"/>
    <w:sectPr w:rsidR="004D3809" w:rsidSect="004D3809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7FB" w:rsidRDefault="008147FB" w:rsidP="00401213">
      <w:r>
        <w:separator/>
      </w:r>
    </w:p>
  </w:endnote>
  <w:endnote w:type="continuationSeparator" w:id="0">
    <w:p w:rsidR="008147FB" w:rsidRDefault="008147FB" w:rsidP="00401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7FB" w:rsidRDefault="008147FB" w:rsidP="00401213">
      <w:r>
        <w:separator/>
      </w:r>
    </w:p>
  </w:footnote>
  <w:footnote w:type="continuationSeparator" w:id="0">
    <w:p w:rsidR="008147FB" w:rsidRDefault="008147FB" w:rsidP="00401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090F9E"/>
    <w:rsid w:val="00256827"/>
    <w:rsid w:val="00401213"/>
    <w:rsid w:val="004024E9"/>
    <w:rsid w:val="004D3809"/>
    <w:rsid w:val="00641172"/>
    <w:rsid w:val="008147FB"/>
    <w:rsid w:val="00C02590"/>
    <w:rsid w:val="00C148F9"/>
    <w:rsid w:val="00C40661"/>
    <w:rsid w:val="00C66431"/>
    <w:rsid w:val="2FD607DF"/>
    <w:rsid w:val="515F3303"/>
    <w:rsid w:val="5277131C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809"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4D3809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4D3809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4D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4D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D3809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Administrator</cp:lastModifiedBy>
  <cp:revision>2</cp:revision>
  <cp:lastPrinted>2025-05-23T08:02:00Z</cp:lastPrinted>
  <dcterms:created xsi:type="dcterms:W3CDTF">2025-06-13T07:20:00Z</dcterms:created>
  <dcterms:modified xsi:type="dcterms:W3CDTF">2025-06-13T07:20:00Z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6E24C7210A49401EB3942FA4A2E77C09_13</vt:lpwstr>
  </property>
</Properties>
</file>