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B257F">
      <w:pPr>
        <w:pStyle w:val="5"/>
        <w:spacing w:before="0" w:beforeAutospacing="0" w:after="0" w:afterAutospacing="0" w:line="600" w:lineRule="atLeast"/>
        <w:jc w:val="center"/>
        <w:rPr>
          <w:rFonts w:hint="eastAsia" w:ascii="方正书宋_GBK" w:eastAsia="方正书宋_GBK"/>
          <w:color w:val="000000"/>
          <w:sz w:val="44"/>
          <w:szCs w:val="44"/>
          <w:lang w:eastAsia="zh-CN"/>
        </w:rPr>
      </w:pPr>
      <w:r>
        <w:rPr>
          <w:rFonts w:hint="eastAsia" w:ascii="方正书宋_GBK" w:eastAsia="方正书宋_GBK"/>
          <w:color w:val="000000"/>
          <w:sz w:val="44"/>
          <w:szCs w:val="44"/>
        </w:rPr>
        <w:t>南岳区</w:t>
      </w:r>
      <w:r>
        <w:rPr>
          <w:rFonts w:hint="eastAsia" w:ascii="方正书宋_GBK" w:eastAsia="方正书宋_GBK"/>
          <w:color w:val="000000"/>
          <w:sz w:val="44"/>
          <w:szCs w:val="44"/>
          <w:lang w:eastAsia="zh-CN"/>
        </w:rPr>
        <w:t>第一中学</w:t>
      </w:r>
    </w:p>
    <w:p w14:paraId="2E7618BF">
      <w:pPr>
        <w:pStyle w:val="5"/>
        <w:spacing w:before="0" w:beforeAutospacing="0" w:after="0" w:afterAutospacing="0" w:line="600" w:lineRule="atLeast"/>
        <w:jc w:val="center"/>
        <w:rPr>
          <w:rFonts w:ascii="等线" w:eastAsia="等线"/>
          <w:color w:val="000000"/>
        </w:rPr>
      </w:pPr>
      <w:r>
        <w:rPr>
          <w:rFonts w:hint="eastAsia" w:ascii="方正书宋_GBK" w:eastAsia="方正书宋_GBK"/>
          <w:color w:val="000000"/>
          <w:sz w:val="44"/>
          <w:szCs w:val="44"/>
          <w:lang w:eastAsia="zh-CN"/>
        </w:rPr>
        <w:t>2024年秋季普通高中免学费教材费及普通高中生均公用经费</w:t>
      </w:r>
      <w:r>
        <w:rPr>
          <w:rFonts w:hint="eastAsia" w:ascii="方正书宋_GBK" w:eastAsia="方正书宋_GBK"/>
          <w:color w:val="000000"/>
          <w:sz w:val="44"/>
          <w:szCs w:val="44"/>
        </w:rPr>
        <w:t>项目绩效自评报告</w:t>
      </w:r>
    </w:p>
    <w:p w14:paraId="36DBC686">
      <w:pPr>
        <w:pStyle w:val="5"/>
        <w:spacing w:before="0" w:beforeAutospacing="0" w:after="0" w:afterAutospacing="0" w:line="600" w:lineRule="atLeast"/>
        <w:ind w:firstLine="480"/>
        <w:jc w:val="both"/>
        <w:rPr>
          <w:rFonts w:ascii="等线" w:eastAsia="等线"/>
          <w:color w:val="000000"/>
        </w:rPr>
      </w:pPr>
      <w:r>
        <w:rPr>
          <w:rFonts w:hint="eastAsia" w:ascii="仿宋" w:hAnsi="仿宋" w:eastAsia="仿宋"/>
          <w:color w:val="000000"/>
          <w:sz w:val="32"/>
          <w:szCs w:val="32"/>
          <w:shd w:val="clear" w:color="auto" w:fill="FFFFFF"/>
        </w:rPr>
        <w:t>根据《关于开展2024年度区预算单位绩效自评和部门评价的通知》（岳财字〔2025〕14号）的文件精神，</w:t>
      </w:r>
      <w:r>
        <w:rPr>
          <w:rFonts w:hint="eastAsia" w:ascii="仿宋" w:hAnsi="仿宋" w:eastAsia="仿宋"/>
          <w:color w:val="000000"/>
          <w:sz w:val="32"/>
          <w:szCs w:val="32"/>
          <w:shd w:val="clear" w:color="auto" w:fill="FFFFFF"/>
          <w:lang w:eastAsia="zh-CN"/>
        </w:rPr>
        <w:t>本单位</w:t>
      </w:r>
      <w:r>
        <w:rPr>
          <w:rFonts w:hint="eastAsia" w:ascii="仿宋" w:hAnsi="仿宋" w:eastAsia="仿宋"/>
          <w:color w:val="000000"/>
          <w:sz w:val="32"/>
          <w:szCs w:val="32"/>
          <w:shd w:val="clear" w:color="auto" w:fill="FFFFFF"/>
        </w:rPr>
        <w:t>对2024年秋季普通高中免学费教材费及普通高中生均公用经费项目支出进行了单位绩效自评，现报告如下：</w:t>
      </w:r>
    </w:p>
    <w:p w14:paraId="00C9EC1D">
      <w:pPr>
        <w:pStyle w:val="5"/>
        <w:spacing w:before="0" w:beforeAutospacing="0" w:after="0" w:afterAutospacing="0" w:line="600" w:lineRule="atLeast"/>
        <w:ind w:firstLine="480"/>
        <w:jc w:val="both"/>
        <w:rPr>
          <w:rFonts w:ascii="等线" w:eastAsia="等线"/>
          <w:color w:val="000000"/>
        </w:rPr>
      </w:pPr>
      <w:r>
        <w:rPr>
          <w:rFonts w:hint="eastAsia" w:ascii="黑体" w:hAnsi="黑体" w:eastAsia="黑体"/>
          <w:color w:val="000000"/>
          <w:sz w:val="32"/>
          <w:szCs w:val="32"/>
        </w:rPr>
        <w:t>一、绩效目标分解下达情况</w:t>
      </w:r>
    </w:p>
    <w:p w14:paraId="4D39DB9F">
      <w:pPr>
        <w:pStyle w:val="5"/>
        <w:spacing w:before="0" w:beforeAutospacing="0" w:after="0" w:afterAutospacing="0" w:line="600" w:lineRule="atLeast"/>
        <w:ind w:firstLine="480"/>
        <w:jc w:val="both"/>
        <w:rPr>
          <w:rFonts w:ascii="等线" w:eastAsia="等线"/>
          <w:color w:val="000000"/>
        </w:rPr>
      </w:pPr>
      <w:r>
        <w:rPr>
          <w:rFonts w:hint="eastAsia" w:ascii="楷体" w:hAnsi="楷体" w:eastAsia="楷体"/>
          <w:b/>
          <w:bCs/>
          <w:color w:val="000000"/>
          <w:sz w:val="32"/>
          <w:szCs w:val="32"/>
          <w:shd w:val="clear" w:color="auto" w:fill="FFFFFF"/>
        </w:rPr>
        <w:t>（一）财政专项资金纳入预算及项目情况。</w:t>
      </w:r>
    </w:p>
    <w:p w14:paraId="5C1AEB8B">
      <w:pPr>
        <w:shd w:val="clear" w:color="auto" w:fill="FFFFFF"/>
        <w:ind w:firstLine="640" w:firstLineChars="200"/>
        <w:rPr>
          <w:rFonts w:hint="eastAsia" w:ascii="仿宋" w:hAnsi="仿宋" w:eastAsia="仿宋" w:cs="仿宋"/>
          <w:kern w:val="0"/>
          <w:sz w:val="32"/>
          <w:szCs w:val="32"/>
          <w:lang w:val="en-US" w:eastAsia="zh-CN"/>
        </w:rPr>
      </w:pPr>
      <w:r>
        <w:rPr>
          <w:rFonts w:hint="eastAsia" w:ascii="仿宋" w:hAnsi="仿宋" w:eastAsia="仿宋"/>
          <w:color w:val="000000"/>
          <w:sz w:val="32"/>
          <w:szCs w:val="32"/>
          <w:shd w:val="clear" w:color="auto" w:fill="FFFFFF"/>
        </w:rPr>
        <w:t>2024年秋季普通高中免学费教材费及普通高中生均公用经费项目资金预算</w:t>
      </w:r>
      <w:r>
        <w:rPr>
          <w:rFonts w:hint="eastAsia" w:ascii="仿宋" w:hAnsi="仿宋" w:eastAsia="仿宋"/>
          <w:color w:val="000000"/>
          <w:sz w:val="32"/>
          <w:szCs w:val="32"/>
          <w:shd w:val="clear" w:color="auto" w:fill="FFFFFF"/>
          <w:lang w:val="en-US" w:eastAsia="zh-CN"/>
        </w:rPr>
        <w:t>65.45</w:t>
      </w:r>
      <w:r>
        <w:rPr>
          <w:rFonts w:hint="eastAsia" w:ascii="仿宋" w:hAnsi="仿宋" w:eastAsia="仿宋"/>
          <w:color w:val="000000"/>
          <w:sz w:val="32"/>
          <w:szCs w:val="32"/>
          <w:shd w:val="clear" w:color="auto" w:fill="FFFFFF"/>
        </w:rPr>
        <w:t>万元，</w:t>
      </w:r>
      <w:r>
        <w:rPr>
          <w:rFonts w:hint="eastAsia" w:ascii="仿宋" w:hAnsi="仿宋" w:eastAsia="仿宋" w:cs="仿宋"/>
          <w:kern w:val="0"/>
          <w:sz w:val="32"/>
          <w:szCs w:val="32"/>
          <w:lang w:eastAsia="zh-CN"/>
        </w:rPr>
        <w:t>用于补助全校</w:t>
      </w:r>
      <w:r>
        <w:rPr>
          <w:rFonts w:hint="eastAsia" w:ascii="仿宋" w:hAnsi="仿宋" w:eastAsia="仿宋" w:cs="仿宋"/>
          <w:kern w:val="0"/>
          <w:sz w:val="32"/>
          <w:szCs w:val="32"/>
          <w:lang w:val="en-US" w:eastAsia="zh-CN"/>
        </w:rPr>
        <w:t>1104人在校生的</w:t>
      </w:r>
      <w:r>
        <w:rPr>
          <w:rFonts w:hint="eastAsia" w:ascii="仿宋" w:hAnsi="仿宋" w:eastAsia="仿宋"/>
          <w:color w:val="000000"/>
          <w:sz w:val="32"/>
          <w:szCs w:val="32"/>
          <w:shd w:val="clear" w:color="auto" w:fill="FFFFFF"/>
        </w:rPr>
        <w:t>免学费教材费</w:t>
      </w:r>
      <w:r>
        <w:rPr>
          <w:rFonts w:hint="eastAsia" w:ascii="仿宋" w:hAnsi="仿宋" w:eastAsia="仿宋"/>
          <w:color w:val="000000"/>
          <w:sz w:val="32"/>
          <w:szCs w:val="32"/>
          <w:shd w:val="clear" w:color="auto" w:fill="FFFFFF"/>
          <w:lang w:eastAsia="zh-CN"/>
        </w:rPr>
        <w:t>和生均公用经费。</w:t>
      </w:r>
    </w:p>
    <w:p w14:paraId="3E46E672">
      <w:pPr>
        <w:ind w:firstLine="643" w:firstLineChars="200"/>
        <w:rPr>
          <w:rFonts w:ascii="等线" w:eastAsia="等线"/>
          <w:color w:val="000000"/>
        </w:rPr>
      </w:pPr>
      <w:r>
        <w:rPr>
          <w:rFonts w:hint="eastAsia" w:ascii="楷体" w:hAnsi="楷体" w:eastAsia="楷体"/>
          <w:b/>
          <w:bCs/>
          <w:color w:val="000000"/>
          <w:sz w:val="32"/>
          <w:szCs w:val="32"/>
        </w:rPr>
        <w:t>（二）项目绩效目标年初设定情况。</w:t>
      </w:r>
    </w:p>
    <w:p w14:paraId="79DA75BB">
      <w:pPr>
        <w:pStyle w:val="5"/>
        <w:spacing w:before="0" w:beforeAutospacing="0" w:after="0" w:afterAutospacing="0" w:line="600" w:lineRule="atLeast"/>
        <w:ind w:firstLine="480"/>
        <w:jc w:val="both"/>
        <w:rPr>
          <w:rFonts w:ascii="仿宋" w:hAnsi="仿宋" w:eastAsia="仿宋"/>
          <w:color w:val="000000"/>
          <w:sz w:val="32"/>
          <w:szCs w:val="32"/>
        </w:rPr>
      </w:pPr>
      <w:r>
        <w:rPr>
          <w:rFonts w:hint="eastAsia" w:ascii="仿宋" w:hAnsi="仿宋" w:eastAsia="仿宋"/>
          <w:b/>
          <w:bCs/>
          <w:color w:val="000000"/>
          <w:sz w:val="32"/>
          <w:szCs w:val="32"/>
        </w:rPr>
        <w:t>1、数量指标：</w:t>
      </w:r>
      <w:r>
        <w:rPr>
          <w:rFonts w:hint="eastAsia" w:ascii="仿宋" w:hAnsi="仿宋" w:eastAsia="仿宋" w:cs="仿宋"/>
          <w:kern w:val="0"/>
          <w:sz w:val="32"/>
          <w:szCs w:val="32"/>
          <w:lang w:val="en-US" w:eastAsia="zh-CN" w:bidi="ar-SA"/>
        </w:rPr>
        <w:t>1. 补助学生人数1104人。2.教职工人数94人。</w:t>
      </w:r>
    </w:p>
    <w:p w14:paraId="4CD12402">
      <w:pPr>
        <w:pStyle w:val="5"/>
        <w:spacing w:before="0" w:beforeAutospacing="0" w:after="0" w:afterAutospacing="0" w:line="600" w:lineRule="atLeast"/>
        <w:ind w:firstLine="480"/>
        <w:jc w:val="both"/>
        <w:rPr>
          <w:rFonts w:hint="eastAsia" w:ascii="仿宋" w:hAnsi="仿宋" w:eastAsia="仿宋" w:cs="仿宋"/>
          <w:kern w:val="0"/>
          <w:sz w:val="32"/>
          <w:szCs w:val="32"/>
          <w:lang w:val="en-US" w:eastAsia="zh-CN" w:bidi="ar-SA"/>
        </w:rPr>
      </w:pPr>
      <w:r>
        <w:rPr>
          <w:rFonts w:hint="eastAsia" w:ascii="仿宋" w:hAnsi="仿宋" w:eastAsia="仿宋"/>
          <w:b/>
          <w:color w:val="000000"/>
          <w:sz w:val="32"/>
          <w:szCs w:val="32"/>
        </w:rPr>
        <w:t>2、质量指标：</w:t>
      </w:r>
      <w:r>
        <w:rPr>
          <w:rFonts w:hint="eastAsia" w:ascii="仿宋" w:hAnsi="仿宋" w:eastAsia="仿宋" w:cs="仿宋"/>
          <w:kern w:val="0"/>
          <w:sz w:val="32"/>
          <w:szCs w:val="32"/>
          <w:lang w:val="en-US" w:eastAsia="zh-CN" w:bidi="ar-SA"/>
        </w:rPr>
        <w:t>学生补助覆盖范围率100%在校生。</w:t>
      </w:r>
    </w:p>
    <w:p w14:paraId="5F5A816E">
      <w:pPr>
        <w:pStyle w:val="5"/>
        <w:spacing w:before="0" w:beforeAutospacing="0" w:after="0" w:afterAutospacing="0" w:line="600" w:lineRule="atLeast"/>
        <w:ind w:firstLine="480"/>
        <w:jc w:val="both"/>
        <w:rPr>
          <w:rFonts w:hint="eastAsia" w:ascii="仿宋" w:hAnsi="仿宋" w:eastAsia="仿宋" w:cs="仿宋"/>
          <w:kern w:val="0"/>
          <w:sz w:val="32"/>
          <w:szCs w:val="32"/>
          <w:lang w:val="en-US" w:eastAsia="zh-CN" w:bidi="ar-SA"/>
        </w:rPr>
      </w:pPr>
      <w:r>
        <w:rPr>
          <w:rFonts w:hint="eastAsia" w:ascii="仿宋" w:hAnsi="仿宋" w:eastAsia="仿宋"/>
          <w:b/>
          <w:bCs/>
          <w:color w:val="000000"/>
          <w:sz w:val="32"/>
          <w:szCs w:val="32"/>
        </w:rPr>
        <w:t>3、时效指标：</w:t>
      </w:r>
      <w:r>
        <w:rPr>
          <w:rFonts w:hint="eastAsia" w:ascii="仿宋" w:hAnsi="仿宋" w:eastAsia="仿宋"/>
          <w:b w:val="0"/>
          <w:bCs w:val="0"/>
          <w:color w:val="000000"/>
          <w:sz w:val="32"/>
          <w:szCs w:val="32"/>
          <w:lang w:eastAsia="zh-CN"/>
        </w:rPr>
        <w:t>资金到位及时率</w:t>
      </w:r>
      <w:r>
        <w:rPr>
          <w:rFonts w:hint="eastAsia" w:ascii="仿宋" w:hAnsi="仿宋" w:eastAsia="仿宋" w:cs="仿宋"/>
          <w:kern w:val="0"/>
          <w:sz w:val="32"/>
          <w:szCs w:val="32"/>
          <w:lang w:val="en-US" w:eastAsia="zh-CN" w:bidi="ar-SA"/>
        </w:rPr>
        <w:t>100%。</w:t>
      </w:r>
    </w:p>
    <w:p w14:paraId="77D720C3">
      <w:pPr>
        <w:pStyle w:val="5"/>
        <w:spacing w:before="0" w:beforeAutospacing="0" w:after="0" w:afterAutospacing="0" w:line="600" w:lineRule="atLeast"/>
        <w:ind w:firstLine="480"/>
        <w:jc w:val="both"/>
        <w:rPr>
          <w:rFonts w:hint="eastAsia" w:ascii="仿宋" w:hAnsi="仿宋" w:eastAsia="仿宋" w:cs="仿宋"/>
          <w:kern w:val="0"/>
          <w:sz w:val="32"/>
          <w:szCs w:val="32"/>
          <w:lang w:val="en-US" w:eastAsia="zh-CN" w:bidi="ar-SA"/>
        </w:rPr>
      </w:pPr>
      <w:r>
        <w:rPr>
          <w:rFonts w:hint="eastAsia" w:ascii="仿宋" w:hAnsi="仿宋" w:eastAsia="仿宋"/>
          <w:b/>
          <w:bCs/>
          <w:color w:val="000000"/>
          <w:sz w:val="32"/>
          <w:szCs w:val="32"/>
        </w:rPr>
        <w:t>4、成本指标：</w:t>
      </w:r>
      <w:r>
        <w:rPr>
          <w:rFonts w:hint="eastAsia" w:ascii="仿宋" w:hAnsi="仿宋" w:eastAsia="仿宋" w:cs="仿宋"/>
          <w:kern w:val="0"/>
          <w:sz w:val="32"/>
          <w:szCs w:val="32"/>
          <w:lang w:val="en-US" w:eastAsia="zh-CN" w:bidi="ar-SA"/>
        </w:rPr>
        <w:t>项目支出成本65.45万元。</w:t>
      </w:r>
    </w:p>
    <w:p w14:paraId="12D93849">
      <w:pPr>
        <w:pStyle w:val="5"/>
        <w:spacing w:before="0" w:beforeAutospacing="0" w:after="0" w:afterAutospacing="0" w:line="600" w:lineRule="atLeast"/>
        <w:ind w:firstLine="480"/>
        <w:jc w:val="both"/>
        <w:rPr>
          <w:rFonts w:hint="default" w:ascii="仿宋" w:hAnsi="仿宋" w:eastAsia="仿宋" w:cs="仿宋"/>
          <w:kern w:val="0"/>
          <w:sz w:val="32"/>
          <w:szCs w:val="32"/>
          <w:lang w:val="en-US" w:eastAsia="zh-CN" w:bidi="ar-SA"/>
        </w:rPr>
      </w:pPr>
      <w:r>
        <w:rPr>
          <w:rFonts w:hint="eastAsia" w:ascii="仿宋" w:hAnsi="仿宋" w:eastAsia="仿宋"/>
          <w:b/>
          <w:bCs/>
          <w:color w:val="000000"/>
          <w:sz w:val="32"/>
          <w:szCs w:val="32"/>
        </w:rPr>
        <w:t>5、效益指标：</w:t>
      </w:r>
      <w:r>
        <w:rPr>
          <w:rFonts w:hint="eastAsia" w:ascii="仿宋" w:hAnsi="仿宋" w:eastAsia="仿宋" w:cs="仿宋"/>
          <w:kern w:val="0"/>
          <w:sz w:val="32"/>
          <w:szCs w:val="32"/>
          <w:lang w:val="en-US" w:eastAsia="zh-CN" w:bidi="ar-SA"/>
        </w:rPr>
        <w:t>提高资金使用效益，规范公用经费资金使用管理，确保专款专用；义务教育巩固率96%；保障学校正常运转。</w:t>
      </w:r>
    </w:p>
    <w:p w14:paraId="4372133D">
      <w:pPr>
        <w:pStyle w:val="5"/>
        <w:spacing w:before="0" w:beforeAutospacing="0" w:after="0" w:afterAutospacing="0" w:line="600" w:lineRule="atLeast"/>
        <w:ind w:firstLine="480"/>
        <w:jc w:val="both"/>
        <w:rPr>
          <w:rFonts w:hint="eastAsia" w:ascii="仿宋" w:hAnsi="仿宋" w:eastAsia="仿宋" w:cs="仿宋"/>
          <w:kern w:val="0"/>
          <w:sz w:val="32"/>
          <w:szCs w:val="32"/>
          <w:lang w:val="en-US" w:eastAsia="zh-CN" w:bidi="ar-SA"/>
        </w:rPr>
      </w:pPr>
      <w:r>
        <w:rPr>
          <w:rFonts w:hint="eastAsia" w:ascii="仿宋" w:hAnsi="仿宋" w:eastAsia="仿宋"/>
          <w:b/>
          <w:bCs/>
          <w:color w:val="000000"/>
          <w:sz w:val="32"/>
          <w:szCs w:val="32"/>
        </w:rPr>
        <w:t>6、满意度指标：</w:t>
      </w:r>
      <w:r>
        <w:rPr>
          <w:rFonts w:hint="eastAsia" w:ascii="仿宋" w:hAnsi="仿宋" w:eastAsia="仿宋" w:cs="仿宋"/>
          <w:kern w:val="0"/>
          <w:sz w:val="32"/>
          <w:szCs w:val="32"/>
          <w:lang w:val="en-US" w:eastAsia="zh-CN" w:bidi="ar-SA"/>
        </w:rPr>
        <w:t>社会公众满意度大于95%。</w:t>
      </w:r>
    </w:p>
    <w:p w14:paraId="452C5825">
      <w:pPr>
        <w:pStyle w:val="5"/>
        <w:spacing w:before="0" w:beforeAutospacing="0" w:after="0" w:afterAutospacing="0" w:line="600" w:lineRule="atLeast"/>
        <w:ind w:firstLine="480"/>
        <w:jc w:val="both"/>
        <w:rPr>
          <w:rFonts w:ascii="等线" w:eastAsia="等线"/>
          <w:color w:val="000000"/>
        </w:rPr>
      </w:pPr>
      <w:r>
        <w:rPr>
          <w:rFonts w:hint="eastAsia" w:ascii="黑体" w:hAnsi="黑体" w:eastAsia="黑体"/>
          <w:color w:val="000000"/>
          <w:sz w:val="32"/>
          <w:szCs w:val="32"/>
        </w:rPr>
        <w:t>二、绩效自评工作开展情况</w:t>
      </w:r>
    </w:p>
    <w:p w14:paraId="15F16E80">
      <w:pPr>
        <w:pStyle w:val="5"/>
        <w:spacing w:before="0" w:beforeAutospacing="0" w:after="0" w:afterAutospacing="0" w:line="600" w:lineRule="atLeast"/>
        <w:ind w:firstLine="640" w:firstLineChars="200"/>
        <w:jc w:val="both"/>
        <w:rPr>
          <w:rFonts w:hint="eastAsia" w:ascii="仿宋" w:hAnsi="仿宋" w:eastAsia="仿宋" w:cs="仿宋"/>
          <w:kern w:val="0"/>
          <w:sz w:val="32"/>
          <w:szCs w:val="32"/>
          <w:lang w:val="en-US" w:eastAsia="zh-CN" w:bidi="ar-SA"/>
        </w:rPr>
      </w:pPr>
      <w:r>
        <w:rPr>
          <w:rFonts w:hint="eastAsia" w:ascii="仿宋" w:hAnsi="仿宋" w:eastAsia="仿宋" w:cs="仿宋"/>
          <w:kern w:val="0"/>
          <w:sz w:val="32"/>
          <w:szCs w:val="32"/>
          <w:lang w:val="en-US" w:eastAsia="zh-CN" w:bidi="ar-SA"/>
        </w:rPr>
        <w:t>根据绩效评价工作要求，单位加强组织领导，明确工作要求，办公室、财务室一起对本项目年初各项指标进行绩效自评，考核全年实际完成情况，分析产生偏差原因，提出下一步改进措施，并对各项指标完成情况进行打分。90分以上为优秀，80-89分之间为优良，70-80分之间为中，69分以下为差。</w:t>
      </w:r>
    </w:p>
    <w:p w14:paraId="6FD00700">
      <w:pPr>
        <w:pStyle w:val="5"/>
        <w:spacing w:before="0" w:beforeAutospacing="0" w:after="0" w:afterAutospacing="0" w:line="600" w:lineRule="atLeast"/>
        <w:ind w:firstLine="480"/>
        <w:jc w:val="both"/>
        <w:rPr>
          <w:rFonts w:ascii="等线" w:eastAsia="等线"/>
          <w:color w:val="000000"/>
        </w:rPr>
      </w:pPr>
      <w:r>
        <w:rPr>
          <w:rFonts w:hint="eastAsia" w:ascii="黑体" w:hAnsi="黑体" w:eastAsia="黑体"/>
          <w:color w:val="000000"/>
          <w:sz w:val="32"/>
          <w:szCs w:val="32"/>
        </w:rPr>
        <w:t>三、绩效目标自评完成情况分析</w:t>
      </w:r>
    </w:p>
    <w:p w14:paraId="1A405DB5">
      <w:pPr>
        <w:pStyle w:val="5"/>
        <w:spacing w:before="0" w:beforeAutospacing="0" w:after="0" w:afterAutospacing="0" w:line="600" w:lineRule="atLeast"/>
        <w:ind w:firstLine="480"/>
        <w:jc w:val="both"/>
        <w:rPr>
          <w:rFonts w:ascii="等线" w:eastAsia="等线"/>
          <w:color w:val="000000"/>
        </w:rPr>
      </w:pPr>
      <w:r>
        <w:rPr>
          <w:rFonts w:hint="eastAsia" w:ascii="楷体" w:hAnsi="楷体" w:eastAsia="楷体"/>
          <w:b/>
          <w:bCs/>
          <w:color w:val="000000"/>
          <w:sz w:val="32"/>
          <w:szCs w:val="32"/>
        </w:rPr>
        <w:t>（一）资金投入情况分析</w:t>
      </w:r>
    </w:p>
    <w:p w14:paraId="22816041">
      <w:pPr>
        <w:pStyle w:val="5"/>
        <w:spacing w:before="0" w:beforeAutospacing="0" w:after="0" w:afterAutospacing="0" w:line="600" w:lineRule="atLeast"/>
        <w:ind w:firstLine="480"/>
        <w:jc w:val="both"/>
        <w:rPr>
          <w:rFonts w:hint="eastAsia" w:ascii="仿宋" w:hAnsi="仿宋" w:eastAsia="仿宋"/>
          <w:b/>
          <w:bCs/>
          <w:color w:val="000000"/>
          <w:sz w:val="32"/>
          <w:szCs w:val="32"/>
        </w:rPr>
      </w:pPr>
      <w:r>
        <w:rPr>
          <w:rFonts w:hint="eastAsia" w:ascii="仿宋" w:hAnsi="仿宋" w:eastAsia="仿宋"/>
          <w:b/>
          <w:bCs/>
          <w:color w:val="000000"/>
          <w:sz w:val="32"/>
          <w:szCs w:val="32"/>
        </w:rPr>
        <w:t>1.项目资金到位情况分析。</w:t>
      </w:r>
    </w:p>
    <w:p w14:paraId="7A58AA18">
      <w:pPr>
        <w:pStyle w:val="5"/>
        <w:spacing w:before="0" w:beforeAutospacing="0" w:after="0" w:afterAutospacing="0" w:line="600" w:lineRule="atLeast"/>
        <w:ind w:firstLine="480"/>
        <w:jc w:val="both"/>
        <w:rPr>
          <w:rFonts w:hint="default" w:ascii="仿宋" w:hAnsi="仿宋" w:eastAsia="仿宋"/>
          <w:color w:val="000000"/>
          <w:sz w:val="32"/>
          <w:szCs w:val="32"/>
          <w:lang w:val="en-US" w:eastAsia="zh-CN"/>
        </w:rPr>
      </w:pPr>
      <w:r>
        <w:rPr>
          <w:rFonts w:hint="eastAsia" w:ascii="仿宋" w:hAnsi="仿宋" w:eastAsia="仿宋"/>
          <w:color w:val="000000"/>
          <w:sz w:val="32"/>
          <w:szCs w:val="32"/>
        </w:rPr>
        <w:t>全区项目支出：解决2024年秋季普通高中免学费教材费及2024年度普通高中生均公用经费65.45万元</w:t>
      </w:r>
      <w:r>
        <w:rPr>
          <w:rFonts w:hint="eastAsia" w:ascii="仿宋" w:hAnsi="仿宋" w:eastAsia="仿宋"/>
          <w:color w:val="000000"/>
          <w:sz w:val="32"/>
          <w:szCs w:val="32"/>
          <w:lang w:eastAsia="zh-CN"/>
        </w:rPr>
        <w:t>。实际到位</w:t>
      </w:r>
      <w:r>
        <w:rPr>
          <w:rFonts w:hint="eastAsia" w:ascii="仿宋" w:hAnsi="仿宋" w:eastAsia="仿宋"/>
          <w:color w:val="000000"/>
          <w:sz w:val="32"/>
          <w:szCs w:val="32"/>
          <w:lang w:val="en-US" w:eastAsia="zh-CN"/>
        </w:rPr>
        <w:t>65.45万元。</w:t>
      </w:r>
    </w:p>
    <w:p w14:paraId="0DF93422">
      <w:pPr>
        <w:pStyle w:val="5"/>
        <w:spacing w:before="0" w:beforeAutospacing="0" w:after="0" w:afterAutospacing="0" w:line="600" w:lineRule="atLeast"/>
        <w:ind w:firstLine="480"/>
        <w:jc w:val="both"/>
        <w:rPr>
          <w:rFonts w:ascii="等线" w:eastAsia="等线"/>
          <w:color w:val="000000"/>
        </w:rPr>
      </w:pPr>
      <w:r>
        <w:rPr>
          <w:rFonts w:hint="eastAsia" w:ascii="仿宋" w:hAnsi="仿宋" w:eastAsia="仿宋"/>
          <w:b/>
          <w:bCs/>
          <w:color w:val="000000"/>
          <w:sz w:val="32"/>
          <w:szCs w:val="32"/>
        </w:rPr>
        <w:t>2.项目资金执行情况分析。</w:t>
      </w:r>
    </w:p>
    <w:p w14:paraId="4722D148">
      <w:pPr>
        <w:pStyle w:val="5"/>
        <w:spacing w:before="0" w:beforeAutospacing="0" w:after="0" w:afterAutospacing="0" w:line="600" w:lineRule="atLeas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截至2024年12月31日，项目实际支付</w:t>
      </w:r>
      <w:r>
        <w:rPr>
          <w:rFonts w:hint="eastAsia" w:ascii="仿宋" w:hAnsi="仿宋" w:eastAsia="仿宋"/>
          <w:color w:val="000000"/>
          <w:sz w:val="32"/>
          <w:szCs w:val="32"/>
          <w:lang w:val="en-US" w:eastAsia="zh-CN"/>
        </w:rPr>
        <w:t>65.45万元，支付</w:t>
      </w:r>
      <w:r>
        <w:rPr>
          <w:rFonts w:hint="eastAsia" w:ascii="仿宋" w:hAnsi="仿宋" w:eastAsia="仿宋"/>
          <w:color w:val="000000"/>
          <w:sz w:val="32"/>
          <w:szCs w:val="32"/>
        </w:rPr>
        <w:t>率为100%。</w:t>
      </w:r>
    </w:p>
    <w:p w14:paraId="23B635B3">
      <w:pPr>
        <w:pStyle w:val="5"/>
        <w:numPr>
          <w:ilvl w:val="0"/>
          <w:numId w:val="1"/>
        </w:numPr>
        <w:spacing w:before="0" w:beforeAutospacing="0" w:after="0" w:afterAutospacing="0" w:line="600" w:lineRule="atLeast"/>
        <w:ind w:firstLine="480"/>
        <w:jc w:val="both"/>
        <w:rPr>
          <w:rFonts w:hint="eastAsia" w:ascii="仿宋" w:hAnsi="仿宋" w:eastAsia="仿宋"/>
          <w:b/>
          <w:bCs/>
          <w:color w:val="000000"/>
          <w:sz w:val="32"/>
          <w:szCs w:val="32"/>
        </w:rPr>
      </w:pPr>
      <w:r>
        <w:rPr>
          <w:rFonts w:hint="eastAsia" w:ascii="仿宋" w:hAnsi="仿宋" w:eastAsia="仿宋"/>
          <w:b/>
          <w:bCs/>
          <w:color w:val="000000"/>
          <w:sz w:val="32"/>
          <w:szCs w:val="32"/>
        </w:rPr>
        <w:t>项目资金管理情况分析。</w:t>
      </w:r>
    </w:p>
    <w:p w14:paraId="2143C1AD">
      <w:pPr>
        <w:pStyle w:val="5"/>
        <w:numPr>
          <w:ilvl w:val="0"/>
          <w:numId w:val="0"/>
        </w:numPr>
        <w:spacing w:before="0" w:beforeAutospacing="0" w:after="0" w:afterAutospacing="0" w:line="600" w:lineRule="atLeast"/>
        <w:ind w:firstLine="640" w:firstLineChars="200"/>
        <w:jc w:val="both"/>
        <w:rPr>
          <w:rFonts w:hint="eastAsia" w:ascii="仿宋" w:hAnsi="仿宋" w:eastAsia="仿宋" w:cs="宋体"/>
          <w:color w:val="000000"/>
          <w:sz w:val="32"/>
          <w:szCs w:val="32"/>
          <w:lang w:eastAsia="zh-CN"/>
        </w:rPr>
      </w:pPr>
      <w:r>
        <w:rPr>
          <w:rFonts w:hint="eastAsia" w:ascii="仿宋" w:hAnsi="仿宋" w:eastAsia="仿宋" w:cs="宋体"/>
          <w:color w:val="000000"/>
          <w:sz w:val="32"/>
          <w:szCs w:val="32"/>
          <w:lang w:eastAsia="zh-CN"/>
        </w:rPr>
        <w:t>本项目有三重一大会议决议</w:t>
      </w:r>
      <w:r>
        <w:rPr>
          <w:rFonts w:ascii="仿宋" w:hAnsi="仿宋" w:eastAsia="仿宋" w:cs="宋体"/>
          <w:color w:val="000000"/>
          <w:sz w:val="32"/>
          <w:szCs w:val="32"/>
        </w:rPr>
        <w:t>。</w:t>
      </w:r>
      <w:r>
        <w:rPr>
          <w:rFonts w:hint="eastAsia" w:ascii="仿宋" w:hAnsi="仿宋" w:eastAsia="仿宋" w:cs="宋体"/>
          <w:color w:val="000000"/>
          <w:sz w:val="32"/>
          <w:szCs w:val="32"/>
        </w:rPr>
        <w:t>建立了相关管理制度，</w:t>
      </w:r>
      <w:r>
        <w:rPr>
          <w:rFonts w:hint="eastAsia" w:ascii="仿宋" w:hAnsi="仿宋" w:eastAsia="仿宋" w:cs="仿宋"/>
          <w:sz w:val="32"/>
          <w:szCs w:val="32"/>
        </w:rPr>
        <w:t>严格按照专项资金管理制度，实行专人专账管理，上级拨付资金及自筹资金到位后，全部支付用于各专项项目，无节流、无占用、无挪用等情况</w:t>
      </w:r>
      <w:r>
        <w:rPr>
          <w:rFonts w:hint="eastAsia" w:ascii="仿宋" w:hAnsi="仿宋" w:eastAsia="仿宋" w:cs="仿宋"/>
          <w:sz w:val="32"/>
          <w:szCs w:val="32"/>
          <w:lang w:eastAsia="zh-CN"/>
        </w:rPr>
        <w:t>。</w:t>
      </w:r>
    </w:p>
    <w:p w14:paraId="0E48EC7D">
      <w:pPr>
        <w:pStyle w:val="5"/>
        <w:spacing w:before="0" w:beforeAutospacing="0" w:after="0" w:afterAutospacing="0" w:line="600" w:lineRule="atLeast"/>
        <w:ind w:firstLine="480"/>
        <w:jc w:val="both"/>
        <w:rPr>
          <w:rFonts w:ascii="等线" w:eastAsia="等线"/>
          <w:color w:val="000000"/>
        </w:rPr>
      </w:pPr>
      <w:r>
        <w:rPr>
          <w:rFonts w:hint="eastAsia" w:ascii="楷体" w:hAnsi="楷体" w:eastAsia="楷体"/>
          <w:b/>
          <w:bCs/>
          <w:color w:val="000000"/>
          <w:sz w:val="32"/>
          <w:szCs w:val="32"/>
        </w:rPr>
        <w:t>（二）绩效目标年底完成情况分析</w:t>
      </w:r>
    </w:p>
    <w:p w14:paraId="03AAF57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1.</w:t>
      </w:r>
      <w:r>
        <w:rPr>
          <w:rFonts w:hint="eastAsia" w:ascii="仿宋" w:hAnsi="仿宋" w:eastAsia="仿宋" w:cs="仿宋"/>
          <w:b/>
          <w:bCs/>
          <w:kern w:val="2"/>
          <w:sz w:val="32"/>
          <w:szCs w:val="32"/>
        </w:rPr>
        <w:t>产出指标完成情况分析。</w:t>
      </w:r>
    </w:p>
    <w:p w14:paraId="06A1EA04">
      <w:pPr>
        <w:pStyle w:val="5"/>
        <w:spacing w:before="0" w:beforeAutospacing="0" w:after="0" w:afterAutospacing="0" w:line="600" w:lineRule="atLeast"/>
        <w:ind w:firstLine="480"/>
        <w:jc w:val="both"/>
        <w:rPr>
          <w:rFonts w:hint="eastAsia" w:ascii="Times New Roman" w:hAnsi="Times New Roman" w:eastAsia="仿宋" w:cs="Times New Roman"/>
          <w:kern w:val="2"/>
          <w:sz w:val="32"/>
          <w:szCs w:val="32"/>
          <w:lang w:val="en-US" w:eastAsia="zh-CN"/>
        </w:rPr>
      </w:pPr>
      <w:r>
        <w:rPr>
          <w:rFonts w:hint="eastAsia" w:ascii="Times New Roman" w:hAnsi="Times New Roman" w:eastAsia="仿宋" w:cs="Times New Roman"/>
          <w:kern w:val="2"/>
          <w:sz w:val="32"/>
          <w:szCs w:val="32"/>
          <w:lang w:val="en-US" w:eastAsia="zh-CN"/>
        </w:rPr>
        <w:t>数量指标</w:t>
      </w:r>
      <w:bookmarkStart w:id="0" w:name="OLE_LINK7"/>
      <w:r>
        <w:rPr>
          <w:rFonts w:hint="eastAsia" w:ascii="Times New Roman" w:hAnsi="Times New Roman" w:eastAsia="仿宋" w:cs="Times New Roman"/>
          <w:kern w:val="2"/>
          <w:sz w:val="32"/>
          <w:szCs w:val="32"/>
          <w:lang w:val="en-US" w:eastAsia="zh-CN"/>
        </w:rPr>
        <w:t>：</w:t>
      </w:r>
      <w:bookmarkEnd w:id="0"/>
      <w:r>
        <w:rPr>
          <w:rFonts w:hint="eastAsia" w:ascii="Times New Roman" w:hAnsi="Times New Roman" w:eastAsia="仿宋" w:cs="Times New Roman"/>
          <w:kern w:val="2"/>
          <w:sz w:val="32"/>
          <w:szCs w:val="32"/>
          <w:lang w:val="en-US" w:eastAsia="zh-CN"/>
        </w:rPr>
        <w:t>1、</w:t>
      </w:r>
      <w:r>
        <w:rPr>
          <w:rFonts w:hint="eastAsia" w:ascii="仿宋" w:hAnsi="仿宋" w:eastAsia="仿宋" w:cs="仿宋"/>
          <w:kern w:val="0"/>
          <w:sz w:val="32"/>
          <w:szCs w:val="32"/>
          <w:lang w:val="en-US" w:eastAsia="zh-CN" w:bidi="ar-SA"/>
        </w:rPr>
        <w:t>发放补助学生人数1104人。2、教职工人数94人。</w:t>
      </w:r>
      <w:r>
        <w:rPr>
          <w:rFonts w:hint="eastAsia" w:ascii="Times New Roman" w:hAnsi="Times New Roman" w:eastAsia="仿宋" w:cs="Times New Roman"/>
          <w:kern w:val="2"/>
          <w:sz w:val="32"/>
          <w:szCs w:val="32"/>
          <w:lang w:val="en-US" w:eastAsia="zh-CN"/>
        </w:rPr>
        <w:t>完成率100%。</w:t>
      </w:r>
    </w:p>
    <w:p w14:paraId="599204CD">
      <w:pPr>
        <w:pStyle w:val="5"/>
        <w:spacing w:before="0" w:beforeAutospacing="0" w:after="0" w:afterAutospacing="0" w:line="600" w:lineRule="atLeast"/>
        <w:ind w:firstLine="480"/>
        <w:jc w:val="both"/>
        <w:rPr>
          <w:rFonts w:hint="eastAsia" w:ascii="仿宋" w:hAnsi="仿宋" w:eastAsia="仿宋" w:cs="仿宋"/>
          <w:kern w:val="0"/>
          <w:sz w:val="32"/>
          <w:szCs w:val="32"/>
          <w:lang w:val="en-US" w:eastAsia="zh-CN" w:bidi="ar-SA"/>
        </w:rPr>
      </w:pPr>
      <w:r>
        <w:rPr>
          <w:rFonts w:hint="eastAsia" w:ascii="Times New Roman" w:hAnsi="Times New Roman" w:eastAsia="仿宋" w:cs="Times New Roman"/>
          <w:kern w:val="2"/>
          <w:sz w:val="32"/>
          <w:szCs w:val="32"/>
          <w:lang w:val="en-US" w:eastAsia="zh-CN"/>
        </w:rPr>
        <w:t>质量指标：发放</w:t>
      </w:r>
      <w:r>
        <w:rPr>
          <w:rFonts w:hint="eastAsia" w:ascii="仿宋" w:hAnsi="仿宋" w:eastAsia="仿宋" w:cs="仿宋"/>
          <w:kern w:val="0"/>
          <w:sz w:val="32"/>
          <w:szCs w:val="32"/>
          <w:lang w:val="en-US" w:eastAsia="zh-CN" w:bidi="ar-SA"/>
        </w:rPr>
        <w:t>学生补助覆盖范围率100%在校生。</w:t>
      </w:r>
      <w:r>
        <w:rPr>
          <w:rFonts w:hint="eastAsia" w:ascii="Times New Roman" w:hAnsi="Times New Roman" w:eastAsia="仿宋" w:cs="Times New Roman"/>
          <w:kern w:val="2"/>
          <w:sz w:val="32"/>
          <w:szCs w:val="32"/>
          <w:lang w:val="en-US" w:eastAsia="zh-CN"/>
        </w:rPr>
        <w:t>完成率100%。</w:t>
      </w:r>
    </w:p>
    <w:p w14:paraId="3F64FFBF">
      <w:pPr>
        <w:pStyle w:val="5"/>
        <w:spacing w:before="0" w:beforeAutospacing="0" w:after="0" w:afterAutospacing="0" w:line="600" w:lineRule="atLeast"/>
        <w:ind w:firstLine="480"/>
        <w:jc w:val="both"/>
        <w:rPr>
          <w:rFonts w:hint="eastAsia" w:ascii="Times New Roman" w:hAnsi="Times New Roman" w:eastAsia="仿宋" w:cs="Times New Roman"/>
          <w:kern w:val="2"/>
          <w:sz w:val="32"/>
          <w:szCs w:val="32"/>
          <w:lang w:val="en-US" w:eastAsia="zh-CN"/>
        </w:rPr>
      </w:pPr>
      <w:r>
        <w:rPr>
          <w:rFonts w:hint="eastAsia" w:ascii="Times New Roman" w:hAnsi="Times New Roman" w:eastAsia="仿宋" w:cs="Times New Roman"/>
          <w:kern w:val="2"/>
          <w:sz w:val="32"/>
          <w:szCs w:val="32"/>
          <w:lang w:val="en-US" w:eastAsia="zh-CN"/>
        </w:rPr>
        <w:t>时效指标：</w:t>
      </w:r>
      <w:r>
        <w:rPr>
          <w:rFonts w:hint="eastAsia" w:ascii="仿宋" w:hAnsi="仿宋" w:eastAsia="仿宋"/>
          <w:b w:val="0"/>
          <w:bCs w:val="0"/>
          <w:color w:val="000000"/>
          <w:sz w:val="32"/>
          <w:szCs w:val="32"/>
          <w:lang w:eastAsia="zh-CN"/>
        </w:rPr>
        <w:t>资金到位及时率</w:t>
      </w:r>
      <w:r>
        <w:rPr>
          <w:rFonts w:hint="eastAsia" w:ascii="仿宋" w:hAnsi="仿宋" w:eastAsia="仿宋" w:cs="仿宋"/>
          <w:kern w:val="0"/>
          <w:sz w:val="32"/>
          <w:szCs w:val="32"/>
          <w:lang w:val="en-US" w:eastAsia="zh-CN" w:bidi="ar-SA"/>
        </w:rPr>
        <w:t>100%。</w:t>
      </w:r>
      <w:r>
        <w:rPr>
          <w:rFonts w:hint="eastAsia" w:ascii="Times New Roman" w:hAnsi="Times New Roman" w:eastAsia="仿宋" w:cs="Times New Roman"/>
          <w:kern w:val="2"/>
          <w:sz w:val="32"/>
          <w:szCs w:val="32"/>
          <w:lang w:val="en-US" w:eastAsia="zh-CN"/>
        </w:rPr>
        <w:t>完成率100%。</w:t>
      </w:r>
    </w:p>
    <w:p w14:paraId="635AF17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rPr>
      </w:pPr>
      <w:r>
        <w:rPr>
          <w:rFonts w:hint="eastAsia" w:ascii="仿宋" w:hAnsi="仿宋" w:eastAsia="仿宋" w:cs="仿宋"/>
          <w:b/>
          <w:bCs/>
          <w:kern w:val="2"/>
          <w:sz w:val="32"/>
          <w:szCs w:val="32"/>
          <w:lang w:val="en-US" w:eastAsia="zh-CN"/>
        </w:rPr>
        <w:t>2.</w:t>
      </w:r>
      <w:r>
        <w:rPr>
          <w:rFonts w:hint="eastAsia" w:ascii="仿宋" w:hAnsi="仿宋" w:eastAsia="仿宋" w:cs="仿宋"/>
          <w:b/>
          <w:bCs/>
          <w:kern w:val="2"/>
          <w:sz w:val="32"/>
          <w:szCs w:val="32"/>
        </w:rPr>
        <w:t>效益指标完成情况分析。</w:t>
      </w:r>
    </w:p>
    <w:p w14:paraId="0502698F">
      <w:pPr>
        <w:pStyle w:val="5"/>
        <w:spacing w:before="0" w:beforeAutospacing="0" w:after="0" w:afterAutospacing="0" w:line="600" w:lineRule="atLeast"/>
        <w:ind w:firstLine="480"/>
        <w:jc w:val="both"/>
        <w:rPr>
          <w:rFonts w:hint="eastAsia" w:ascii="Times New Roman" w:hAnsi="Times New Roman" w:eastAsia="仿宋" w:cs="Times New Roman"/>
          <w:kern w:val="2"/>
          <w:sz w:val="32"/>
          <w:szCs w:val="32"/>
          <w:lang w:val="en-US" w:eastAsia="zh-CN"/>
        </w:rPr>
      </w:pPr>
      <w:r>
        <w:rPr>
          <w:rFonts w:hint="eastAsia" w:ascii="仿宋" w:hAnsi="仿宋" w:eastAsia="仿宋" w:cs="仿宋"/>
          <w:kern w:val="0"/>
          <w:sz w:val="32"/>
          <w:szCs w:val="32"/>
          <w:lang w:val="en-US" w:eastAsia="zh-CN" w:bidi="ar-SA"/>
        </w:rPr>
        <w:t>提高资金使用效益，规范公用经费资金使用管理，确保专款专用；义务教育巩固率96%；保障学校正常运转。</w:t>
      </w:r>
      <w:r>
        <w:rPr>
          <w:rFonts w:hint="eastAsia" w:ascii="仿宋" w:hAnsi="仿宋" w:eastAsia="仿宋" w:cs="仿宋"/>
          <w:kern w:val="2"/>
          <w:sz w:val="32"/>
          <w:szCs w:val="30"/>
          <w:lang w:val="en-US" w:eastAsia="zh-CN"/>
        </w:rPr>
        <w:t>完成率为</w:t>
      </w:r>
      <w:r>
        <w:rPr>
          <w:rFonts w:hint="eastAsia" w:ascii="Times New Roman" w:hAnsi="Times New Roman" w:eastAsia="仿宋" w:cs="Times New Roman"/>
          <w:kern w:val="2"/>
          <w:sz w:val="32"/>
          <w:szCs w:val="32"/>
          <w:lang w:val="en-US" w:eastAsia="zh-CN"/>
        </w:rPr>
        <w:t>100%。</w:t>
      </w:r>
    </w:p>
    <w:p w14:paraId="2FF803E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kern w:val="2"/>
          <w:sz w:val="32"/>
          <w:szCs w:val="32"/>
          <w:lang w:val="en-US" w:eastAsia="zh-CN"/>
        </w:rPr>
      </w:pPr>
      <w:r>
        <w:rPr>
          <w:rFonts w:hint="eastAsia" w:ascii="仿宋" w:hAnsi="仿宋" w:eastAsia="仿宋" w:cs="仿宋"/>
          <w:b/>
          <w:bCs/>
          <w:kern w:val="2"/>
          <w:sz w:val="32"/>
          <w:szCs w:val="32"/>
          <w:lang w:val="en-US" w:eastAsia="zh-CN"/>
        </w:rPr>
        <w:t>3.满意度指标完成情况分析。</w:t>
      </w:r>
    </w:p>
    <w:p w14:paraId="056B49A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 w:cs="Times New Roman"/>
          <w:kern w:val="2"/>
          <w:sz w:val="32"/>
          <w:szCs w:val="32"/>
          <w:lang w:val="en-US" w:eastAsia="zh-CN"/>
        </w:rPr>
      </w:pPr>
      <w:bookmarkStart w:id="1" w:name="_GoBack"/>
      <w:bookmarkEnd w:id="1"/>
      <w:r>
        <w:rPr>
          <w:rFonts w:hint="eastAsia" w:ascii="Times New Roman" w:hAnsi="Times New Roman" w:eastAsia="仿宋" w:cs="Times New Roman"/>
          <w:kern w:val="2"/>
          <w:sz w:val="32"/>
          <w:szCs w:val="32"/>
          <w:lang w:val="en-US" w:eastAsia="zh-CN"/>
        </w:rPr>
        <w:t>社会公众满意度等于96%。完成率为100%。</w:t>
      </w:r>
    </w:p>
    <w:p w14:paraId="1A005D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 w:cs="Times New Roman"/>
          <w:kern w:val="2"/>
          <w:sz w:val="32"/>
          <w:szCs w:val="32"/>
          <w:lang w:val="en-US" w:eastAsia="zh-CN"/>
        </w:rPr>
      </w:pPr>
      <w:r>
        <w:rPr>
          <w:rFonts w:hint="eastAsia" w:ascii="Times New Roman" w:hAnsi="Times New Roman" w:eastAsia="仿宋" w:cs="Times New Roman"/>
          <w:kern w:val="2"/>
          <w:sz w:val="32"/>
          <w:szCs w:val="32"/>
          <w:lang w:val="en-US" w:eastAsia="zh-CN"/>
        </w:rPr>
        <w:t>本项目总体评分为95分，为优。</w:t>
      </w:r>
    </w:p>
    <w:p w14:paraId="0816E9CB">
      <w:pPr>
        <w:pStyle w:val="5"/>
        <w:numPr>
          <w:ilvl w:val="0"/>
          <w:numId w:val="2"/>
        </w:numPr>
        <w:spacing w:before="0" w:beforeAutospacing="0" w:after="0" w:afterAutospacing="0" w:line="600" w:lineRule="atLeast"/>
        <w:ind w:firstLine="480"/>
        <w:jc w:val="both"/>
        <w:rPr>
          <w:rFonts w:hint="eastAsia" w:ascii="黑体" w:hAnsi="黑体" w:eastAsia="黑体"/>
          <w:color w:val="000000"/>
          <w:sz w:val="32"/>
          <w:szCs w:val="32"/>
        </w:rPr>
      </w:pPr>
      <w:r>
        <w:rPr>
          <w:rFonts w:hint="eastAsia" w:ascii="黑体" w:hAnsi="黑体" w:eastAsia="黑体"/>
          <w:color w:val="000000"/>
          <w:sz w:val="32"/>
          <w:szCs w:val="32"/>
        </w:rPr>
        <w:t>偏离绩效目标的原因和下一步改进措施</w:t>
      </w:r>
    </w:p>
    <w:p w14:paraId="75EB354C">
      <w:pPr>
        <w:pStyle w:val="5"/>
        <w:numPr>
          <w:ilvl w:val="0"/>
          <w:numId w:val="0"/>
        </w:numPr>
        <w:spacing w:before="0" w:beforeAutospacing="0" w:after="0" w:afterAutospacing="0" w:line="600" w:lineRule="atLeast"/>
        <w:ind w:firstLine="320" w:firstLineChars="100"/>
        <w:jc w:val="both"/>
        <w:rPr>
          <w:rFonts w:hint="eastAsia" w:ascii="仿宋" w:hAnsi="仿宋" w:eastAsia="仿宋" w:cs="仿宋"/>
          <w:sz w:val="32"/>
          <w:szCs w:val="32"/>
          <w:lang w:eastAsia="zh-CN"/>
        </w:rPr>
      </w:pPr>
      <w:r>
        <w:rPr>
          <w:rFonts w:hint="eastAsia" w:ascii="仿宋" w:hAnsi="仿宋" w:eastAsia="仿宋" w:cs="仿宋"/>
          <w:sz w:val="32"/>
          <w:szCs w:val="32"/>
        </w:rPr>
        <w:t>年底实际完成情况较年初计划相比无偏差</w:t>
      </w:r>
      <w:r>
        <w:rPr>
          <w:rFonts w:hint="eastAsia" w:ascii="仿宋" w:hAnsi="仿宋" w:eastAsia="仿宋" w:cs="仿宋"/>
          <w:sz w:val="32"/>
          <w:szCs w:val="32"/>
          <w:lang w:eastAsia="zh-CN"/>
        </w:rPr>
        <w:t>。</w:t>
      </w:r>
    </w:p>
    <w:p w14:paraId="13616696">
      <w:pPr>
        <w:pStyle w:val="5"/>
        <w:numPr>
          <w:ilvl w:val="0"/>
          <w:numId w:val="0"/>
        </w:numPr>
        <w:spacing w:before="0" w:beforeAutospacing="0" w:after="0" w:afterAutospacing="0" w:line="600" w:lineRule="atLeast"/>
        <w:ind w:firstLine="320" w:firstLineChars="100"/>
        <w:jc w:val="both"/>
        <w:rPr>
          <w:rFonts w:ascii="仿宋" w:hAnsi="仿宋" w:eastAsia="仿宋" w:cs="仿宋"/>
          <w:sz w:val="32"/>
          <w:szCs w:val="32"/>
        </w:rPr>
      </w:pPr>
      <w:r>
        <w:rPr>
          <w:rFonts w:hint="eastAsia" w:ascii="仿宋" w:hAnsi="仿宋" w:eastAsia="仿宋" w:cs="仿宋"/>
          <w:sz w:val="32"/>
          <w:szCs w:val="32"/>
          <w:lang w:eastAsia="zh-CN"/>
        </w:rPr>
        <w:t>下一步措施：</w:t>
      </w:r>
      <w:r>
        <w:rPr>
          <w:rFonts w:hint="eastAsia" w:ascii="仿宋" w:hAnsi="仿宋" w:eastAsia="仿宋"/>
          <w:color w:val="000000"/>
          <w:sz w:val="32"/>
          <w:szCs w:val="32"/>
        </w:rPr>
        <w:t>提高本单位财务人员绩效和预决算培训</w:t>
      </w:r>
      <w:r>
        <w:rPr>
          <w:rFonts w:hint="eastAsia" w:ascii="仿宋" w:hAnsi="仿宋" w:eastAsia="仿宋"/>
          <w:color w:val="000000"/>
          <w:sz w:val="32"/>
          <w:szCs w:val="32"/>
          <w:lang w:eastAsia="zh-CN"/>
        </w:rPr>
        <w:t>、</w:t>
      </w:r>
      <w:r>
        <w:rPr>
          <w:rFonts w:hint="eastAsia" w:ascii="仿宋" w:hAnsi="仿宋" w:eastAsia="仿宋" w:cs="仿宋"/>
          <w:sz w:val="32"/>
          <w:szCs w:val="32"/>
        </w:rPr>
        <w:t>加强预算管理，提高预算支出的合理性和有效性。在预算编制过程中，应充分考虑培训活动的实际需求，避免不必要的浪费。同时，应建立健全的预算监督机制，确保预算支出的合规性和有效性。</w:t>
      </w:r>
    </w:p>
    <w:p w14:paraId="2F0C6CCC">
      <w:pPr>
        <w:pStyle w:val="5"/>
        <w:spacing w:before="0" w:beforeAutospacing="0" w:after="0" w:afterAutospacing="0" w:line="600" w:lineRule="atLeast"/>
        <w:ind w:firstLine="480"/>
        <w:jc w:val="both"/>
        <w:rPr>
          <w:rFonts w:ascii="等线" w:eastAsia="等线"/>
          <w:color w:val="000000"/>
        </w:rPr>
      </w:pPr>
      <w:r>
        <w:rPr>
          <w:rFonts w:hint="eastAsia" w:ascii="黑体" w:hAnsi="黑体" w:eastAsia="黑体"/>
          <w:color w:val="000000"/>
          <w:sz w:val="32"/>
          <w:szCs w:val="32"/>
        </w:rPr>
        <w:t>五、绩效自评结果拟应用和公开情况</w:t>
      </w:r>
    </w:p>
    <w:p w14:paraId="09F19F0A">
      <w:pPr>
        <w:pStyle w:val="5"/>
        <w:spacing w:before="0" w:beforeAutospacing="0" w:after="0" w:afterAutospacing="0" w:line="600" w:lineRule="atLeast"/>
        <w:ind w:firstLine="480"/>
        <w:jc w:val="both"/>
        <w:rPr>
          <w:rFonts w:ascii="等线" w:eastAsia="等线"/>
          <w:color w:val="000000"/>
        </w:rPr>
      </w:pPr>
      <w:r>
        <w:rPr>
          <w:rFonts w:hint="eastAsia" w:ascii="仿宋" w:hAnsi="仿宋" w:eastAsia="仿宋"/>
          <w:color w:val="000000"/>
          <w:sz w:val="32"/>
          <w:szCs w:val="32"/>
        </w:rPr>
        <w:t>我</w:t>
      </w:r>
      <w:r>
        <w:rPr>
          <w:rFonts w:hint="eastAsia" w:ascii="仿宋" w:hAnsi="仿宋" w:eastAsia="仿宋"/>
          <w:color w:val="000000"/>
          <w:sz w:val="32"/>
          <w:szCs w:val="32"/>
          <w:lang w:eastAsia="zh-CN"/>
        </w:rPr>
        <w:t>局</w:t>
      </w:r>
      <w:r>
        <w:rPr>
          <w:rFonts w:hint="eastAsia" w:ascii="仿宋" w:hAnsi="仿宋" w:eastAsia="仿宋"/>
          <w:color w:val="000000"/>
          <w:sz w:val="32"/>
          <w:szCs w:val="32"/>
        </w:rPr>
        <w:t>拟将本专项资金绩效自评报告和表格连同部门整体支出绩效评价报告及附件，通过预决算公开平台上传至单位2024年部门决算公开作为附件予以公开。</w:t>
      </w:r>
    </w:p>
    <w:p w14:paraId="0F9F52F1">
      <w:pPr>
        <w:pStyle w:val="5"/>
        <w:spacing w:before="0" w:beforeAutospacing="0" w:after="0" w:afterAutospacing="0" w:line="600" w:lineRule="atLeast"/>
        <w:ind w:firstLine="480"/>
        <w:jc w:val="right"/>
        <w:rPr>
          <w:rFonts w:ascii="仿宋" w:hAnsi="仿宋" w:eastAsia="仿宋"/>
          <w:color w:val="000000"/>
          <w:sz w:val="32"/>
          <w:szCs w:val="32"/>
        </w:rPr>
      </w:pPr>
    </w:p>
    <w:p w14:paraId="3D01E660">
      <w:pPr>
        <w:pStyle w:val="5"/>
        <w:spacing w:before="0" w:beforeAutospacing="0" w:after="0" w:afterAutospacing="0" w:line="600" w:lineRule="atLeast"/>
        <w:ind w:firstLine="480"/>
        <w:jc w:val="right"/>
        <w:rPr>
          <w:rFonts w:hint="eastAsia" w:ascii="等线" w:eastAsia="仿宋"/>
          <w:color w:val="000000"/>
          <w:lang w:eastAsia="zh-CN"/>
        </w:rPr>
      </w:pPr>
      <w:r>
        <w:rPr>
          <w:rFonts w:hint="eastAsia" w:ascii="仿宋" w:hAnsi="仿宋" w:eastAsia="仿宋"/>
          <w:color w:val="000000"/>
          <w:sz w:val="32"/>
          <w:szCs w:val="32"/>
        </w:rPr>
        <w:t>南岳区</w:t>
      </w:r>
      <w:r>
        <w:rPr>
          <w:rFonts w:hint="eastAsia" w:ascii="仿宋" w:hAnsi="仿宋" w:eastAsia="仿宋"/>
          <w:color w:val="000000"/>
          <w:sz w:val="32"/>
          <w:szCs w:val="32"/>
          <w:lang w:eastAsia="zh-CN"/>
        </w:rPr>
        <w:t>教育局</w:t>
      </w:r>
    </w:p>
    <w:p w14:paraId="74E44FCD">
      <w:pPr>
        <w:pStyle w:val="5"/>
        <w:spacing w:before="0" w:beforeAutospacing="0" w:after="0" w:afterAutospacing="0" w:line="600" w:lineRule="atLeast"/>
        <w:ind w:firstLine="480"/>
        <w:jc w:val="right"/>
      </w:pPr>
      <w:r>
        <w:rPr>
          <w:rFonts w:hint="eastAsia" w:ascii="仿宋" w:hAnsi="仿宋" w:eastAsia="仿宋"/>
          <w:color w:val="000000"/>
          <w:sz w:val="32"/>
          <w:szCs w:val="32"/>
        </w:rPr>
        <w:t>2025年</w:t>
      </w:r>
      <w:r>
        <w:rPr>
          <w:rFonts w:hint="eastAsia" w:ascii="仿宋" w:hAnsi="仿宋" w:eastAsia="仿宋"/>
          <w:color w:val="000000"/>
          <w:sz w:val="32"/>
          <w:szCs w:val="32"/>
          <w:lang w:val="en-US" w:eastAsia="zh-CN"/>
        </w:rPr>
        <w:t>6</w:t>
      </w:r>
      <w:r>
        <w:rPr>
          <w:rFonts w:hint="eastAsia" w:ascii="仿宋" w:hAnsi="仿宋" w:eastAsia="仿宋"/>
          <w:color w:val="000000"/>
          <w:sz w:val="32"/>
          <w:szCs w:val="32"/>
        </w:rPr>
        <w:t>月</w:t>
      </w:r>
      <w:r>
        <w:rPr>
          <w:rFonts w:hint="eastAsia" w:ascii="仿宋" w:hAnsi="仿宋" w:eastAsia="仿宋"/>
          <w:color w:val="000000"/>
          <w:sz w:val="32"/>
          <w:szCs w:val="32"/>
          <w:lang w:val="en-US" w:eastAsia="zh-CN"/>
        </w:rPr>
        <w:t>10</w:t>
      </w:r>
      <w:r>
        <w:rPr>
          <w:rFonts w:hint="eastAsia" w:ascii="仿宋" w:hAnsi="仿宋" w:eastAsia="仿宋"/>
          <w:color w:val="000000"/>
          <w:sz w:val="32"/>
          <w:szCs w:val="32"/>
        </w:rPr>
        <w:t>日</w:t>
      </w:r>
    </w:p>
    <w:sectPr>
      <w:pgSz w:w="11906" w:h="16838"/>
      <w:pgMar w:top="1440" w:right="1800" w:bottom="138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华文仿宋"/>
    <w:panose1 w:val="02010600030101010101"/>
    <w:charset w:val="86"/>
    <w:family w:val="auto"/>
    <w:pitch w:val="default"/>
    <w:sig w:usb0="00000000" w:usb1="00000000" w:usb2="00000016" w:usb3="00000000" w:csb0="0004000F" w:csb1="00000000"/>
  </w:font>
  <w:font w:name="方正书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13485F"/>
    <w:multiLevelType w:val="singleLevel"/>
    <w:tmpl w:val="AE13485F"/>
    <w:lvl w:ilvl="0" w:tentative="0">
      <w:start w:val="4"/>
      <w:numFmt w:val="chineseCounting"/>
      <w:suff w:val="nothing"/>
      <w:lvlText w:val="%1、"/>
      <w:lvlJc w:val="left"/>
      <w:rPr>
        <w:rFonts w:hint="eastAsia"/>
      </w:rPr>
    </w:lvl>
  </w:abstractNum>
  <w:abstractNum w:abstractNumId="1">
    <w:nsid w:val="D9FECF11"/>
    <w:multiLevelType w:val="singleLevel"/>
    <w:tmpl w:val="D9FECF11"/>
    <w:lvl w:ilvl="0" w:tentative="0">
      <w:start w:val="3"/>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4YTUzYWRiMmIyMzJjZmMzNjBjNTRjMTFlMDY2ZjAifQ=="/>
  </w:docVars>
  <w:rsids>
    <w:rsidRoot w:val="769FBD25"/>
    <w:rsid w:val="4A030763"/>
    <w:rsid w:val="769FB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customStyle="1" w:styleId="5">
    <w:name w:val="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2025-06-13T09:22:00Z</dcterms:created>
  <dc:creator>t</dc:creator>
  <cp:lastModifiedBy>Administrator</cp:lastModifiedBy>
  <dcterms:modified xsi:type="dcterms:W3CDTF">2025-06-27T11:06:32Z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BF10E3B0A29D490E94C4525E418317B3_12</vt:lpwstr>
  </property>
</Properties>
</file>