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黑体"/>
          <w:b/>
          <w:color w:val="000000"/>
          <w:kern w:val="0"/>
        </w:rPr>
      </w:pPr>
      <w:r>
        <w:rPr>
          <w:rFonts w:ascii="宋体" w:hAnsi="宋体" w:cs="黑体"/>
          <w:b/>
          <w:color w:val="000000"/>
          <w:kern w:val="0"/>
        </w:rPr>
        <w:t>2019</w:t>
      </w:r>
      <w:r>
        <w:rPr>
          <w:rFonts w:hint="eastAsia" w:ascii="宋体" w:hAnsi="宋体" w:cs="黑体"/>
          <w:b/>
          <w:color w:val="000000"/>
          <w:kern w:val="0"/>
        </w:rPr>
        <w:t>年度部门整体支出绩效评价报告</w:t>
      </w:r>
    </w:p>
    <w:p>
      <w:pPr>
        <w:bidi w:val="0"/>
        <w:spacing w:line="560" w:lineRule="exact"/>
        <w:ind w:firstLine="640" w:firstLineChars="200"/>
        <w:jc w:val="both"/>
        <w:rPr>
          <w:rFonts w:ascii="黑体" w:hAnsi="黑体" w:eastAsia="黑体"/>
          <w:b w:val="0"/>
          <w:bCs/>
        </w:rPr>
      </w:pPr>
      <w:r>
        <w:rPr>
          <w:rFonts w:ascii="黑体" w:hAnsi="黑体" w:eastAsia="黑体"/>
          <w:b w:val="0"/>
          <w:bCs/>
        </w:rPr>
        <w:t>一、部门概况</w:t>
      </w:r>
    </w:p>
    <w:p>
      <w:pPr>
        <w:bidi w:val="0"/>
        <w:spacing w:line="560" w:lineRule="exact"/>
        <w:ind w:firstLine="640" w:firstLineChars="200"/>
        <w:jc w:val="both"/>
        <w:rPr>
          <w:rFonts w:ascii="楷体_GB2312" w:hAnsi="楷体" w:eastAsia="楷体_GB2312"/>
        </w:rPr>
      </w:pPr>
      <w:r>
        <w:rPr>
          <w:rFonts w:ascii="楷体_GB2312" w:hAnsi="楷体" w:eastAsia="楷体_GB2312"/>
        </w:rPr>
        <w:t>（一）机构组成</w:t>
      </w:r>
    </w:p>
    <w:p>
      <w:pPr>
        <w:widowControl w:val="0"/>
        <w:adjustRightInd/>
        <w:snapToGrid/>
        <w:spacing w:after="0" w:line="580" w:lineRule="exact"/>
        <w:ind w:firstLine="960" w:firstLineChars="300"/>
        <w:jc w:val="both"/>
      </w:pPr>
      <w:r>
        <w:rPr>
          <w:rFonts w:hint="eastAsia" w:ascii="仿宋" w:hAnsi="仿宋" w:eastAsia="仿宋" w:cs="仿宋"/>
          <w:kern w:val="2"/>
          <w:sz w:val="32"/>
          <w:szCs w:val="32"/>
          <w:lang w:val="en-US" w:eastAsia="zh-CN"/>
        </w:rPr>
        <w:t>南岳区统计局</w:t>
      </w:r>
      <w:r>
        <w:rPr>
          <w:rFonts w:hint="eastAsia" w:ascii="仿宋" w:hAnsi="仿宋" w:eastAsia="仿宋" w:cs="仿宋"/>
          <w:kern w:val="2"/>
          <w:sz w:val="32"/>
          <w:szCs w:val="32"/>
        </w:rPr>
        <w:t>根据《中共衡阳市委办公室衡阳市人民政府办公室关于印发〈南岳区机构改革方案〉的通知》（衡办〔2019〕11号）</w:t>
      </w:r>
      <w:r>
        <w:t>设立，是</w:t>
      </w:r>
      <w:r>
        <w:rPr>
          <w:rFonts w:hint="eastAsia" w:ascii="仿宋" w:hAnsi="仿宋" w:eastAsia="仿宋" w:cs="仿宋"/>
          <w:kern w:val="2"/>
          <w:sz w:val="32"/>
          <w:szCs w:val="32"/>
          <w:shd w:val="clear" w:color="auto" w:fill="FFFFFF"/>
        </w:rPr>
        <w:t>区政府工作部门，</w:t>
      </w:r>
      <w:r>
        <w:rPr>
          <w:rFonts w:hint="eastAsia" w:ascii="仿宋_GB2312" w:eastAsia="仿宋_GB2312"/>
          <w:sz w:val="30"/>
          <w:szCs w:val="30"/>
        </w:rPr>
        <w:t>全额拨款的行政单位</w:t>
      </w:r>
      <w:r>
        <w:rPr>
          <w:rFonts w:hint="eastAsia"/>
          <w:sz w:val="30"/>
          <w:szCs w:val="30"/>
          <w:lang w:eastAsia="zh-CN"/>
        </w:rPr>
        <w:t>，</w:t>
      </w:r>
      <w:r>
        <w:rPr>
          <w:rFonts w:hint="eastAsia" w:ascii="仿宋" w:hAnsi="仿宋" w:eastAsia="仿宋" w:cs="仿宋"/>
          <w:kern w:val="2"/>
          <w:sz w:val="32"/>
          <w:szCs w:val="32"/>
          <w:shd w:val="clear" w:color="auto" w:fill="FFFFFF"/>
        </w:rPr>
        <w:t>为正科级。</w:t>
      </w:r>
      <w:r>
        <w:rPr>
          <w:rFonts w:hint="eastAsia" w:ascii="仿宋" w:hAnsi="仿宋" w:eastAsia="仿宋" w:cs="仿宋"/>
          <w:kern w:val="2"/>
          <w:sz w:val="32"/>
          <w:szCs w:val="32"/>
          <w:shd w:val="clear" w:color="auto" w:fill="FFFFFF"/>
          <w:lang w:val="en-US" w:eastAsia="zh-CN"/>
        </w:rPr>
        <w:t>内设二级机构：南岳区民意调查中心，</w:t>
      </w:r>
      <w:r>
        <w:rPr>
          <w:rFonts w:hint="eastAsia" w:ascii="仿宋_GB2312" w:eastAsia="仿宋_GB2312"/>
          <w:sz w:val="30"/>
          <w:szCs w:val="30"/>
        </w:rPr>
        <w:t>全额拨款的</w:t>
      </w:r>
      <w:r>
        <w:rPr>
          <w:rFonts w:hint="eastAsia"/>
          <w:sz w:val="30"/>
          <w:szCs w:val="30"/>
          <w:lang w:val="en-US" w:eastAsia="zh-CN"/>
        </w:rPr>
        <w:t>事业</w:t>
      </w:r>
      <w:r>
        <w:rPr>
          <w:rFonts w:hint="eastAsia" w:ascii="仿宋_GB2312" w:eastAsia="仿宋_GB2312"/>
          <w:sz w:val="30"/>
          <w:szCs w:val="30"/>
        </w:rPr>
        <w:t>单位</w:t>
      </w:r>
      <w:r>
        <w:t>。</w:t>
      </w:r>
      <w:r>
        <w:rPr>
          <w:rFonts w:ascii="仿宋" w:hAnsi="仿宋" w:eastAsia="仿宋" w:cs="仿宋"/>
          <w:i w:val="0"/>
          <w:caps w:val="0"/>
          <w:color w:val="auto"/>
          <w:spacing w:val="0"/>
          <w:sz w:val="32"/>
          <w:szCs w:val="32"/>
          <w:shd w:val="clear" w:color="auto" w:fill="FFFFFF"/>
        </w:rPr>
        <w:t>根据编办核定，我局内设股室4个，分别是办公室（加挂法规股） 、工贸农业社会股、综合核算股、普查调查股</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加挂普查中心</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w:t>
      </w:r>
    </w:p>
    <w:p>
      <w:pPr>
        <w:bidi w:val="0"/>
        <w:spacing w:line="560" w:lineRule="exact"/>
        <w:ind w:firstLine="640" w:firstLineChars="200"/>
        <w:jc w:val="both"/>
        <w:rPr>
          <w:rFonts w:ascii="楷体_GB2312" w:hAnsi="楷体" w:eastAsia="楷体_GB2312"/>
        </w:rPr>
      </w:pPr>
      <w:r>
        <w:rPr>
          <w:rFonts w:ascii="楷体_GB2312" w:hAnsi="楷体" w:eastAsia="楷体_GB2312"/>
        </w:rPr>
        <w:t>（二）机构职能</w:t>
      </w:r>
    </w:p>
    <w:p>
      <w:pPr>
        <w:ind w:firstLine="900" w:firstLineChars="300"/>
        <w:rPr>
          <w:rFonts w:hint="eastAsia" w:ascii="仿宋" w:hAnsi="仿宋" w:eastAsia="仿宋" w:cs="仿宋"/>
          <w:i w:val="0"/>
          <w:caps w:val="0"/>
          <w:color w:val="auto"/>
          <w:spacing w:val="0"/>
          <w:sz w:val="32"/>
          <w:szCs w:val="32"/>
          <w:shd w:val="clear" w:color="auto" w:fill="FFFFFF"/>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1</w:t>
      </w:r>
      <w:r>
        <w:rPr>
          <w:rFonts w:hint="eastAsia" w:ascii="仿宋_GB2312" w:eastAsia="仿宋_GB2312"/>
          <w:color w:val="auto"/>
          <w:sz w:val="30"/>
          <w:szCs w:val="30"/>
          <w:lang w:eastAsia="zh-CN"/>
        </w:rPr>
        <w:t>）</w:t>
      </w:r>
      <w:r>
        <w:rPr>
          <w:rFonts w:ascii="仿宋" w:hAnsi="仿宋" w:eastAsia="仿宋" w:cs="仿宋"/>
          <w:i w:val="0"/>
          <w:caps w:val="0"/>
          <w:color w:val="auto"/>
          <w:spacing w:val="0"/>
          <w:sz w:val="32"/>
          <w:szCs w:val="32"/>
          <w:shd w:val="clear" w:color="auto" w:fill="FFFFFF"/>
        </w:rPr>
        <w:t>贯彻执行国家统计工作的方针、政策和统计法律法规，研究统计制度和统计方法的改革，完成国家和地方统计调查任务，承担组织领导和协调全区</w:t>
      </w:r>
      <w:r>
        <w:rPr>
          <w:rFonts w:hint="eastAsia" w:ascii="仿宋" w:hAnsi="仿宋" w:eastAsia="仿宋" w:cs="仿宋"/>
          <w:i w:val="0"/>
          <w:caps w:val="0"/>
          <w:color w:val="auto"/>
          <w:spacing w:val="0"/>
          <w:sz w:val="32"/>
          <w:szCs w:val="32"/>
          <w:shd w:val="clear" w:color="auto" w:fill="FFFFFF"/>
        </w:rPr>
        <w:t> 统计工作，确保统计数据真实、准确、及时，监督检查统计法律法规的实施情况，查处各类违法行为。  </w:t>
      </w:r>
    </w:p>
    <w:p>
      <w:pPr>
        <w:ind w:firstLine="900" w:firstLineChars="300"/>
        <w:rPr>
          <w:rFonts w:hint="eastAsia" w:ascii="仿宋" w:hAnsi="仿宋" w:eastAsia="仿宋" w:cs="仿宋"/>
          <w:i w:val="0"/>
          <w:caps w:val="0"/>
          <w:color w:val="auto"/>
          <w:spacing w:val="0"/>
          <w:sz w:val="32"/>
          <w:szCs w:val="32"/>
          <w:shd w:val="clear" w:color="auto" w:fill="FFFFFF"/>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2</w:t>
      </w:r>
      <w:r>
        <w:rPr>
          <w:rFonts w:hint="eastAsia" w:ascii="仿宋_GB2312" w:eastAsia="仿宋_GB2312"/>
          <w:color w:val="auto"/>
          <w:sz w:val="30"/>
          <w:szCs w:val="30"/>
          <w:lang w:eastAsia="zh-CN"/>
        </w:rPr>
        <w:t>）</w:t>
      </w:r>
      <w:r>
        <w:rPr>
          <w:rFonts w:hint="eastAsia" w:ascii="仿宋" w:hAnsi="仿宋" w:eastAsia="仿宋" w:cs="仿宋"/>
          <w:i w:val="0"/>
          <w:caps w:val="0"/>
          <w:color w:val="auto"/>
          <w:spacing w:val="0"/>
          <w:sz w:val="32"/>
          <w:szCs w:val="32"/>
          <w:shd w:val="clear" w:color="auto" w:fill="FFFFFF"/>
        </w:rPr>
        <w:t>制定并组织实施全区统计改革和统计现代化建设规划及统计调查计划，建立健全国民经济核算体系和统计指标体系，组织实施全区投入产出调查，汇编提供全区生产总值核算资料。  </w:t>
      </w:r>
    </w:p>
    <w:p>
      <w:pPr>
        <w:ind w:firstLine="900" w:firstLineChars="300"/>
        <w:rPr>
          <w:rFonts w:hint="eastAsia" w:ascii="仿宋" w:hAnsi="仿宋" w:eastAsia="仿宋" w:cs="仿宋"/>
          <w:i w:val="0"/>
          <w:caps w:val="0"/>
          <w:color w:val="auto"/>
          <w:spacing w:val="0"/>
          <w:sz w:val="32"/>
          <w:szCs w:val="32"/>
          <w:shd w:val="clear" w:color="auto" w:fill="FFFFFF"/>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3</w:t>
      </w:r>
      <w:r>
        <w:rPr>
          <w:rFonts w:hint="eastAsia" w:ascii="仿宋_GB2312" w:eastAsia="仿宋_GB2312"/>
          <w:color w:val="auto"/>
          <w:sz w:val="30"/>
          <w:szCs w:val="30"/>
          <w:lang w:eastAsia="zh-CN"/>
        </w:rPr>
        <w:t>）</w:t>
      </w:r>
      <w:r>
        <w:rPr>
          <w:rFonts w:hint="eastAsia" w:ascii="仿宋" w:hAnsi="仿宋" w:eastAsia="仿宋" w:cs="仿宋"/>
          <w:i w:val="0"/>
          <w:caps w:val="0"/>
          <w:color w:val="auto"/>
          <w:spacing w:val="0"/>
          <w:sz w:val="32"/>
          <w:szCs w:val="32"/>
          <w:shd w:val="clear" w:color="auto" w:fill="FFFFFF"/>
        </w:rPr>
        <w:t>会同有关部门拟订重大区情区力普查计划与方案，组织实施全区人口、经济、农业等重大区情区力调查，汇总、整理和提供有关区情区力方面的统计数据。  </w:t>
      </w:r>
    </w:p>
    <w:p>
      <w:pPr>
        <w:ind w:firstLine="900" w:firstLineChars="300"/>
        <w:rPr>
          <w:rFonts w:hint="eastAsia" w:ascii="仿宋" w:hAnsi="仿宋" w:eastAsia="仿宋" w:cs="仿宋"/>
          <w:i w:val="0"/>
          <w:caps w:val="0"/>
          <w:color w:val="auto"/>
          <w:spacing w:val="0"/>
          <w:sz w:val="32"/>
          <w:szCs w:val="32"/>
          <w:shd w:val="clear" w:color="auto" w:fill="FFFFFF"/>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4</w:t>
      </w:r>
      <w:r>
        <w:rPr>
          <w:rFonts w:hint="eastAsia" w:ascii="仿宋_GB2312" w:eastAsia="仿宋_GB2312"/>
          <w:color w:val="auto"/>
          <w:sz w:val="30"/>
          <w:szCs w:val="30"/>
          <w:lang w:eastAsia="zh-CN"/>
        </w:rPr>
        <w:t>）</w:t>
      </w:r>
      <w:r>
        <w:rPr>
          <w:rFonts w:hint="eastAsia" w:ascii="仿宋" w:hAnsi="仿宋" w:eastAsia="仿宋" w:cs="仿宋"/>
          <w:i w:val="0"/>
          <w:caps w:val="0"/>
          <w:color w:val="auto"/>
          <w:spacing w:val="0"/>
          <w:sz w:val="32"/>
          <w:szCs w:val="32"/>
          <w:shd w:val="clear" w:color="auto" w:fill="FFFFFF"/>
        </w:rPr>
        <w:t>组织实施农林牧渔业、工业、建筑业、批发零售及住宿餐饮业、房地产业以及服务业等全区性基本统计数据上报汇总，组织实施能源、投资、消费、价格、收入、科技、人口、劳动力、劳动工资统计、社会发展基本情况、环境基本状况、城乡一体化、文化产业、畜禽监测等统计调查与监测，收集、汇总、整理和提供有关调查的统计数据。  </w:t>
      </w:r>
    </w:p>
    <w:p>
      <w:pPr>
        <w:ind w:firstLine="900" w:firstLineChars="300"/>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5</w:t>
      </w:r>
      <w:r>
        <w:rPr>
          <w:rFonts w:hint="eastAsia" w:ascii="仿宋_GB2312" w:eastAsia="仿宋_GB2312"/>
          <w:color w:val="auto"/>
          <w:sz w:val="30"/>
          <w:szCs w:val="30"/>
          <w:lang w:eastAsia="zh-CN"/>
        </w:rPr>
        <w:t>）</w:t>
      </w:r>
      <w:r>
        <w:rPr>
          <w:rFonts w:hint="eastAsia" w:ascii="仿宋" w:hAnsi="仿宋" w:eastAsia="仿宋" w:cs="仿宋"/>
          <w:i w:val="0"/>
          <w:caps w:val="0"/>
          <w:color w:val="auto"/>
          <w:spacing w:val="0"/>
          <w:sz w:val="32"/>
          <w:szCs w:val="32"/>
          <w:shd w:val="clear" w:color="auto" w:fill="FFFFFF"/>
        </w:rPr>
        <w:t>承办区委、区人民政府交办的其他事项。</w:t>
      </w:r>
    </w:p>
    <w:p>
      <w:pPr>
        <w:bidi w:val="0"/>
        <w:spacing w:line="560" w:lineRule="exact"/>
        <w:ind w:firstLine="640" w:firstLineChars="200"/>
        <w:jc w:val="both"/>
        <w:rPr>
          <w:rFonts w:ascii="楷体_GB2312" w:hAnsi="楷体" w:eastAsia="楷体_GB2312"/>
        </w:rPr>
      </w:pPr>
      <w:r>
        <w:rPr>
          <w:rFonts w:ascii="楷体_GB2312" w:hAnsi="楷体" w:eastAsia="楷体_GB2312"/>
        </w:rPr>
        <w:t>（三）人员概况</w:t>
      </w:r>
    </w:p>
    <w:p>
      <w:pPr>
        <w:bidi w:val="0"/>
        <w:spacing w:line="560" w:lineRule="exact"/>
        <w:ind w:firstLine="888" w:firstLineChars="296"/>
        <w:jc w:val="both"/>
        <w:rPr>
          <w:rFonts w:hint="eastAsia" w:ascii="仿宋_GB2312" w:eastAsia="仿宋_GB2312"/>
          <w:sz w:val="30"/>
          <w:szCs w:val="30"/>
          <w:lang w:eastAsia="zh-CN"/>
        </w:rPr>
      </w:pPr>
      <w:r>
        <w:rPr>
          <w:rFonts w:hint="eastAsia" w:ascii="仿宋_GB2312" w:eastAsia="仿宋_GB2312"/>
          <w:sz w:val="30"/>
          <w:szCs w:val="30"/>
        </w:rPr>
        <w:t>核定编制人数</w:t>
      </w:r>
      <w:r>
        <w:rPr>
          <w:rFonts w:hint="eastAsia" w:ascii="仿宋_GB2312" w:eastAsia="仿宋_GB2312"/>
          <w:sz w:val="30"/>
          <w:szCs w:val="30"/>
          <w:lang w:val="en-US" w:eastAsia="zh-CN"/>
        </w:rPr>
        <w:t>11</w:t>
      </w:r>
      <w:r>
        <w:rPr>
          <w:rFonts w:hint="eastAsia" w:ascii="仿宋_GB2312" w:eastAsia="仿宋_GB2312"/>
          <w:sz w:val="30"/>
          <w:szCs w:val="30"/>
        </w:rPr>
        <w:t>人，其中：行政编制</w:t>
      </w:r>
      <w:r>
        <w:rPr>
          <w:rFonts w:hint="eastAsia" w:ascii="仿宋_GB2312" w:eastAsia="仿宋_GB2312"/>
          <w:sz w:val="30"/>
          <w:szCs w:val="30"/>
          <w:lang w:val="en-US" w:eastAsia="zh-CN"/>
        </w:rPr>
        <w:t>3</w:t>
      </w:r>
      <w:r>
        <w:rPr>
          <w:rFonts w:hint="eastAsia" w:ascii="仿宋_GB2312" w:eastAsia="仿宋_GB2312"/>
          <w:sz w:val="30"/>
          <w:szCs w:val="30"/>
        </w:rPr>
        <w:t>人，全额事业编制</w:t>
      </w:r>
      <w:r>
        <w:rPr>
          <w:rFonts w:hint="eastAsia" w:ascii="仿宋_GB2312" w:eastAsia="仿宋_GB2312"/>
          <w:sz w:val="30"/>
          <w:szCs w:val="30"/>
          <w:lang w:val="en-US" w:eastAsia="zh-CN"/>
        </w:rPr>
        <w:t>8</w:t>
      </w:r>
      <w:r>
        <w:rPr>
          <w:rFonts w:hint="eastAsia" w:ascii="仿宋_GB2312" w:eastAsia="仿宋_GB2312"/>
          <w:sz w:val="30"/>
          <w:szCs w:val="30"/>
        </w:rPr>
        <w:t>人</w:t>
      </w:r>
      <w:r>
        <w:rPr>
          <w:rFonts w:hint="eastAsia" w:ascii="仿宋_GB2312" w:eastAsia="仿宋_GB2312"/>
          <w:sz w:val="30"/>
          <w:szCs w:val="30"/>
          <w:lang w:eastAsia="zh-CN"/>
        </w:rPr>
        <w:t>，</w:t>
      </w: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年末实际在岗在编人数</w:t>
      </w:r>
      <w:r>
        <w:rPr>
          <w:rFonts w:hint="eastAsia" w:ascii="仿宋_GB2312" w:eastAsia="仿宋_GB2312"/>
          <w:sz w:val="30"/>
          <w:szCs w:val="30"/>
          <w:lang w:val="en-US" w:eastAsia="zh-CN"/>
        </w:rPr>
        <w:t>8</w:t>
      </w:r>
      <w:r>
        <w:rPr>
          <w:rFonts w:hint="eastAsia" w:ascii="仿宋_GB2312" w:eastAsia="仿宋_GB2312"/>
          <w:sz w:val="30"/>
          <w:szCs w:val="30"/>
        </w:rPr>
        <w:t>人，退休人员</w:t>
      </w:r>
      <w:r>
        <w:rPr>
          <w:rFonts w:hint="eastAsia" w:ascii="仿宋_GB2312" w:eastAsia="仿宋_GB2312"/>
          <w:sz w:val="30"/>
          <w:szCs w:val="30"/>
          <w:lang w:val="en-US" w:eastAsia="zh-CN"/>
        </w:rPr>
        <w:t>1</w:t>
      </w:r>
      <w:r>
        <w:rPr>
          <w:rFonts w:hint="eastAsia" w:ascii="仿宋_GB2312" w:eastAsia="仿宋_GB2312"/>
          <w:sz w:val="30"/>
          <w:szCs w:val="30"/>
        </w:rPr>
        <w:t>人，临聘人员</w:t>
      </w:r>
      <w:r>
        <w:rPr>
          <w:rFonts w:hint="eastAsia" w:ascii="仿宋_GB2312" w:eastAsia="仿宋_GB2312"/>
          <w:sz w:val="30"/>
          <w:szCs w:val="30"/>
          <w:lang w:val="en-US" w:eastAsia="zh-CN"/>
        </w:rPr>
        <w:t>4</w:t>
      </w:r>
      <w:r>
        <w:rPr>
          <w:rFonts w:hint="eastAsia" w:ascii="仿宋_GB2312" w:eastAsia="仿宋_GB2312"/>
          <w:sz w:val="30"/>
          <w:szCs w:val="30"/>
        </w:rPr>
        <w:t>人</w:t>
      </w:r>
      <w:r>
        <w:rPr>
          <w:rFonts w:hint="eastAsia" w:ascii="仿宋_GB2312" w:eastAsia="仿宋_GB2312"/>
          <w:sz w:val="30"/>
          <w:szCs w:val="30"/>
          <w:lang w:eastAsia="zh-CN"/>
        </w:rPr>
        <w:t>。</w:t>
      </w:r>
    </w:p>
    <w:p>
      <w:pPr>
        <w:bidi w:val="0"/>
        <w:spacing w:line="560" w:lineRule="exact"/>
        <w:ind w:firstLine="640" w:firstLineChars="200"/>
        <w:jc w:val="both"/>
        <w:rPr>
          <w:rFonts w:ascii="黑体" w:hAnsi="黑体" w:eastAsia="黑体"/>
        </w:rPr>
      </w:pPr>
      <w:r>
        <w:rPr>
          <w:rFonts w:ascii="黑体" w:hAnsi="黑体" w:eastAsia="黑体"/>
        </w:rPr>
        <w:t>二、部门财政资金收支情况</w:t>
      </w:r>
    </w:p>
    <w:p>
      <w:pPr>
        <w:bidi w:val="0"/>
        <w:spacing w:line="560" w:lineRule="exact"/>
        <w:ind w:firstLine="640" w:firstLineChars="200"/>
        <w:jc w:val="both"/>
        <w:rPr>
          <w:rFonts w:ascii="楷体_GB2312" w:hAnsi="楷体" w:eastAsia="楷体_GB2312"/>
          <w:bCs/>
        </w:rPr>
      </w:pPr>
      <w:r>
        <w:rPr>
          <w:rFonts w:ascii="楷体_GB2312" w:hAnsi="楷体" w:eastAsia="楷体_GB2312"/>
          <w:bCs/>
        </w:rPr>
        <w:t xml:space="preserve">（一）部门财政资金收入情况 </w:t>
      </w:r>
    </w:p>
    <w:p>
      <w:pPr>
        <w:ind w:firstLine="960" w:firstLineChars="300"/>
        <w:rPr>
          <w:rFonts w:hint="eastAsia" w:ascii="仿宋_GB2312" w:eastAsia="仿宋_GB2312"/>
          <w:sz w:val="30"/>
          <w:szCs w:val="30"/>
        </w:rPr>
      </w:pPr>
      <w:r>
        <w:t>201</w:t>
      </w:r>
      <w:r>
        <w:rPr>
          <w:rFonts w:hint="eastAsia"/>
          <w:lang w:val="en-US" w:eastAsia="zh-CN"/>
        </w:rPr>
        <w:t>9</w:t>
      </w:r>
      <w:r>
        <w:t>年财政拨款总收入</w:t>
      </w:r>
      <w:r>
        <w:rPr>
          <w:rFonts w:hint="eastAsia" w:ascii="仿宋_GB2312" w:eastAsia="仿宋_GB2312"/>
          <w:sz w:val="30"/>
          <w:szCs w:val="30"/>
          <w:lang w:val="en-US" w:eastAsia="zh-CN"/>
        </w:rPr>
        <w:t>165.79</w:t>
      </w:r>
      <w:r>
        <w:rPr>
          <w:rFonts w:hint="eastAsia" w:ascii="仿宋_GB2312" w:eastAsia="仿宋_GB2312"/>
          <w:sz w:val="30"/>
          <w:szCs w:val="30"/>
        </w:rPr>
        <w:t>万元</w:t>
      </w:r>
      <w:r>
        <w:t>，</w:t>
      </w:r>
      <w:r>
        <w:rPr>
          <w:rFonts w:hint="eastAsia" w:ascii="仿宋_GB2312" w:eastAsia="仿宋_GB2312"/>
          <w:sz w:val="30"/>
          <w:szCs w:val="30"/>
        </w:rPr>
        <w:t>其中：经费拨款</w:t>
      </w:r>
      <w:r>
        <w:rPr>
          <w:rFonts w:hint="eastAsia" w:ascii="仿宋_GB2312" w:eastAsia="仿宋_GB2312"/>
          <w:sz w:val="30"/>
          <w:szCs w:val="30"/>
          <w:lang w:val="en-US" w:eastAsia="zh-CN"/>
        </w:rPr>
        <w:t>165.79</w:t>
      </w:r>
      <w:r>
        <w:rPr>
          <w:rFonts w:hint="eastAsia" w:ascii="仿宋_GB2312" w:eastAsia="仿宋_GB2312"/>
          <w:sz w:val="30"/>
          <w:szCs w:val="30"/>
        </w:rPr>
        <w:t>万元，纳入预算管理的非税收入拨款</w:t>
      </w:r>
      <w:r>
        <w:rPr>
          <w:rFonts w:hint="eastAsia" w:ascii="仿宋_GB2312" w:eastAsia="仿宋_GB2312"/>
          <w:sz w:val="30"/>
          <w:szCs w:val="30"/>
          <w:lang w:val="en-US" w:eastAsia="zh-CN"/>
        </w:rPr>
        <w:t>0</w:t>
      </w:r>
      <w:r>
        <w:rPr>
          <w:rFonts w:hint="eastAsia" w:ascii="仿宋_GB2312" w:eastAsia="仿宋_GB2312"/>
          <w:sz w:val="30"/>
          <w:szCs w:val="30"/>
        </w:rPr>
        <w:t>万元，转移支付拨款</w:t>
      </w:r>
      <w:r>
        <w:rPr>
          <w:rFonts w:hint="eastAsia" w:ascii="仿宋_GB2312" w:eastAsia="仿宋_GB2312"/>
          <w:sz w:val="30"/>
          <w:szCs w:val="30"/>
          <w:lang w:val="en-US" w:eastAsia="zh-CN"/>
        </w:rPr>
        <w:t>0</w:t>
      </w:r>
      <w:r>
        <w:rPr>
          <w:rFonts w:hint="eastAsia" w:ascii="仿宋_GB2312" w:eastAsia="仿宋_GB2312"/>
          <w:sz w:val="30"/>
          <w:szCs w:val="30"/>
        </w:rPr>
        <w:t>万元，财政专户管理的非税收入拨款</w:t>
      </w:r>
      <w:r>
        <w:rPr>
          <w:rFonts w:hint="eastAsia" w:ascii="仿宋_GB2312" w:eastAsia="仿宋_GB2312"/>
          <w:sz w:val="30"/>
          <w:szCs w:val="30"/>
          <w:lang w:val="en-US" w:eastAsia="zh-CN"/>
        </w:rPr>
        <w:t>0</w:t>
      </w:r>
      <w:r>
        <w:rPr>
          <w:rFonts w:hint="eastAsia" w:ascii="仿宋_GB2312" w:eastAsia="仿宋_GB2312"/>
          <w:sz w:val="30"/>
          <w:szCs w:val="30"/>
        </w:rPr>
        <w:t>万元，经营收入</w:t>
      </w:r>
      <w:r>
        <w:rPr>
          <w:rFonts w:hint="eastAsia" w:ascii="仿宋_GB2312" w:eastAsia="仿宋_GB2312"/>
          <w:sz w:val="30"/>
          <w:szCs w:val="30"/>
          <w:lang w:val="en-US" w:eastAsia="zh-CN"/>
        </w:rPr>
        <w:t>0</w:t>
      </w:r>
      <w:r>
        <w:rPr>
          <w:rFonts w:hint="eastAsia" w:ascii="仿宋_GB2312" w:eastAsia="仿宋_GB2312"/>
          <w:sz w:val="30"/>
          <w:szCs w:val="30"/>
        </w:rPr>
        <w:t>万元，上级补助收入</w:t>
      </w:r>
      <w:r>
        <w:rPr>
          <w:rFonts w:hint="eastAsia" w:ascii="仿宋_GB2312" w:eastAsia="仿宋_GB2312"/>
          <w:sz w:val="30"/>
          <w:szCs w:val="30"/>
          <w:lang w:val="en-US" w:eastAsia="zh-CN"/>
        </w:rPr>
        <w:t>0</w:t>
      </w:r>
      <w:r>
        <w:rPr>
          <w:rFonts w:hint="eastAsia" w:ascii="仿宋_GB2312" w:eastAsia="仿宋_GB2312"/>
          <w:sz w:val="30"/>
          <w:szCs w:val="30"/>
        </w:rPr>
        <w:t>万元，其他收入</w:t>
      </w:r>
      <w:r>
        <w:rPr>
          <w:rFonts w:hint="eastAsia" w:ascii="仿宋_GB2312" w:eastAsia="仿宋_GB2312"/>
          <w:sz w:val="30"/>
          <w:szCs w:val="30"/>
          <w:lang w:val="en-US" w:eastAsia="zh-CN"/>
        </w:rPr>
        <w:t>0</w:t>
      </w:r>
      <w:r>
        <w:rPr>
          <w:rFonts w:hint="eastAsia" w:ascii="仿宋_GB2312" w:eastAsia="仿宋_GB2312"/>
          <w:sz w:val="30"/>
          <w:szCs w:val="30"/>
        </w:rPr>
        <w:t>万元。201</w:t>
      </w:r>
      <w:r>
        <w:rPr>
          <w:rFonts w:hint="eastAsia" w:ascii="仿宋_GB2312" w:eastAsia="仿宋_GB2312"/>
          <w:sz w:val="30"/>
          <w:szCs w:val="30"/>
          <w:lang w:val="en-US" w:eastAsia="zh-CN"/>
        </w:rPr>
        <w:t>9</w:t>
      </w:r>
      <w:r>
        <w:rPr>
          <w:rFonts w:hint="eastAsia" w:ascii="仿宋_GB2312" w:eastAsia="仿宋_GB2312"/>
          <w:sz w:val="30"/>
          <w:szCs w:val="30"/>
        </w:rPr>
        <w:t>年收入预算较上年预算</w:t>
      </w:r>
      <w:r>
        <w:rPr>
          <w:rFonts w:hint="eastAsia" w:ascii="仿宋_GB2312" w:eastAsia="仿宋_GB2312"/>
          <w:sz w:val="30"/>
          <w:szCs w:val="30"/>
          <w:lang w:eastAsia="zh-CN"/>
        </w:rPr>
        <w:t>减少</w:t>
      </w:r>
      <w:r>
        <w:rPr>
          <w:rFonts w:hint="eastAsia" w:ascii="仿宋_GB2312" w:eastAsia="仿宋_GB2312"/>
          <w:sz w:val="30"/>
          <w:szCs w:val="30"/>
          <w:lang w:val="en-US" w:eastAsia="zh-CN"/>
        </w:rPr>
        <w:t>14.09</w:t>
      </w:r>
      <w:r>
        <w:rPr>
          <w:rFonts w:hint="eastAsia" w:ascii="仿宋_GB2312" w:eastAsia="仿宋_GB2312"/>
          <w:sz w:val="30"/>
          <w:szCs w:val="30"/>
        </w:rPr>
        <w:t>万元，主要是</w:t>
      </w:r>
      <w:r>
        <w:rPr>
          <w:rFonts w:hint="eastAsia" w:ascii="仿宋_GB2312" w:eastAsia="仿宋_GB2312"/>
          <w:sz w:val="30"/>
          <w:szCs w:val="30"/>
          <w:lang w:val="en-US" w:eastAsia="zh-CN"/>
        </w:rPr>
        <w:t>用</w:t>
      </w:r>
      <w:r>
        <w:rPr>
          <w:rFonts w:hint="eastAsia" w:ascii="仿宋_GB2312" w:eastAsia="仿宋_GB2312"/>
          <w:sz w:val="30"/>
          <w:szCs w:val="30"/>
        </w:rPr>
        <w:t>于联网直报</w:t>
      </w:r>
      <w:r>
        <w:rPr>
          <w:rFonts w:hint="eastAsia" w:ascii="仿宋_GB2312" w:eastAsia="仿宋_GB2312"/>
          <w:sz w:val="30"/>
          <w:szCs w:val="30"/>
          <w:lang w:eastAsia="zh-CN"/>
        </w:rPr>
        <w:t>、</w:t>
      </w:r>
      <w:r>
        <w:rPr>
          <w:rFonts w:hint="eastAsia" w:ascii="仿宋_GB2312" w:eastAsia="仿宋_GB2312"/>
          <w:sz w:val="30"/>
          <w:szCs w:val="30"/>
        </w:rPr>
        <w:t>城乡一体化</w:t>
      </w:r>
      <w:r>
        <w:rPr>
          <w:rFonts w:hint="eastAsia" w:ascii="仿宋_GB2312" w:eastAsia="仿宋_GB2312"/>
          <w:sz w:val="30"/>
          <w:szCs w:val="30"/>
          <w:lang w:val="en-US" w:eastAsia="zh-CN"/>
        </w:rPr>
        <w:t>调查</w:t>
      </w:r>
      <w:r>
        <w:rPr>
          <w:rFonts w:hint="eastAsia" w:ascii="仿宋_GB2312" w:eastAsia="仿宋_GB2312"/>
          <w:sz w:val="30"/>
          <w:szCs w:val="30"/>
          <w:lang w:eastAsia="zh-CN"/>
        </w:rPr>
        <w:t>、</w:t>
      </w:r>
      <w:r>
        <w:rPr>
          <w:rFonts w:hint="eastAsia" w:ascii="仿宋_GB2312" w:eastAsia="仿宋_GB2312"/>
          <w:sz w:val="30"/>
          <w:szCs w:val="30"/>
          <w:lang w:val="en-US" w:eastAsia="zh-CN"/>
        </w:rPr>
        <w:t>经济普查、</w:t>
      </w:r>
      <w:r>
        <w:rPr>
          <w:rFonts w:hint="eastAsia" w:ascii="仿宋_GB2312" w:eastAsia="仿宋_GB2312"/>
          <w:sz w:val="30"/>
          <w:szCs w:val="30"/>
        </w:rPr>
        <w:t>统计调查等。</w:t>
      </w:r>
    </w:p>
    <w:p>
      <w:pPr>
        <w:bidi w:val="0"/>
        <w:spacing w:line="560" w:lineRule="exact"/>
        <w:ind w:firstLine="640" w:firstLineChars="200"/>
        <w:jc w:val="both"/>
        <w:rPr>
          <w:rFonts w:ascii="楷体_GB2312" w:hAnsi="楷体" w:eastAsia="楷体_GB2312"/>
          <w:bCs/>
        </w:rPr>
      </w:pPr>
      <w:r>
        <w:rPr>
          <w:rFonts w:ascii="楷体_GB2312" w:hAnsi="楷体" w:eastAsia="楷体_GB2312"/>
          <w:bCs/>
        </w:rPr>
        <w:t xml:space="preserve">（二）部门财政资金支出情况 </w:t>
      </w:r>
    </w:p>
    <w:p>
      <w:pPr>
        <w:ind w:firstLine="640" w:firstLineChars="200"/>
        <w:rPr>
          <w:rFonts w:hint="eastAsia" w:ascii="仿宋_GB2312" w:eastAsia="仿宋_GB2312"/>
          <w:sz w:val="30"/>
          <w:szCs w:val="30"/>
        </w:rPr>
      </w:pPr>
      <w:r>
        <w:rPr>
          <w:rFonts w:hAnsi="仿宋_GB2312"/>
        </w:rPr>
        <w:t>201</w:t>
      </w:r>
      <w:r>
        <w:rPr>
          <w:rFonts w:hint="eastAsia"/>
          <w:lang w:val="en-US" w:eastAsia="zh-CN"/>
        </w:rPr>
        <w:t>9</w:t>
      </w:r>
      <w:r>
        <w:rPr>
          <w:rFonts w:hAnsi="仿宋_GB2312"/>
        </w:rPr>
        <w:t>年</w:t>
      </w:r>
      <w:r>
        <w:t>财政拨款</w:t>
      </w:r>
      <w:r>
        <w:rPr>
          <w:rFonts w:hAnsi="仿宋_GB2312"/>
        </w:rPr>
        <w:t>总支出为</w:t>
      </w:r>
      <w:r>
        <w:rPr>
          <w:rFonts w:hint="eastAsia" w:ascii="仿宋_GB2312" w:eastAsia="仿宋_GB2312"/>
          <w:sz w:val="30"/>
          <w:szCs w:val="30"/>
          <w:lang w:val="en-US" w:eastAsia="zh-CN"/>
        </w:rPr>
        <w:t>165.79</w:t>
      </w:r>
      <w:r>
        <w:rPr>
          <w:rFonts w:hint="eastAsia" w:ascii="仿宋_GB2312" w:eastAsia="仿宋_GB2312"/>
          <w:sz w:val="30"/>
          <w:szCs w:val="30"/>
        </w:rPr>
        <w:t>万元</w:t>
      </w:r>
      <w:r>
        <w:rPr>
          <w:rFonts w:hAnsi="仿宋_GB2312"/>
        </w:rPr>
        <w:t>，</w:t>
      </w:r>
      <w:r>
        <w:rPr>
          <w:rFonts w:hint="eastAsia" w:ascii="仿宋_GB2312" w:eastAsia="仿宋_GB2312"/>
          <w:sz w:val="30"/>
          <w:szCs w:val="30"/>
        </w:rPr>
        <w:t>其中：基本支出</w:t>
      </w:r>
      <w:r>
        <w:rPr>
          <w:rFonts w:hint="eastAsia" w:ascii="仿宋_GB2312" w:eastAsia="仿宋_GB2312"/>
          <w:sz w:val="30"/>
          <w:szCs w:val="30"/>
          <w:lang w:val="en-US" w:eastAsia="zh-CN"/>
        </w:rPr>
        <w:t>94.73</w:t>
      </w:r>
      <w:r>
        <w:rPr>
          <w:rFonts w:hint="eastAsia" w:ascii="仿宋_GB2312" w:eastAsia="仿宋_GB2312"/>
          <w:sz w:val="30"/>
          <w:szCs w:val="30"/>
        </w:rPr>
        <w:t>万元，是指为保障单位机构正常运转、完成日常工作任务而发生的各项支出，包括用于基本工资、津贴补贴等人员经费以及办公费、印刷费、交通费、水电费、办公设备购置费等日常公用经费。部门项目支出</w:t>
      </w:r>
      <w:r>
        <w:rPr>
          <w:rFonts w:hint="eastAsia" w:ascii="仿宋_GB2312" w:eastAsia="仿宋_GB2312"/>
          <w:sz w:val="30"/>
          <w:szCs w:val="30"/>
          <w:lang w:val="en-US" w:eastAsia="zh-CN"/>
        </w:rPr>
        <w:t>71.06</w:t>
      </w:r>
      <w:r>
        <w:rPr>
          <w:rFonts w:hint="eastAsia" w:ascii="仿宋_GB2312" w:eastAsia="仿宋_GB2312"/>
          <w:sz w:val="30"/>
          <w:szCs w:val="30"/>
        </w:rPr>
        <w:t>万元，是指单位为完成特定行政工作任务或事业发展目标而发生的支出，主要用于单位为完成特定行政工作任务或事业发展目标而发生的支出等。</w:t>
      </w:r>
    </w:p>
    <w:p>
      <w:pPr>
        <w:bidi w:val="0"/>
        <w:spacing w:line="560" w:lineRule="exact"/>
        <w:ind w:firstLine="643" w:firstLineChars="200"/>
        <w:jc w:val="both"/>
        <w:rPr>
          <w:rFonts w:ascii="黑体" w:hAnsi="黑体" w:eastAsia="黑体"/>
        </w:rPr>
      </w:pPr>
      <w:r>
        <w:rPr>
          <w:rFonts w:ascii="黑体" w:hAnsi="黑体" w:eastAsia="黑体"/>
          <w:b/>
          <w:bCs/>
        </w:rPr>
        <w:t>三、</w:t>
      </w:r>
      <w:r>
        <w:rPr>
          <w:rFonts w:ascii="黑体" w:hAnsi="黑体" w:eastAsia="黑体"/>
          <w:b w:val="0"/>
          <w:bCs w:val="0"/>
        </w:rPr>
        <w:t>部门</w:t>
      </w:r>
      <w:r>
        <w:rPr>
          <w:rFonts w:ascii="黑体" w:hAnsi="黑体" w:eastAsia="黑体"/>
        </w:rPr>
        <w:t>财政支出管理情况</w:t>
      </w:r>
    </w:p>
    <w:p>
      <w:pPr>
        <w:bidi w:val="0"/>
        <w:spacing w:line="560" w:lineRule="exact"/>
        <w:ind w:firstLine="640" w:firstLineChars="200"/>
        <w:jc w:val="both"/>
        <w:rPr>
          <w:rFonts w:ascii="楷体_GB2312" w:hAnsi="楷体" w:eastAsia="楷体_GB2312"/>
        </w:rPr>
      </w:pPr>
      <w:r>
        <w:rPr>
          <w:rFonts w:ascii="楷体_GB2312" w:hAnsi="楷体" w:eastAsia="楷体_GB2312"/>
        </w:rPr>
        <w:t>（一）预算编制情况</w:t>
      </w:r>
    </w:p>
    <w:p>
      <w:pPr>
        <w:bidi w:val="0"/>
        <w:spacing w:line="560" w:lineRule="exact"/>
        <w:ind w:firstLine="640" w:firstLineChars="200"/>
        <w:jc w:val="both"/>
      </w:pPr>
      <w:r>
        <w:t>1.预算编制质量</w:t>
      </w:r>
    </w:p>
    <w:p>
      <w:pPr>
        <w:tabs>
          <w:tab w:val="left" w:pos="900"/>
        </w:tabs>
        <w:bidi w:val="0"/>
        <w:snapToGrid w:val="0"/>
        <w:spacing w:line="560" w:lineRule="exact"/>
        <w:ind w:firstLine="640" w:firstLineChars="200"/>
        <w:jc w:val="both"/>
        <w:rPr>
          <w:lang w:val="zh-CN"/>
        </w:rPr>
      </w:pPr>
      <w:r>
        <w:rPr>
          <w:lang w:val="zh-CN"/>
        </w:rPr>
        <w:t>按照省财政厅《关于编制201</w:t>
      </w:r>
      <w:r>
        <w:rPr>
          <w:rFonts w:hint="eastAsia"/>
          <w:lang w:val="en-US" w:eastAsia="zh-CN"/>
        </w:rPr>
        <w:t>9</w:t>
      </w:r>
      <w:r>
        <w:rPr>
          <w:lang w:val="zh-CN"/>
        </w:rPr>
        <w:t>年部门预算的通知 》要求及部门预算编制口径，根据201</w:t>
      </w:r>
      <w:r>
        <w:rPr>
          <w:rFonts w:hint="eastAsia"/>
          <w:lang w:val="en-US" w:eastAsia="zh-CN"/>
        </w:rPr>
        <w:t>9</w:t>
      </w:r>
      <w:r>
        <w:rPr>
          <w:lang w:val="zh-CN"/>
        </w:rPr>
        <w:t>年度部门工作任务和事业发展规划，编制了本部门全部收支的综合预算。</w:t>
      </w:r>
    </w:p>
    <w:p>
      <w:pPr>
        <w:bidi w:val="0"/>
        <w:spacing w:line="560" w:lineRule="exact"/>
        <w:ind w:firstLine="480" w:firstLineChars="150"/>
        <w:jc w:val="both"/>
        <w:rPr>
          <w:lang w:val="zh-CN"/>
        </w:rPr>
      </w:pPr>
      <w:r>
        <w:rPr>
          <w:lang w:val="zh-CN"/>
        </w:rPr>
        <w:t>（1）报送时效</w:t>
      </w:r>
    </w:p>
    <w:p>
      <w:pPr>
        <w:bidi w:val="0"/>
        <w:spacing w:line="560" w:lineRule="exact"/>
        <w:ind w:firstLine="640" w:firstLineChars="200"/>
        <w:jc w:val="both"/>
        <w:rPr>
          <w:lang w:val="zh-CN"/>
        </w:rPr>
      </w:pPr>
      <w:r>
        <w:rPr>
          <w:lang w:val="zh-CN"/>
        </w:rPr>
        <w:t>按要求认真做好201</w:t>
      </w:r>
      <w:r>
        <w:rPr>
          <w:rFonts w:hint="eastAsia"/>
          <w:lang w:val="en-US" w:eastAsia="zh-CN"/>
        </w:rPr>
        <w:t>9</w:t>
      </w:r>
      <w:r>
        <w:rPr>
          <w:lang w:val="zh-CN"/>
        </w:rPr>
        <w:t>年度预算编制的基础准备工作。一是对单位及人员的基本</w:t>
      </w:r>
      <w:r>
        <w:rPr>
          <w:rFonts w:hint="eastAsia"/>
          <w:lang w:val="en-US" w:eastAsia="zh-CN"/>
        </w:rPr>
        <w:t>情况等信息</w:t>
      </w:r>
      <w:r>
        <w:rPr>
          <w:lang w:val="zh-CN"/>
        </w:rPr>
        <w:t>进行全面的收集、</w:t>
      </w:r>
      <w:r>
        <w:rPr>
          <w:rFonts w:hint="eastAsia"/>
          <w:lang w:val="en-US" w:eastAsia="zh-CN"/>
        </w:rPr>
        <w:t>整</w:t>
      </w:r>
      <w:r>
        <w:rPr>
          <w:lang w:val="zh-CN"/>
        </w:rPr>
        <w:t>理、完善与审核，完成了基础数据库的维护和上报工作。二是</w:t>
      </w:r>
      <w:r>
        <w:rPr>
          <w:rFonts w:hint="eastAsia"/>
          <w:lang w:val="en-US" w:eastAsia="zh-CN"/>
        </w:rPr>
        <w:t>专项项目的立项是根据相关政策文件、批文，结合单位业务实际出发，合理合规编制预算，</w:t>
      </w:r>
      <w:r>
        <w:rPr>
          <w:lang w:val="zh-CN"/>
        </w:rPr>
        <w:t>完成了项目库的维护和报送工作。</w:t>
      </w:r>
    </w:p>
    <w:p>
      <w:pPr>
        <w:bidi w:val="0"/>
        <w:spacing w:line="560" w:lineRule="exact"/>
        <w:ind w:firstLine="480" w:firstLineChars="150"/>
        <w:jc w:val="both"/>
        <w:rPr>
          <w:lang w:val="zh-CN"/>
        </w:rPr>
      </w:pPr>
      <w:r>
        <w:rPr>
          <w:lang w:val="zh-CN"/>
        </w:rPr>
        <w:t>（2）编制质量</w:t>
      </w:r>
    </w:p>
    <w:p>
      <w:pPr>
        <w:bidi w:val="0"/>
        <w:spacing w:line="560" w:lineRule="exact"/>
        <w:ind w:firstLine="640" w:firstLineChars="200"/>
        <w:jc w:val="both"/>
        <w:rPr>
          <w:rFonts w:hAnsi="仿宋_GB2312"/>
          <w:lang w:val="zh-CN"/>
        </w:rPr>
      </w:pPr>
      <w:r>
        <w:rPr>
          <w:rFonts w:hAnsi="仿宋_GB2312"/>
          <w:lang w:val="zh-CN"/>
        </w:rPr>
        <w:t>一是严格执行收入预算编制口径，</w:t>
      </w:r>
      <w:r>
        <w:rPr>
          <w:rFonts w:hint="eastAsia"/>
          <w:lang w:val="en-US" w:eastAsia="zh-CN"/>
        </w:rPr>
        <w:t>严格审核</w:t>
      </w:r>
      <w:r>
        <w:rPr>
          <w:rFonts w:hAnsi="仿宋_GB2312"/>
          <w:lang w:val="zh-CN"/>
        </w:rPr>
        <w:t>上年结转结余指标的编报，保证了收入预算编制的真实、完整</w:t>
      </w:r>
      <w:r>
        <w:rPr>
          <w:rFonts w:hint="eastAsia"/>
          <w:lang w:val="zh-CN"/>
        </w:rPr>
        <w:t>。</w:t>
      </w:r>
      <w:r>
        <w:rPr>
          <w:rFonts w:hAnsi="仿宋_GB2312"/>
          <w:lang w:val="zh-CN"/>
        </w:rPr>
        <w:t>全部收入纳入当年预算管理，无一漏报。</w:t>
      </w:r>
    </w:p>
    <w:p>
      <w:pPr>
        <w:bidi w:val="0"/>
        <w:spacing w:line="560" w:lineRule="exact"/>
        <w:ind w:firstLine="640" w:firstLineChars="200"/>
        <w:jc w:val="both"/>
        <w:rPr>
          <w:rFonts w:hAnsi="仿宋_GB2312"/>
          <w:lang w:val="zh-CN"/>
        </w:rPr>
      </w:pPr>
      <w:r>
        <w:rPr>
          <w:rFonts w:hAnsi="仿宋_GB2312"/>
          <w:lang w:val="zh-CN"/>
        </w:rPr>
        <w:t>二是严格执行支出预算“</w:t>
      </w:r>
      <w:r>
        <w:t>人员经费按标准、日常公用经费按定额、专项经费按项目</w:t>
      </w:r>
      <w:r>
        <w:rPr>
          <w:rFonts w:hAnsi="仿宋_GB2312"/>
          <w:lang w:val="zh-CN"/>
        </w:rPr>
        <w:t>”的编制口径。</w:t>
      </w:r>
      <w:r>
        <w:t>项目支出预算在预算编制中，强化了“集中管理、统筹安排”的原则，</w:t>
      </w:r>
      <w:r>
        <w:rPr>
          <w:rFonts w:hint="eastAsia"/>
          <w:lang w:val="en-US" w:eastAsia="zh-CN"/>
        </w:rPr>
        <w:t>区</w:t>
      </w:r>
      <w:r>
        <w:rPr>
          <w:rFonts w:hAnsi="仿宋_GB2312"/>
          <w:lang w:val="zh-CN"/>
        </w:rPr>
        <w:t>财政</w:t>
      </w:r>
      <w:r>
        <w:rPr>
          <w:rFonts w:hint="eastAsia"/>
          <w:lang w:val="en-US" w:eastAsia="zh-CN"/>
        </w:rPr>
        <w:t>局</w:t>
      </w:r>
      <w:r>
        <w:rPr>
          <w:rFonts w:hAnsi="仿宋_GB2312"/>
          <w:lang w:val="zh-CN"/>
        </w:rPr>
        <w:t>下达我局201</w:t>
      </w:r>
      <w:r>
        <w:rPr>
          <w:rFonts w:hint="eastAsia"/>
          <w:lang w:val="en-US" w:eastAsia="zh-CN"/>
        </w:rPr>
        <w:t>9</w:t>
      </w:r>
      <w:r>
        <w:rPr>
          <w:rFonts w:hAnsi="仿宋_GB2312"/>
          <w:lang w:val="zh-CN"/>
        </w:rPr>
        <w:t>年部门预算批复数与我局上报算数一致。</w:t>
      </w:r>
    </w:p>
    <w:p>
      <w:pPr>
        <w:bidi w:val="0"/>
        <w:spacing w:line="560" w:lineRule="exact"/>
        <w:ind w:firstLine="640" w:firstLineChars="200"/>
        <w:jc w:val="both"/>
        <w:rPr>
          <w:lang w:val="zh-CN"/>
        </w:rPr>
      </w:pPr>
      <w:r>
        <w:rPr>
          <w:lang w:val="zh-CN"/>
        </w:rPr>
        <w:t>2.绩效目标填报</w:t>
      </w:r>
    </w:p>
    <w:p>
      <w:pPr>
        <w:bidi w:val="0"/>
        <w:spacing w:line="560" w:lineRule="exact"/>
        <w:ind w:firstLine="640" w:firstLineChars="200"/>
        <w:jc w:val="both"/>
      </w:pPr>
      <w:r>
        <w:t>部门整体</w:t>
      </w:r>
      <w:r>
        <w:rPr>
          <w:rFonts w:hint="eastAsia"/>
          <w:lang w:val="en-US" w:eastAsia="zh-CN"/>
        </w:rPr>
        <w:t>支出</w:t>
      </w:r>
      <w:r>
        <w:t>绩效目标的填报，均较完整地编制了计划、依据、当年要完成的工作任务和预期要完成的绩效目标。部门重点工作保障方面，绩效目标进一步明确和量化，能完整、合理反映部门年度职责履行情况。</w:t>
      </w:r>
    </w:p>
    <w:p>
      <w:pPr>
        <w:bidi w:val="0"/>
        <w:spacing w:line="560" w:lineRule="exact"/>
        <w:ind w:firstLine="320" w:firstLineChars="100"/>
        <w:jc w:val="both"/>
        <w:rPr>
          <w:rFonts w:ascii="楷体_GB2312" w:hAnsi="楷体" w:eastAsia="楷体_GB2312"/>
        </w:rPr>
      </w:pPr>
      <w:r>
        <w:rPr>
          <w:rFonts w:ascii="楷体_GB2312" w:hAnsi="楷体" w:eastAsia="楷体_GB2312"/>
        </w:rPr>
        <w:t>（</w:t>
      </w:r>
      <w:r>
        <w:rPr>
          <w:rFonts w:hint="eastAsia" w:ascii="楷体_GB2312" w:hAnsi="楷体" w:eastAsia="楷体_GB2312"/>
          <w:lang w:val="en-US" w:eastAsia="zh-CN"/>
        </w:rPr>
        <w:t>二</w:t>
      </w:r>
      <w:r>
        <w:rPr>
          <w:rFonts w:ascii="楷体_GB2312" w:hAnsi="楷体" w:eastAsia="楷体_GB2312"/>
        </w:rPr>
        <w:t>）综合管理情况</w:t>
      </w:r>
    </w:p>
    <w:p>
      <w:pPr>
        <w:bidi w:val="0"/>
        <w:spacing w:line="560" w:lineRule="exact"/>
        <w:ind w:firstLine="630"/>
        <w:jc w:val="both"/>
      </w:pPr>
      <w:r>
        <w:t>1.政府性债务管理和非税收入执收情况</w:t>
      </w:r>
    </w:p>
    <w:p>
      <w:pPr>
        <w:bidi w:val="0"/>
        <w:spacing w:line="560" w:lineRule="exact"/>
        <w:ind w:firstLine="630"/>
        <w:jc w:val="both"/>
      </w:pPr>
      <w:r>
        <w:t>我局无政府性债务；无非税收入项目。</w:t>
      </w:r>
    </w:p>
    <w:p>
      <w:pPr>
        <w:bidi w:val="0"/>
        <w:spacing w:line="560" w:lineRule="exact"/>
        <w:ind w:firstLine="630"/>
        <w:jc w:val="both"/>
      </w:pPr>
      <w:r>
        <w:t>2.政府采购实施计划和资产管理情况</w:t>
      </w:r>
    </w:p>
    <w:p>
      <w:pPr>
        <w:bidi w:val="0"/>
        <w:spacing w:line="560" w:lineRule="exact"/>
        <w:ind w:firstLine="640" w:firstLineChars="200"/>
        <w:jc w:val="both"/>
      </w:pPr>
      <w:r>
        <w:rPr>
          <w:rFonts w:hAnsi="仿宋_GB2312"/>
        </w:rPr>
        <w:t>我局</w:t>
      </w:r>
      <w:r>
        <w:t>政府采购实施计划和资产管理由</w:t>
      </w:r>
      <w:r>
        <w:rPr>
          <w:rFonts w:hint="eastAsia"/>
          <w:lang w:val="en-US" w:eastAsia="zh-CN"/>
        </w:rPr>
        <w:t>区财政局政府采购中心</w:t>
      </w:r>
      <w:r>
        <w:t>统一安排</w:t>
      </w:r>
      <w:r>
        <w:rPr>
          <w:rFonts w:hint="eastAsia"/>
          <w:lang w:val="en-US" w:eastAsia="zh-CN"/>
        </w:rPr>
        <w:t>、国有资产管理中心统一监督。</w:t>
      </w:r>
      <w:r>
        <w:rPr>
          <w:rFonts w:hAnsi="仿宋_GB2312"/>
        </w:rPr>
        <w:t>⑴在政府采购方面，严格按照省政府集中采购目录及采购限额标准规定，如实编制采购预算，根据业务工作的需要，按规定程序申报采购计划并组织实施采购。</w:t>
      </w:r>
      <w:r>
        <w:rPr>
          <w:rFonts w:hAnsi="仿宋_GB2312"/>
          <w:lang w:val="zh-CN"/>
        </w:rPr>
        <w:t>（2）资产管理方面</w:t>
      </w:r>
      <w:r>
        <w:rPr>
          <w:rFonts w:hint="eastAsia"/>
          <w:lang w:val="zh-CN"/>
        </w:rPr>
        <w:t>，</w:t>
      </w:r>
      <w:r>
        <w:rPr>
          <w:rFonts w:hAnsi="仿宋_GB2312"/>
          <w:lang w:val="zh-CN"/>
        </w:rPr>
        <w:t>①单位资产管理信息系统建设</w:t>
      </w:r>
      <w:r>
        <w:t>按照财政厅统一部署，已经完成将单位国有资产纳入系统管理，并落实专人负责，且及时将资产变动情况录入系统。</w:t>
      </w:r>
      <w:r>
        <w:rPr>
          <w:rFonts w:hAnsi="仿宋_GB2312"/>
          <w:lang w:val="zh-CN"/>
        </w:rPr>
        <w:t>②单位资产清查开展情况</w:t>
      </w:r>
      <w:r>
        <w:rPr>
          <w:rFonts w:hint="eastAsia"/>
          <w:lang w:val="zh-CN"/>
        </w:rPr>
        <w:t>：</w:t>
      </w:r>
      <w:r>
        <w:t>201</w:t>
      </w:r>
      <w:r>
        <w:rPr>
          <w:rFonts w:hint="eastAsia"/>
          <w:lang w:val="en-US" w:eastAsia="zh-CN"/>
        </w:rPr>
        <w:t>9</w:t>
      </w:r>
      <w:r>
        <w:t>年，我局</w:t>
      </w:r>
      <w:r>
        <w:rPr>
          <w:rFonts w:hint="eastAsia"/>
          <w:lang w:val="en-US" w:eastAsia="zh-CN"/>
        </w:rPr>
        <w:t>对本单位使用的资产进行</w:t>
      </w:r>
      <w:r>
        <w:t>了清查工作。为了更好地用好资产管理信息系统，我局根据财政</w:t>
      </w:r>
      <w:r>
        <w:rPr>
          <w:rFonts w:hint="eastAsia"/>
          <w:lang w:val="en-US" w:eastAsia="zh-CN"/>
        </w:rPr>
        <w:t>局</w:t>
      </w:r>
      <w:r>
        <w:t>的统一安排，</w:t>
      </w:r>
      <w:r>
        <w:rPr>
          <w:rFonts w:hint="eastAsia"/>
          <w:lang w:val="en-US" w:eastAsia="zh-CN"/>
        </w:rPr>
        <w:t>于2020年初资产年报填报要求，</w:t>
      </w:r>
      <w:r>
        <w:t>对资产管理信息系统</w:t>
      </w:r>
      <w:r>
        <w:rPr>
          <w:rFonts w:hint="eastAsia"/>
          <w:lang w:val="en-US" w:eastAsia="zh-CN"/>
        </w:rPr>
        <w:t>的数据与资产台账、实物</w:t>
      </w:r>
      <w:r>
        <w:t>进行</w:t>
      </w:r>
      <w:r>
        <w:rPr>
          <w:rFonts w:hint="eastAsia"/>
          <w:lang w:val="en-US" w:eastAsia="zh-CN"/>
        </w:rPr>
        <w:t>核对</w:t>
      </w:r>
      <w:r>
        <w:t>，保障</w:t>
      </w:r>
      <w:r>
        <w:rPr>
          <w:rFonts w:hint="eastAsia"/>
          <w:lang w:val="en-US" w:eastAsia="zh-CN"/>
        </w:rPr>
        <w:t>了</w:t>
      </w:r>
      <w:r>
        <w:t>系统资产变动数据与上报财政的资产清查</w:t>
      </w:r>
      <w:r>
        <w:rPr>
          <w:rFonts w:hint="eastAsia"/>
          <w:lang w:val="en-US" w:eastAsia="zh-CN"/>
        </w:rPr>
        <w:t>数据</w:t>
      </w:r>
      <w:r>
        <w:t>一致</w:t>
      </w:r>
      <w:r>
        <w:rPr>
          <w:rFonts w:hint="eastAsia"/>
          <w:lang w:eastAsia="zh-CN"/>
        </w:rPr>
        <w:t>。</w:t>
      </w:r>
      <w:r>
        <w:rPr>
          <w:rFonts w:hAnsi="仿宋_GB2312"/>
          <w:lang w:val="zh-CN"/>
        </w:rPr>
        <w:t>③单位资产报表上报情况</w:t>
      </w:r>
      <w:r>
        <w:rPr>
          <w:rFonts w:hint="eastAsia"/>
          <w:lang w:val="zh-CN"/>
        </w:rPr>
        <w:t>：</w:t>
      </w:r>
      <w:r>
        <w:t>落实专人负责资产报表填报工作，按时完成单位资产报表上报工作，且提交了分析报告，对资产变动情况进行了分析说明。</w:t>
      </w:r>
    </w:p>
    <w:p>
      <w:pPr>
        <w:bidi w:val="0"/>
        <w:spacing w:line="560" w:lineRule="exact"/>
        <w:ind w:firstLine="640" w:firstLineChars="200"/>
        <w:jc w:val="both"/>
      </w:pPr>
      <w:r>
        <w:t>3.内部控制度建设情况</w:t>
      </w:r>
    </w:p>
    <w:p>
      <w:pPr>
        <w:bidi w:val="0"/>
        <w:spacing w:line="560" w:lineRule="exact"/>
        <w:ind w:firstLine="645"/>
        <w:jc w:val="both"/>
        <w:rPr>
          <w:rFonts w:hint="default" w:eastAsia="仿宋_GB2312"/>
          <w:lang w:val="en-US" w:eastAsia="zh-CN"/>
        </w:rPr>
      </w:pPr>
      <w:r>
        <w:t>我局的财务管理与核算工作，</w:t>
      </w:r>
      <w:r>
        <w:rPr>
          <w:rFonts w:hAnsi="仿宋_GB2312"/>
          <w:lang w:val="zh-CN"/>
        </w:rPr>
        <w:t>按照《预算法》的规定和厉行节约相关要求，</w:t>
      </w:r>
      <w:r>
        <w:rPr>
          <w:lang w:val="zh-CN"/>
        </w:rPr>
        <w:t>为强化内部财务管理，统一规范财务工作，</w:t>
      </w:r>
      <w:r>
        <w:rPr>
          <w:rFonts w:hint="eastAsia"/>
          <w:lang w:val="en-US" w:eastAsia="zh-CN"/>
        </w:rPr>
        <w:t>于2019年初进行内部控制的建设和整改。</w:t>
      </w:r>
    </w:p>
    <w:p>
      <w:pPr>
        <w:bidi w:val="0"/>
        <w:spacing w:line="560" w:lineRule="exact"/>
        <w:ind w:firstLine="640" w:firstLineChars="200"/>
        <w:jc w:val="both"/>
        <w:rPr>
          <w:rFonts w:hAnsi="仿宋_GB2312"/>
          <w:lang w:val="zh-CN"/>
        </w:rPr>
      </w:pPr>
      <w:r>
        <w:rPr>
          <w:rFonts w:hAnsi="仿宋_GB2312"/>
          <w:lang w:val="zh-CN"/>
        </w:rPr>
        <w:t>4.</w:t>
      </w:r>
      <w:r>
        <w:t>信息公开情况</w:t>
      </w:r>
    </w:p>
    <w:p>
      <w:pPr>
        <w:bidi w:val="0"/>
        <w:spacing w:line="560" w:lineRule="exact"/>
        <w:ind w:firstLine="640" w:firstLineChars="200"/>
        <w:jc w:val="both"/>
        <w:rPr>
          <w:rFonts w:hAnsi="仿宋_GB2312"/>
          <w:lang w:val="zh-CN"/>
        </w:rPr>
      </w:pPr>
      <w:r>
        <w:rPr>
          <w:rFonts w:hAnsi="仿宋_GB2312"/>
          <w:lang w:val="zh-CN"/>
        </w:rPr>
        <w:t>按照《预算法》的规定和相关要求，我局及时将审核批复后的预、决算在单位门户网站上进行了公开。</w:t>
      </w:r>
    </w:p>
    <w:p>
      <w:pPr>
        <w:bidi w:val="0"/>
        <w:spacing w:line="560" w:lineRule="exact"/>
        <w:ind w:firstLine="640" w:firstLineChars="200"/>
        <w:jc w:val="both"/>
        <w:rPr>
          <w:rFonts w:hAnsi="仿宋_GB2312"/>
          <w:lang w:val="zh-CN"/>
        </w:rPr>
      </w:pPr>
      <w:r>
        <w:rPr>
          <w:rFonts w:hAnsi="仿宋_GB2312"/>
          <w:lang w:val="zh-CN"/>
        </w:rPr>
        <w:t>201</w:t>
      </w:r>
      <w:r>
        <w:rPr>
          <w:rFonts w:hint="eastAsia"/>
          <w:lang w:val="en-US" w:eastAsia="zh-CN"/>
        </w:rPr>
        <w:t>9</w:t>
      </w:r>
      <w:r>
        <w:rPr>
          <w:rFonts w:hAnsi="仿宋_GB2312"/>
          <w:lang w:val="zh-CN"/>
        </w:rPr>
        <w:t>年</w:t>
      </w:r>
      <w:r>
        <w:rPr>
          <w:rFonts w:hint="eastAsia"/>
          <w:lang w:val="en-US" w:eastAsia="zh-CN"/>
        </w:rPr>
        <w:t>6</w:t>
      </w:r>
      <w:r>
        <w:rPr>
          <w:rFonts w:hAnsi="仿宋_GB2312"/>
          <w:lang w:val="zh-CN"/>
        </w:rPr>
        <w:t>月</w:t>
      </w:r>
      <w:r>
        <w:rPr>
          <w:rFonts w:hint="eastAsia"/>
          <w:lang w:val="en-US" w:eastAsia="zh-CN"/>
        </w:rPr>
        <w:t>10</w:t>
      </w:r>
      <w:r>
        <w:rPr>
          <w:rFonts w:hAnsi="仿宋_GB2312"/>
          <w:lang w:val="zh-CN"/>
        </w:rPr>
        <w:t>日我局在</w:t>
      </w:r>
      <w:r>
        <w:rPr>
          <w:rFonts w:hint="eastAsia"/>
          <w:lang w:val="en-US" w:eastAsia="zh-CN"/>
        </w:rPr>
        <w:t>南岳区财政预算公开</w:t>
      </w:r>
      <w:r>
        <w:rPr>
          <w:rFonts w:hAnsi="仿宋_GB2312"/>
          <w:lang w:val="zh-CN"/>
        </w:rPr>
        <w:t>网站上公开了“</w:t>
      </w:r>
      <w:r>
        <w:rPr>
          <w:rFonts w:hint="eastAsia"/>
          <w:lang w:val="en-US" w:eastAsia="zh-CN"/>
        </w:rPr>
        <w:t>南岳区统计</w:t>
      </w:r>
      <w:r>
        <w:rPr>
          <w:rFonts w:hAnsi="仿宋_GB2312"/>
          <w:lang w:val="zh-CN"/>
        </w:rPr>
        <w:t>局201</w:t>
      </w:r>
      <w:r>
        <w:rPr>
          <w:rFonts w:hint="eastAsia"/>
          <w:lang w:val="en-US" w:eastAsia="zh-CN"/>
        </w:rPr>
        <w:t>9</w:t>
      </w:r>
      <w:r>
        <w:rPr>
          <w:rFonts w:hAnsi="仿宋_GB2312"/>
          <w:lang w:val="zh-CN"/>
        </w:rPr>
        <w:t>年部门预算编制说明” （含财政资金安排的“三公”经费、机关行政运行经费）。</w:t>
      </w:r>
    </w:p>
    <w:p>
      <w:pPr>
        <w:bidi w:val="0"/>
        <w:spacing w:line="560" w:lineRule="exact"/>
        <w:ind w:firstLine="640" w:firstLineChars="200"/>
        <w:jc w:val="both"/>
        <w:rPr>
          <w:rFonts w:hAnsi="仿宋_GB2312"/>
          <w:lang w:val="zh-CN"/>
        </w:rPr>
      </w:pPr>
      <w:r>
        <w:rPr>
          <w:rFonts w:hAnsi="仿宋_GB2312"/>
          <w:lang w:val="zh-CN"/>
        </w:rPr>
        <w:t>201</w:t>
      </w:r>
      <w:r>
        <w:rPr>
          <w:rFonts w:hint="eastAsia"/>
          <w:lang w:val="en-US" w:eastAsia="zh-CN"/>
        </w:rPr>
        <w:t>9</w:t>
      </w:r>
      <w:r>
        <w:rPr>
          <w:rFonts w:hAnsi="仿宋_GB2312"/>
          <w:lang w:val="zh-CN"/>
        </w:rPr>
        <w:t>年</w:t>
      </w:r>
      <w:r>
        <w:rPr>
          <w:rFonts w:hint="eastAsia"/>
          <w:lang w:val="en-US" w:eastAsia="zh-CN"/>
        </w:rPr>
        <w:t>8</w:t>
      </w:r>
      <w:r>
        <w:rPr>
          <w:rFonts w:hAnsi="仿宋_GB2312"/>
          <w:lang w:val="zh-CN"/>
        </w:rPr>
        <w:t>月2日我局在</w:t>
      </w:r>
      <w:r>
        <w:rPr>
          <w:rFonts w:hint="eastAsia"/>
          <w:lang w:val="en-US" w:eastAsia="zh-CN"/>
        </w:rPr>
        <w:t>南岳区财政预算公开</w:t>
      </w:r>
      <w:r>
        <w:rPr>
          <w:rFonts w:hAnsi="仿宋_GB2312"/>
          <w:lang w:val="zh-CN"/>
        </w:rPr>
        <w:t>网站上公开了“</w:t>
      </w:r>
      <w:r>
        <w:rPr>
          <w:rFonts w:hint="eastAsia"/>
          <w:lang w:val="en-US" w:eastAsia="zh-CN"/>
        </w:rPr>
        <w:t>南岳区统计</w:t>
      </w:r>
      <w:r>
        <w:rPr>
          <w:rFonts w:hAnsi="仿宋_GB2312"/>
          <w:lang w:val="zh-CN"/>
        </w:rPr>
        <w:t>局201</w:t>
      </w:r>
      <w:r>
        <w:rPr>
          <w:rFonts w:hint="eastAsia"/>
          <w:lang w:val="en-US" w:eastAsia="zh-CN"/>
        </w:rPr>
        <w:t>8</w:t>
      </w:r>
      <w:r>
        <w:rPr>
          <w:rFonts w:hAnsi="仿宋_GB2312"/>
          <w:lang w:val="zh-CN"/>
        </w:rPr>
        <w:t>年部门决算</w:t>
      </w:r>
      <w:r>
        <w:rPr>
          <w:rFonts w:hint="eastAsia"/>
          <w:lang w:val="en-US" w:eastAsia="zh-CN"/>
        </w:rPr>
        <w:t>公开情况说明</w:t>
      </w:r>
      <w:r>
        <w:rPr>
          <w:rFonts w:hAnsi="仿宋_GB2312"/>
          <w:lang w:val="zh-CN"/>
        </w:rPr>
        <w:t>” （含财政资金安排的“三公”经费使用情况、机关行政运行经费的安排使用情况）。</w:t>
      </w:r>
    </w:p>
    <w:p>
      <w:pPr>
        <w:bidi w:val="0"/>
        <w:spacing w:line="560" w:lineRule="exact"/>
        <w:ind w:firstLine="630"/>
        <w:jc w:val="both"/>
      </w:pPr>
      <w:r>
        <w:rPr>
          <w:rFonts w:hint="eastAsia"/>
          <w:lang w:val="en-US" w:eastAsia="zh-CN"/>
        </w:rPr>
        <w:t>5</w:t>
      </w:r>
      <w:r>
        <w:t>.依法接受财政监督情况</w:t>
      </w:r>
    </w:p>
    <w:p>
      <w:pPr>
        <w:bidi w:val="0"/>
        <w:spacing w:line="560" w:lineRule="exact"/>
        <w:ind w:firstLine="640" w:firstLineChars="200"/>
        <w:jc w:val="both"/>
      </w:pPr>
      <w:r>
        <w:t>我局财政预算资金的支付在财政支付系统平台上接受</w:t>
      </w:r>
      <w:r>
        <w:rPr>
          <w:rFonts w:hint="eastAsia"/>
          <w:lang w:val="en-US" w:eastAsia="zh-CN"/>
        </w:rPr>
        <w:t>区</w:t>
      </w:r>
      <w:r>
        <w:t>财政</w:t>
      </w:r>
      <w:r>
        <w:rPr>
          <w:rFonts w:hint="eastAsia"/>
          <w:lang w:val="en-US" w:eastAsia="zh-CN"/>
        </w:rPr>
        <w:t>局</w:t>
      </w:r>
      <w:r>
        <w:t>和</w:t>
      </w:r>
      <w:r>
        <w:rPr>
          <w:rFonts w:hint="eastAsia"/>
          <w:lang w:val="en-US" w:eastAsia="zh-CN"/>
        </w:rPr>
        <w:t>区</w:t>
      </w:r>
      <w:r>
        <w:t>人大的在线监督。</w:t>
      </w:r>
    </w:p>
    <w:p>
      <w:pPr>
        <w:bidi w:val="0"/>
        <w:spacing w:line="560" w:lineRule="exact"/>
        <w:ind w:firstLine="800" w:firstLineChars="250"/>
        <w:jc w:val="both"/>
        <w:rPr>
          <w:rFonts w:ascii="黑体" w:hAnsi="黑体" w:eastAsia="黑体"/>
        </w:rPr>
      </w:pPr>
      <w:r>
        <w:rPr>
          <w:rFonts w:ascii="黑体" w:hAnsi="黑体" w:eastAsia="黑体"/>
        </w:rPr>
        <w:t>四、评价结论及建议</w:t>
      </w:r>
    </w:p>
    <w:p>
      <w:pPr>
        <w:bidi w:val="0"/>
        <w:spacing w:line="560" w:lineRule="exact"/>
        <w:ind w:firstLine="630"/>
        <w:jc w:val="both"/>
        <w:rPr>
          <w:rFonts w:ascii="楷体_GB2312" w:hAnsi="楷体" w:eastAsia="楷体_GB2312"/>
        </w:rPr>
      </w:pPr>
      <w:r>
        <w:rPr>
          <w:rFonts w:ascii="楷体_GB2312" w:hAnsi="楷体" w:eastAsia="楷体_GB2312"/>
        </w:rPr>
        <w:t>（一）评价结论</w:t>
      </w:r>
    </w:p>
    <w:p>
      <w:pPr>
        <w:bidi w:val="0"/>
        <w:spacing w:line="560" w:lineRule="exact"/>
        <w:ind w:firstLine="630"/>
        <w:jc w:val="both"/>
        <w:rPr>
          <w:rFonts w:hAnsi="仿宋_GB2312"/>
        </w:rPr>
      </w:pPr>
      <w:r>
        <w:t>对照《201</w:t>
      </w:r>
      <w:r>
        <w:rPr>
          <w:rFonts w:hint="eastAsia"/>
          <w:lang w:val="en-US" w:eastAsia="zh-CN"/>
        </w:rPr>
        <w:t>9年</w:t>
      </w:r>
      <w:r>
        <w:t>部门</w:t>
      </w:r>
      <w:r>
        <w:rPr>
          <w:rFonts w:hint="eastAsia"/>
          <w:lang w:val="en-US" w:eastAsia="zh-CN"/>
        </w:rPr>
        <w:t>整体</w:t>
      </w:r>
      <w:r>
        <w:t>支出绩效</w:t>
      </w:r>
      <w:r>
        <w:rPr>
          <w:rFonts w:hint="eastAsia"/>
          <w:lang w:val="en-US" w:eastAsia="zh-CN"/>
        </w:rPr>
        <w:t>目标申报表</w:t>
      </w:r>
      <w:r>
        <w:t>》</w:t>
      </w:r>
      <w:r>
        <w:rPr>
          <w:rFonts w:hint="eastAsia"/>
          <w:lang w:val="en-US" w:eastAsia="zh-CN"/>
        </w:rPr>
        <w:t>的各项指标</w:t>
      </w:r>
      <w:r>
        <w:t>，我局各项指标</w:t>
      </w:r>
      <w:r>
        <w:rPr>
          <w:rFonts w:hint="eastAsia"/>
          <w:lang w:val="en-US" w:eastAsia="zh-CN"/>
        </w:rPr>
        <w:t>基本</w:t>
      </w:r>
      <w:r>
        <w:t>达到了相关要求。</w:t>
      </w:r>
    </w:p>
    <w:p>
      <w:pPr>
        <w:bidi w:val="0"/>
        <w:spacing w:line="560" w:lineRule="exact"/>
        <w:ind w:firstLine="630"/>
        <w:jc w:val="both"/>
        <w:rPr>
          <w:rFonts w:ascii="楷体_GB2312" w:hAnsi="楷体" w:eastAsia="楷体_GB2312"/>
        </w:rPr>
      </w:pPr>
      <w:r>
        <w:rPr>
          <w:rFonts w:ascii="楷体_GB2312" w:hAnsi="楷体" w:eastAsia="楷体_GB2312"/>
        </w:rPr>
        <w:t>（</w:t>
      </w:r>
      <w:r>
        <w:rPr>
          <w:rFonts w:hint="eastAsia" w:ascii="楷体_GB2312" w:hAnsi="楷体" w:eastAsia="楷体_GB2312"/>
          <w:lang w:val="en-US" w:eastAsia="zh-CN"/>
        </w:rPr>
        <w:t>二</w:t>
      </w:r>
      <w:r>
        <w:rPr>
          <w:rFonts w:ascii="楷体_GB2312" w:hAnsi="楷体" w:eastAsia="楷体_GB2312"/>
        </w:rPr>
        <w:t>）改进建议</w:t>
      </w:r>
    </w:p>
    <w:p>
      <w:pPr>
        <w:bidi w:val="0"/>
        <w:spacing w:line="560" w:lineRule="exact"/>
        <w:ind w:firstLine="640" w:firstLineChars="200"/>
        <w:jc w:val="both"/>
        <w:rPr>
          <w:rFonts w:hAnsi="仿宋_GB2312"/>
          <w:color w:val="000000"/>
          <w:lang w:val="zh-CN"/>
        </w:rPr>
      </w:pPr>
      <w:r>
        <w:t>全年预算安排与工作安排相互兼顾与协同，按照部门预算管理规定和部门绩效管理要求，在抓好工作落实的同时，加强部门预算的执行力度，使部门预算的执行进度达到绩效考核目标。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40CCB"/>
    <w:rsid w:val="69A4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2020-12-04T09:18:00Z</dcterms:created>
  <dc:creator>陈熙</dc:creator>
  <cp:lastModifiedBy>陈熙</cp:lastModifiedBy>
  <dcterms:modified xsi:type="dcterms:W3CDTF">2020-12-04T09:19:05Z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