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44"/>
          <w:szCs w:val="44"/>
          <w:lang w:val="en-US" w:eastAsia="zh-CN"/>
        </w:rPr>
      </w:pPr>
    </w:p>
    <w:p/>
    <w:p/>
    <w:p>
      <w:r>
        <w:drawing>
          <wp:inline distT="0" distB="0" distL="0" distR="0">
            <wp:extent cx="1597025" cy="664210"/>
            <wp:effectExtent l="0" t="0" r="31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7025" cy="664210"/>
                    </a:xfrm>
                    <a:prstGeom prst="rect">
                      <a:avLst/>
                    </a:prstGeom>
                    <a:noFill/>
                  </pic:spPr>
                </pic:pic>
              </a:graphicData>
            </a:graphic>
          </wp:inline>
        </w:drawing>
      </w:r>
    </w:p>
    <w:p/>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南岳区公安分局2012-</w:t>
      </w:r>
      <w:r>
        <w:rPr>
          <w:rFonts w:hint="eastAsia" w:asciiTheme="majorEastAsia" w:hAnsiTheme="majorEastAsia" w:eastAsiaTheme="majorEastAsia"/>
          <w:b/>
          <w:sz w:val="44"/>
          <w:szCs w:val="44"/>
        </w:rPr>
        <w:t>2019年度</w:t>
      </w:r>
    </w:p>
    <w:p>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业务用房、南岳区“12345”政府服务热线、社会应急地下停车场建设项目</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预算</w:t>
      </w:r>
      <w:r>
        <w:rPr>
          <w:rFonts w:hint="eastAsia" w:asciiTheme="majorEastAsia" w:hAnsiTheme="majorEastAsia" w:eastAsiaTheme="majorEastAsia"/>
          <w:b/>
          <w:sz w:val="44"/>
          <w:szCs w:val="44"/>
        </w:rPr>
        <w:t>绩效评价报告</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ind w:left="1470" w:leftChars="700"/>
        <w:jc w:val="left"/>
        <w:rPr>
          <w:rFonts w:ascii="仿宋" w:hAnsi="仿宋" w:eastAsia="仿宋"/>
          <w:sz w:val="32"/>
          <w:szCs w:val="32"/>
          <w:u w:val="single"/>
        </w:rPr>
      </w:pPr>
      <w:r>
        <w:rPr>
          <w:rFonts w:hint="eastAsia" w:ascii="仿宋" w:hAnsi="仿宋" w:eastAsia="仿宋"/>
          <w:sz w:val="32"/>
          <w:szCs w:val="32"/>
          <w:u w:val="single"/>
        </w:rPr>
        <w:t>委托部门：</w:t>
      </w:r>
      <w:r>
        <w:rPr>
          <w:rFonts w:hint="eastAsia" w:ascii="仿宋" w:hAnsi="仿宋" w:eastAsia="仿宋"/>
          <w:sz w:val="32"/>
          <w:szCs w:val="32"/>
          <w:u w:val="single"/>
          <w:lang w:val="en-US" w:eastAsia="zh-CN"/>
        </w:rPr>
        <w:t>南岳区</w:t>
      </w:r>
      <w:r>
        <w:rPr>
          <w:rFonts w:hint="eastAsia" w:ascii="仿宋" w:hAnsi="仿宋" w:eastAsia="仿宋"/>
          <w:sz w:val="32"/>
          <w:szCs w:val="32"/>
          <w:u w:val="single"/>
        </w:rPr>
        <w:t>财政局</w:t>
      </w:r>
    </w:p>
    <w:p>
      <w:pPr>
        <w:ind w:left="1470" w:leftChars="700"/>
        <w:jc w:val="left"/>
        <w:rPr>
          <w:rFonts w:hint="eastAsia" w:ascii="仿宋" w:hAnsi="仿宋" w:eastAsia="仿宋"/>
          <w:sz w:val="32"/>
          <w:szCs w:val="32"/>
          <w:u w:val="single"/>
          <w:lang w:val="en-US" w:eastAsia="zh-CN"/>
        </w:rPr>
      </w:pPr>
      <w:r>
        <w:rPr>
          <w:rFonts w:hint="eastAsia" w:ascii="仿宋" w:hAnsi="仿宋" w:eastAsia="仿宋"/>
          <w:sz w:val="32"/>
          <w:szCs w:val="32"/>
          <w:u w:val="single"/>
        </w:rPr>
        <w:t>受评单位：</w:t>
      </w:r>
      <w:r>
        <w:rPr>
          <w:rFonts w:hint="eastAsia" w:ascii="仿宋" w:hAnsi="仿宋" w:eastAsia="仿宋"/>
          <w:sz w:val="32"/>
          <w:szCs w:val="32"/>
          <w:u w:val="single"/>
          <w:lang w:val="en-US" w:eastAsia="zh-CN"/>
        </w:rPr>
        <w:t>南岳区公安分局</w:t>
      </w:r>
    </w:p>
    <w:p>
      <w:pPr>
        <w:ind w:left="1470" w:leftChars="700"/>
        <w:jc w:val="left"/>
        <w:rPr>
          <w:rFonts w:ascii="仿宋" w:hAnsi="仿宋" w:eastAsia="仿宋"/>
          <w:sz w:val="32"/>
          <w:szCs w:val="32"/>
          <w:u w:val="single"/>
        </w:rPr>
      </w:pPr>
      <w:r>
        <w:rPr>
          <w:rFonts w:hint="eastAsia" w:ascii="仿宋" w:hAnsi="仿宋" w:eastAsia="仿宋"/>
          <w:sz w:val="32"/>
          <w:szCs w:val="32"/>
          <w:u w:val="single"/>
        </w:rPr>
        <w:t>评价</w:t>
      </w:r>
      <w:r>
        <w:rPr>
          <w:rFonts w:hint="eastAsia" w:ascii="仿宋" w:hAnsi="仿宋" w:eastAsia="仿宋"/>
          <w:sz w:val="32"/>
          <w:szCs w:val="32"/>
          <w:u w:val="single"/>
          <w:lang w:val="en-US" w:eastAsia="zh-CN"/>
        </w:rPr>
        <w:t>机构</w:t>
      </w:r>
      <w:r>
        <w:rPr>
          <w:rFonts w:hint="eastAsia" w:ascii="仿宋" w:hAnsi="仿宋" w:eastAsia="仿宋"/>
          <w:sz w:val="32"/>
          <w:szCs w:val="32"/>
          <w:u w:val="single"/>
        </w:rPr>
        <w:t>：湖南惟楚创智经济咨询有限责任公司</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二〇二〇年</w:t>
      </w:r>
      <w:r>
        <w:rPr>
          <w:rFonts w:hint="eastAsia" w:ascii="仿宋" w:hAnsi="仿宋" w:eastAsia="仿宋"/>
          <w:sz w:val="32"/>
          <w:szCs w:val="32"/>
          <w:lang w:val="en-US" w:eastAsia="zh-CN"/>
        </w:rPr>
        <w:t>八</w:t>
      </w:r>
      <w:r>
        <w:rPr>
          <w:rFonts w:hint="eastAsia" w:ascii="仿宋" w:hAnsi="仿宋" w:eastAsia="仿宋"/>
          <w:sz w:val="32"/>
          <w:szCs w:val="32"/>
        </w:rPr>
        <w:t>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ascii="宋体" w:hAnsi="宋体" w:eastAsia="宋体" w:cstheme="minorBidi"/>
          <w:kern w:val="2"/>
          <w:sz w:val="21"/>
          <w:szCs w:val="22"/>
          <w:lang w:val="en-US" w:eastAsia="zh-CN" w:bidi="ar-SA"/>
        </w:rPr>
        <w:sectPr>
          <w:footerReference r:id="rId3" w:type="default"/>
          <w:pgSz w:w="11906" w:h="16838"/>
          <w:pgMar w:top="1440" w:right="1474" w:bottom="1440" w:left="1587" w:header="851" w:footer="992" w:gutter="0"/>
          <w:pgNumType w:fmt="decimal" w:start="1"/>
          <w:cols w:space="425" w:num="1"/>
          <w:docGrid w:type="lines" w:linePitch="312" w:charSpace="0"/>
        </w:sectPr>
      </w:pPr>
    </w:p>
    <w:sdt>
      <w:sdtPr>
        <w:rPr>
          <w:rFonts w:ascii="宋体" w:hAnsi="宋体" w:eastAsia="宋体" w:cstheme="minorBidi"/>
          <w:kern w:val="2"/>
          <w:sz w:val="21"/>
          <w:szCs w:val="22"/>
          <w:lang w:val="en-US" w:eastAsia="zh-CN" w:bidi="ar-SA"/>
        </w:rPr>
        <w:id w:val="147481338"/>
        <w15:color w:val="DBDBDB"/>
        <w:docPartObj>
          <w:docPartGallery w:val="Table of Contents"/>
          <w:docPartUnique/>
        </w:docPartObj>
      </w:sdtPr>
      <w:sdtEndPr>
        <w:rPr>
          <w:rFonts w:hint="eastAsia" w:ascii="黑体" w:hAnsi="黑体" w:eastAsia="黑体" w:cstheme="minorBidi"/>
          <w:b/>
          <w:kern w:val="2"/>
          <w:sz w:val="28"/>
          <w:szCs w:val="28"/>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pStyle w:val="6"/>
            <w:tabs>
              <w:tab w:val="right" w:leader="dot" w:pos="8845"/>
            </w:tabs>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TOC \o "1-2" \h \u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_Toc10746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一、基本情况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_Toc10746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_Toc22074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rPr>
            <w:t>（一）项目背景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_Toc22074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_Toc20246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rPr>
            <w:t>（二）绩效目标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_Toc20246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_Toc22812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rPr>
            <w:t>（三）资金投入情况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_Toc22812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6"/>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_Toc21740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二、项目资金绩效评价分析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_Toc21740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_Toc27846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rPr>
            <w:t>（一）评价范围和目的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_Toc27846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_Toc14469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rPr>
            <w:t>（二）评价原则和方法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_Toc14469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_Toc15314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）评价依据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_Toc15314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_Toc23811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rPr>
            <w:t>评价指标体系</w:t>
          </w:r>
          <w:r>
            <w:rPr>
              <w:rFonts w:hint="eastAsia" w:ascii="仿宋" w:hAnsi="仿宋" w:eastAsia="仿宋" w:cs="仿宋"/>
              <w:sz w:val="28"/>
              <w:szCs w:val="28"/>
              <w:lang w:val="en-US" w:eastAsia="zh-CN"/>
            </w:rPr>
            <w:t>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_Toc23811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6"/>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_Toc7191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三、绩效评价分析及结论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_Toc7191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_Toc19221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rPr>
            <w:t>总体结论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_Toc19221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_Toc15582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各部分绩效分析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_Toc15582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6"/>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_Toc24813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四、主要绩效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_Toc24813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6"/>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_Toc26477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五、存在的主要问题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_Toc26477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_Toc7954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一）项目决算数与项目投资估算数偏差大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_Toc7954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_Toc24698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bCs w:val="0"/>
              <w:kern w:val="2"/>
              <w:sz w:val="28"/>
              <w:szCs w:val="28"/>
              <w:lang w:val="en-US" w:eastAsia="zh-CN" w:bidi="ar-SA"/>
            </w:rPr>
            <w:t xml:space="preserve">（二） </w:t>
          </w:r>
          <w:r>
            <w:rPr>
              <w:rFonts w:hint="eastAsia" w:ascii="仿宋" w:hAnsi="仿宋" w:eastAsia="仿宋" w:cs="仿宋"/>
              <w:bCs w:val="0"/>
              <w:sz w:val="28"/>
              <w:szCs w:val="28"/>
              <w:lang w:val="en-US" w:eastAsia="zh-CN"/>
            </w:rPr>
            <w:t>项目工程进度滞后，至今尚未正式竣工验收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_Toc24698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_Toc217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（三） 未经竣工验收提前使用办公用房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_Toc18952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（四） 未经完整工程变更程序就实施变更施工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_Toc18952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_Toc17163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项目财务管理制度</w:t>
          </w:r>
          <w:r>
            <w:rPr>
              <w:rFonts w:hint="eastAsia" w:ascii="仿宋" w:hAnsi="仿宋" w:eastAsia="仿宋" w:cs="仿宋"/>
              <w:sz w:val="28"/>
              <w:szCs w:val="28"/>
              <w:lang w:val="en-US" w:eastAsia="zh-CN"/>
            </w:rPr>
            <w:t>不健全</w:t>
          </w:r>
          <w:r>
            <w:rPr>
              <w:rFonts w:hint="eastAsia" w:ascii="仿宋" w:hAnsi="仿宋" w:eastAsia="仿宋" w:cs="仿宋"/>
              <w:sz w:val="28"/>
              <w:szCs w:val="28"/>
              <w:lang w:eastAsia="zh-CN"/>
            </w:rPr>
            <w:t>，资金使用不够合规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_Toc17163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_Toc2538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（六）项目主体工程进度款支付率过高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_Toc27653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（七）项目尚未竣工验收决算，也未送审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_Toc27653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6"/>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_Toc31807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六、相关工作建议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_Toc31807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_Toc22497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加强项目科学决策，规范项目程序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_Toc22497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_Toc20543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（二） 严格工程管理，确保工程质量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_Toc20543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_Toc4094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（三） 加快决算评审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_Toc4094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_Toc20189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加强</w:t>
          </w:r>
          <w:r>
            <w:rPr>
              <w:rFonts w:hint="eastAsia" w:ascii="仿宋" w:hAnsi="仿宋" w:eastAsia="仿宋" w:cs="仿宋"/>
              <w:sz w:val="28"/>
              <w:szCs w:val="28"/>
              <w:lang w:val="en-US" w:eastAsia="zh-CN"/>
            </w:rPr>
            <w:t>资金</w:t>
          </w:r>
          <w:r>
            <w:rPr>
              <w:rFonts w:hint="eastAsia" w:ascii="仿宋" w:hAnsi="仿宋" w:eastAsia="仿宋" w:cs="仿宋"/>
              <w:sz w:val="28"/>
              <w:szCs w:val="28"/>
              <w:lang w:eastAsia="zh-CN"/>
            </w:rPr>
            <w:t>管理，提升财政资金使用效率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_Toc20189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_Toc8156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五）规范备用金管理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_Toc8156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_Toc32404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（六）规范专项资金账务管理与核算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_Toc32404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7"/>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_Toc10340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（七）理财收益足额</w:t>
          </w:r>
          <w:r>
            <w:rPr>
              <w:rFonts w:hint="eastAsia" w:ascii="仿宋" w:hAnsi="仿宋" w:eastAsia="仿宋" w:cs="仿宋"/>
              <w:sz w:val="28"/>
              <w:szCs w:val="28"/>
            </w:rPr>
            <w:t>上缴财政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_Toc10340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6"/>
            <w:tabs>
              <w:tab w:val="right" w:leader="dot" w:pos="8845"/>
            </w:tabs>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_Toc29352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lang w:val="en-US" w:eastAsia="zh-CN"/>
            </w:rPr>
            <w:t>七、需说明的问题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_Toc29352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pStyle w:val="6"/>
            <w:tabs>
              <w:tab w:val="right" w:leader="dot" w:pos="8845"/>
            </w:tabs>
            <w:ind w:firstLine="560" w:firstLineChars="200"/>
            <w:rPr>
              <w:rFonts w:hint="eastAsia" w:ascii="仿宋" w:hAnsi="仿宋" w:eastAsia="仿宋" w:cs="仿宋"/>
              <w:sz w:val="28"/>
              <w:szCs w:val="28"/>
            </w:rPr>
          </w:pPr>
          <w:r>
            <w:rPr>
              <w:rFonts w:hint="eastAsia" w:ascii="仿宋" w:hAnsi="仿宋" w:eastAsia="仿宋" w:cs="仿宋"/>
              <w:bCs w:val="0"/>
              <w:kern w:val="2"/>
              <w:sz w:val="28"/>
              <w:szCs w:val="28"/>
              <w:lang w:val="en-US" w:eastAsia="zh-CN" w:bidi="ar-SA"/>
            </w:rPr>
            <w:fldChar w:fldCharType="begin"/>
          </w:r>
          <w:r>
            <w:rPr>
              <w:rFonts w:hint="eastAsia" w:ascii="仿宋" w:hAnsi="仿宋" w:eastAsia="仿宋" w:cs="仿宋"/>
              <w:bCs w:val="0"/>
              <w:kern w:val="2"/>
              <w:sz w:val="28"/>
              <w:szCs w:val="28"/>
              <w:lang w:val="en-US" w:eastAsia="zh-CN" w:bidi="ar-SA"/>
            </w:rPr>
            <w:instrText xml:space="preserve"> HYPERLINK \l _Toc565 </w:instrText>
          </w:r>
          <w:r>
            <w:rPr>
              <w:rFonts w:hint="eastAsia" w:ascii="仿宋" w:hAnsi="仿宋" w:eastAsia="仿宋" w:cs="仿宋"/>
              <w:bCs w:val="0"/>
              <w:kern w:val="2"/>
              <w:sz w:val="28"/>
              <w:szCs w:val="28"/>
              <w:lang w:val="en-US" w:eastAsia="zh-CN" w:bidi="ar-SA"/>
            </w:rPr>
            <w:fldChar w:fldCharType="separate"/>
          </w:r>
          <w:r>
            <w:rPr>
              <w:rFonts w:hint="eastAsia" w:ascii="仿宋" w:hAnsi="仿宋" w:eastAsia="仿宋" w:cs="仿宋"/>
              <w:sz w:val="28"/>
              <w:szCs w:val="28"/>
            </w:rPr>
            <w:t>附件1：</w:t>
          </w:r>
          <w:r>
            <w:rPr>
              <w:rFonts w:hint="eastAsia" w:ascii="仿宋" w:hAnsi="仿宋" w:eastAsia="仿宋" w:cs="仿宋"/>
              <w:sz w:val="28"/>
              <w:szCs w:val="28"/>
              <w:lang w:val="en-US" w:eastAsia="zh-CN"/>
            </w:rPr>
            <w:t>南岳区公安分局2012-</w:t>
          </w:r>
          <w:r>
            <w:rPr>
              <w:rFonts w:hint="eastAsia" w:ascii="仿宋" w:hAnsi="仿宋" w:eastAsia="仿宋" w:cs="仿宋"/>
              <w:sz w:val="28"/>
              <w:szCs w:val="28"/>
            </w:rPr>
            <w:t>20</w:t>
          </w:r>
          <w:r>
            <w:rPr>
              <w:rFonts w:hint="eastAsia" w:ascii="仿宋" w:hAnsi="仿宋" w:eastAsia="仿宋" w:cs="仿宋"/>
              <w:sz w:val="28"/>
              <w:szCs w:val="28"/>
              <w:lang w:val="en-US" w:eastAsia="zh-CN"/>
            </w:rPr>
            <w:t>19</w:t>
          </w:r>
          <w:r>
            <w:rPr>
              <w:rFonts w:hint="eastAsia" w:ascii="仿宋" w:hAnsi="仿宋" w:eastAsia="仿宋" w:cs="仿宋"/>
              <w:sz w:val="28"/>
              <w:szCs w:val="28"/>
            </w:rPr>
            <w:t>年度</w:t>
          </w:r>
          <w:r>
            <w:rPr>
              <w:rFonts w:hint="eastAsia" w:ascii="仿宋" w:hAnsi="仿宋" w:eastAsia="仿宋" w:cs="仿宋"/>
              <w:sz w:val="28"/>
              <w:szCs w:val="28"/>
              <w:lang w:val="en-US" w:eastAsia="zh-CN"/>
            </w:rPr>
            <w:t>业务综合用房项目绩效评价</w:t>
          </w:r>
          <w:r>
            <w:rPr>
              <w:rFonts w:hint="eastAsia" w:ascii="仿宋" w:hAnsi="仿宋" w:eastAsia="仿宋" w:cs="仿宋"/>
              <w:sz w:val="28"/>
              <w:szCs w:val="28"/>
            </w:rPr>
            <w:t>指标及评分表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_Toc565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val="0"/>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r>
            <w:rPr>
              <w:rFonts w:hint="eastAsia" w:ascii="仿宋" w:hAnsi="仿宋" w:eastAsia="仿宋" w:cs="仿宋"/>
              <w:bCs w:val="0"/>
              <w:kern w:val="2"/>
              <w:sz w:val="28"/>
              <w:szCs w:val="28"/>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sz w:val="28"/>
          <w:szCs w:val="28"/>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pageBreakBefore w:val="0"/>
        <w:kinsoku/>
        <w:wordWrap/>
        <w:overflowPunct/>
        <w:topLinePunct w:val="0"/>
        <w:autoSpaceDE/>
        <w:autoSpaceDN/>
        <w:bidi w:val="0"/>
        <w:spacing w:line="640" w:lineRule="atLeast"/>
        <w:jc w:val="center"/>
        <w:rPr>
          <w:rFonts w:hint="eastAsia" w:asciiTheme="majorEastAsia" w:hAnsiTheme="majorEastAsia" w:eastAsiaTheme="majorEastAsia"/>
          <w:b/>
          <w:sz w:val="32"/>
          <w:szCs w:val="32"/>
          <w:lang w:val="en-US" w:eastAsia="zh-CN"/>
        </w:rPr>
        <w:sectPr>
          <w:footerReference r:id="rId4" w:type="default"/>
          <w:pgSz w:w="11906" w:h="16838"/>
          <w:pgMar w:top="1440" w:right="1474" w:bottom="1440"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南岳区公安分局2012-</w:t>
      </w:r>
      <w:r>
        <w:rPr>
          <w:rFonts w:hint="eastAsia" w:asciiTheme="majorEastAsia" w:hAnsiTheme="majorEastAsia" w:eastAsiaTheme="majorEastAsia"/>
          <w:b/>
          <w:sz w:val="32"/>
          <w:szCs w:val="32"/>
        </w:rPr>
        <w:t>2019年度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业务用房、南岳区“12345”政府服务热线、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社会应急地下停车场建设项目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预算</w:t>
      </w:r>
      <w:r>
        <w:rPr>
          <w:rFonts w:hint="eastAsia" w:asciiTheme="majorEastAsia" w:hAnsiTheme="majorEastAsia" w:eastAsiaTheme="majorEastAsia"/>
          <w:b/>
          <w:sz w:val="32"/>
          <w:szCs w:val="32"/>
        </w:rPr>
        <w:t>绩效评价报告</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left"/>
        <w:textAlignment w:val="auto"/>
        <w:rPr>
          <w:rFonts w:hint="eastAsia" w:ascii="仿宋" w:hAnsi="仿宋" w:eastAsia="仿宋"/>
          <w:sz w:val="28"/>
          <w:szCs w:val="28"/>
          <w:lang w:eastAsia="zh-CN"/>
        </w:rPr>
      </w:pPr>
      <w:r>
        <w:rPr>
          <w:rFonts w:hint="eastAsia" w:ascii="仿宋_GB2312" w:hAnsi="宋体" w:eastAsia="仿宋_GB2312" w:cs="宋体"/>
          <w:kern w:val="0"/>
          <w:sz w:val="28"/>
          <w:szCs w:val="28"/>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28"/>
          <w:szCs w:val="28"/>
          <w:lang w:val="en-US" w:eastAsia="zh-CN"/>
        </w:rPr>
        <w:t xml:space="preserve">  根据《中华人民共和国预算法》、《湖南省预算支出绩效评价管理办法》（湘财绩[2020]7号）等规定和文件要求，受南岳区财政局委托，湖南惟楚创智经济咨询有限责任公司指派绩效评价工作</w:t>
      </w:r>
      <w:r>
        <w:rPr>
          <w:rFonts w:hint="eastAsia" w:ascii="仿宋" w:hAnsi="仿宋" w:eastAsia="仿宋" w:cs="仿宋"/>
          <w:color w:val="000000"/>
          <w:sz w:val="28"/>
          <w:szCs w:val="28"/>
        </w:rPr>
        <w:t>组，于2020年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月至</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对</w:t>
      </w:r>
      <w:r>
        <w:rPr>
          <w:rFonts w:hint="eastAsia" w:ascii="仿宋" w:hAnsi="仿宋" w:eastAsia="仿宋" w:cs="仿宋"/>
          <w:color w:val="000000"/>
          <w:sz w:val="28"/>
          <w:szCs w:val="28"/>
          <w:lang w:val="en-US" w:eastAsia="zh-CN"/>
        </w:rPr>
        <w:t>南岳区公安分局2012-</w:t>
      </w:r>
      <w:r>
        <w:rPr>
          <w:rFonts w:hint="eastAsia" w:ascii="仿宋" w:hAnsi="仿宋" w:eastAsia="仿宋" w:cs="仿宋"/>
          <w:color w:val="000000"/>
          <w:sz w:val="28"/>
          <w:szCs w:val="28"/>
        </w:rPr>
        <w:t>2019年度</w:t>
      </w:r>
      <w:r>
        <w:rPr>
          <w:rFonts w:hint="eastAsia" w:ascii="仿宋" w:hAnsi="仿宋" w:eastAsia="仿宋" w:cs="仿宋"/>
          <w:color w:val="000000"/>
          <w:sz w:val="28"/>
          <w:szCs w:val="28"/>
          <w:lang w:val="en-US" w:eastAsia="zh-CN"/>
        </w:rPr>
        <w:t>业务用房、南岳区“12345”政府服务热线、社会应急地下停车场建设项目</w:t>
      </w:r>
      <w:r>
        <w:rPr>
          <w:rFonts w:hint="eastAsia" w:ascii="仿宋" w:hAnsi="仿宋" w:eastAsia="仿宋" w:cs="仿宋"/>
          <w:color w:val="000000"/>
          <w:sz w:val="28"/>
          <w:szCs w:val="28"/>
        </w:rPr>
        <w:t>（</w:t>
      </w:r>
      <w:r>
        <w:rPr>
          <w:rFonts w:hint="eastAsia" w:ascii="仿宋" w:hAnsi="仿宋" w:eastAsia="仿宋" w:cs="仿宋"/>
          <w:sz w:val="28"/>
          <w:szCs w:val="28"/>
        </w:rPr>
        <w:t>以下简称</w:t>
      </w:r>
      <w:r>
        <w:rPr>
          <w:rFonts w:hint="eastAsia" w:ascii="仿宋" w:hAnsi="仿宋" w:eastAsia="仿宋" w:cs="仿宋"/>
          <w:sz w:val="28"/>
          <w:szCs w:val="28"/>
          <w:lang w:val="en-US" w:eastAsia="zh-CN"/>
        </w:rPr>
        <w:t>业务综合</w:t>
      </w:r>
      <w:r>
        <w:rPr>
          <w:rFonts w:hint="eastAsia" w:ascii="仿宋" w:hAnsi="仿宋" w:eastAsia="仿宋" w:cs="仿宋"/>
          <w:sz w:val="28"/>
          <w:szCs w:val="28"/>
        </w:rPr>
        <w:t>项目）</w:t>
      </w:r>
      <w:r>
        <w:rPr>
          <w:rFonts w:hint="eastAsia" w:ascii="仿宋" w:hAnsi="仿宋" w:eastAsia="仿宋" w:cs="仿宋"/>
          <w:color w:val="000000"/>
          <w:sz w:val="28"/>
          <w:szCs w:val="28"/>
        </w:rPr>
        <w:t>实施了</w:t>
      </w:r>
      <w:r>
        <w:rPr>
          <w:rFonts w:hint="eastAsia" w:ascii="仿宋" w:hAnsi="仿宋" w:eastAsia="仿宋" w:cs="仿宋"/>
          <w:color w:val="000000"/>
          <w:sz w:val="28"/>
          <w:szCs w:val="28"/>
          <w:lang w:val="en-US" w:eastAsia="zh-CN"/>
        </w:rPr>
        <w:t>预算</w:t>
      </w:r>
      <w:r>
        <w:rPr>
          <w:rFonts w:hint="eastAsia" w:ascii="仿宋" w:hAnsi="仿宋" w:eastAsia="仿宋" w:cs="仿宋"/>
          <w:color w:val="000000"/>
          <w:sz w:val="28"/>
          <w:szCs w:val="28"/>
        </w:rPr>
        <w:t>绩效评价。现将绩效评价情况报告如下</w:t>
      </w:r>
      <w:r>
        <w:rPr>
          <w:rFonts w:hint="eastAsia" w:ascii="仿宋" w:hAnsi="仿宋" w:eastAsia="仿宋" w:cs="仿宋"/>
          <w:color w:val="000000"/>
          <w:sz w:val="28"/>
          <w:szCs w:val="28"/>
          <w:lang w:eastAsia="zh-CN"/>
        </w:rPr>
        <w:t>：</w:t>
      </w:r>
    </w:p>
    <w:p>
      <w:pPr>
        <w:pStyle w:val="2"/>
        <w:keepNext/>
        <w:keepLines/>
        <w:pageBreakBefore w:val="0"/>
        <w:widowControl w:val="0"/>
        <w:kinsoku/>
        <w:wordWrap/>
        <w:overflowPunct/>
        <w:topLinePunct w:val="0"/>
        <w:autoSpaceDE/>
        <w:autoSpaceDN/>
        <w:bidi w:val="0"/>
        <w:adjustRightInd/>
        <w:snapToGrid/>
        <w:spacing w:before="180" w:after="180" w:line="240" w:lineRule="auto"/>
        <w:textAlignment w:val="auto"/>
        <w:rPr>
          <w:rFonts w:hint="eastAsia"/>
          <w:sz w:val="28"/>
          <w:szCs w:val="28"/>
          <w:lang w:val="en-US" w:eastAsia="zh-CN"/>
        </w:rPr>
      </w:pPr>
      <w:bookmarkStart w:id="0" w:name="_Toc10746"/>
      <w:r>
        <w:rPr>
          <w:rFonts w:hint="eastAsia"/>
          <w:sz w:val="28"/>
          <w:szCs w:val="28"/>
          <w:lang w:val="en-US" w:eastAsia="zh-CN"/>
        </w:rPr>
        <w:t>一、基本情况</w:t>
      </w:r>
      <w:bookmarkEnd w:id="0"/>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rPr>
      </w:pPr>
      <w:bookmarkStart w:id="1" w:name="_Toc22074"/>
      <w:r>
        <w:rPr>
          <w:rFonts w:hint="eastAsia" w:ascii="楷体" w:hAnsi="楷体" w:eastAsia="楷体" w:cs="楷体"/>
          <w:sz w:val="28"/>
          <w:szCs w:val="28"/>
        </w:rPr>
        <w:t>（一）项目背景</w:t>
      </w:r>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衡阳市南岳</w:t>
      </w:r>
      <w:r>
        <w:rPr>
          <w:rFonts w:hint="eastAsia" w:ascii="仿宋_GB2312" w:eastAsia="仿宋_GB2312"/>
          <w:sz w:val="28"/>
          <w:szCs w:val="28"/>
          <w:lang w:val="en-US" w:eastAsia="zh-CN"/>
        </w:rPr>
        <w:t>区</w:t>
      </w:r>
      <w:r>
        <w:rPr>
          <w:rFonts w:hint="eastAsia" w:ascii="仿宋_GB2312" w:eastAsia="仿宋_GB2312"/>
          <w:sz w:val="28"/>
          <w:szCs w:val="28"/>
        </w:rPr>
        <w:t>公安分局</w:t>
      </w:r>
      <w:r>
        <w:rPr>
          <w:rFonts w:hint="eastAsia" w:ascii="仿宋_GB2312" w:eastAsia="仿宋_GB2312"/>
          <w:sz w:val="28"/>
          <w:szCs w:val="28"/>
          <w:lang w:eastAsia="zh-CN"/>
        </w:rPr>
        <w:t>（以下简称南岳分局）</w:t>
      </w:r>
      <w:r>
        <w:rPr>
          <w:rFonts w:hint="eastAsia" w:ascii="仿宋_GB2312" w:eastAsia="仿宋_GB2312"/>
          <w:sz w:val="28"/>
          <w:szCs w:val="28"/>
          <w:lang w:val="en-US" w:eastAsia="zh-CN"/>
        </w:rPr>
        <w:t>原</w:t>
      </w:r>
      <w:r>
        <w:rPr>
          <w:rFonts w:hint="eastAsia" w:ascii="仿宋_GB2312" w:eastAsia="仿宋_GB2312"/>
          <w:sz w:val="28"/>
          <w:szCs w:val="28"/>
        </w:rPr>
        <w:t>有</w:t>
      </w:r>
      <w:r>
        <w:rPr>
          <w:rFonts w:hint="eastAsia" w:ascii="仿宋_GB2312" w:eastAsia="仿宋_GB2312"/>
          <w:sz w:val="28"/>
          <w:szCs w:val="28"/>
          <w:lang w:eastAsia="zh-CN"/>
        </w:rPr>
        <w:t>业务用房</w:t>
      </w:r>
      <w:r>
        <w:rPr>
          <w:rFonts w:hint="eastAsia" w:ascii="仿宋_GB2312" w:eastAsia="仿宋_GB2312"/>
          <w:sz w:val="28"/>
          <w:szCs w:val="28"/>
        </w:rPr>
        <w:t>建于1990年,在衡阳市12个县市区公安局中年代最久,条件最差,设施设备严重老化对工作造成了较大影响,也影响了南岳旅游区的整体形象</w:t>
      </w:r>
      <w:r>
        <w:rPr>
          <w:rFonts w:hint="eastAsia" w:ascii="仿宋_GB2312" w:eastAsia="仿宋_GB2312"/>
          <w:sz w:val="28"/>
          <w:szCs w:val="28"/>
          <w:lang w:eastAsia="zh-CN"/>
        </w:rPr>
        <w:t>。</w:t>
      </w:r>
      <w:r>
        <w:rPr>
          <w:rFonts w:hint="eastAsia" w:ascii="仿宋_GB2312" w:eastAsia="仿宋_GB2312"/>
          <w:sz w:val="28"/>
          <w:szCs w:val="28"/>
        </w:rPr>
        <w:t>2009年</w:t>
      </w:r>
      <w:r>
        <w:rPr>
          <w:rFonts w:hint="eastAsia" w:ascii="仿宋_GB2312" w:eastAsia="仿宋_GB2312"/>
          <w:sz w:val="28"/>
          <w:szCs w:val="28"/>
          <w:lang w:val="en-US" w:eastAsia="zh-CN"/>
        </w:rPr>
        <w:t>开</w:t>
      </w:r>
      <w:r>
        <w:rPr>
          <w:rFonts w:hint="eastAsia" w:ascii="仿宋_GB2312" w:eastAsia="仿宋_GB2312"/>
          <w:sz w:val="28"/>
          <w:szCs w:val="28"/>
        </w:rPr>
        <w:t>始</w:t>
      </w:r>
      <w:r>
        <w:rPr>
          <w:rFonts w:hint="eastAsia" w:ascii="仿宋_GB2312" w:eastAsia="仿宋_GB2312"/>
          <w:sz w:val="28"/>
          <w:szCs w:val="28"/>
          <w:lang w:eastAsia="zh-CN"/>
        </w:rPr>
        <w:t>，</w:t>
      </w:r>
      <w:r>
        <w:rPr>
          <w:rFonts w:hint="eastAsia" w:ascii="仿宋_GB2312" w:eastAsia="仿宋_GB2312"/>
          <w:sz w:val="28"/>
          <w:szCs w:val="28"/>
        </w:rPr>
        <w:t>国家发改委安排专项资金开展政法基础设施建设,南岳分局抓住机遇拟在黄金路与</w:t>
      </w:r>
      <w:r>
        <w:rPr>
          <w:rFonts w:hint="eastAsia" w:ascii="仿宋_GB2312" w:eastAsia="仿宋_GB2312"/>
          <w:sz w:val="28"/>
          <w:szCs w:val="28"/>
          <w:lang w:val="en-US" w:eastAsia="zh-CN"/>
        </w:rPr>
        <w:t>广济</w:t>
      </w:r>
      <w:r>
        <w:rPr>
          <w:rFonts w:hint="eastAsia" w:ascii="仿宋_GB2312" w:eastAsia="仿宋_GB2312"/>
          <w:sz w:val="28"/>
          <w:szCs w:val="28"/>
        </w:rPr>
        <w:t>路</w:t>
      </w:r>
      <w:r>
        <w:rPr>
          <w:rFonts w:hint="eastAsia" w:ascii="仿宋_GB2312" w:eastAsia="仿宋_GB2312"/>
          <w:sz w:val="28"/>
          <w:szCs w:val="28"/>
          <w:lang w:val="en-US" w:eastAsia="zh-CN"/>
        </w:rPr>
        <w:t>交汇处</w:t>
      </w:r>
      <w:r>
        <w:rPr>
          <w:rFonts w:hint="eastAsia" w:ascii="仿宋_GB2312" w:eastAsia="仿宋_GB2312"/>
          <w:sz w:val="28"/>
          <w:szCs w:val="28"/>
        </w:rPr>
        <w:t>新建本项</w:t>
      </w:r>
      <w:r>
        <w:rPr>
          <w:rFonts w:hint="eastAsia" w:ascii="仿宋_GB2312" w:eastAsia="仿宋_GB2312"/>
          <w:sz w:val="28"/>
          <w:szCs w:val="28"/>
          <w:lang w:val="en-US" w:eastAsia="zh-CN"/>
        </w:rPr>
        <w:t>目。2011年，衡阳市发改局通过了关于</w:t>
      </w:r>
      <w:r>
        <w:rPr>
          <w:rFonts w:hint="eastAsia" w:ascii="仿宋_GB2312" w:eastAsia="仿宋_GB2312"/>
          <w:sz w:val="28"/>
          <w:szCs w:val="28"/>
        </w:rPr>
        <w:t>《衡阳市公安局南岳分局业务用房项目可行性研究报告》</w:t>
      </w:r>
      <w:r>
        <w:rPr>
          <w:rFonts w:hint="eastAsia" w:ascii="仿宋_GB2312" w:eastAsia="仿宋_GB2312"/>
          <w:sz w:val="28"/>
          <w:szCs w:val="28"/>
          <w:lang w:eastAsia="zh-CN"/>
        </w:rPr>
        <w:t>（</w:t>
      </w:r>
      <w:r>
        <w:rPr>
          <w:rFonts w:hint="eastAsia" w:ascii="仿宋_GB2312" w:eastAsia="仿宋_GB2312"/>
          <w:sz w:val="28"/>
          <w:szCs w:val="28"/>
          <w:lang w:val="en-US" w:eastAsia="zh-CN"/>
        </w:rPr>
        <w:t>衡</w:t>
      </w:r>
      <w:r>
        <w:rPr>
          <w:rFonts w:hint="eastAsia" w:ascii="仿宋_GB2312" w:eastAsia="仿宋_GB2312"/>
          <w:sz w:val="28"/>
          <w:szCs w:val="28"/>
        </w:rPr>
        <w:t>发改投</w:t>
      </w:r>
      <w:r>
        <w:rPr>
          <w:rFonts w:hint="eastAsia" w:ascii="仿宋_GB2312" w:eastAsia="仿宋_GB2312"/>
          <w:sz w:val="28"/>
          <w:szCs w:val="28"/>
          <w:lang w:val="en-US" w:eastAsia="zh-CN"/>
        </w:rPr>
        <w:t>[</w:t>
      </w:r>
      <w:r>
        <w:rPr>
          <w:rFonts w:hint="eastAsia" w:ascii="仿宋_GB2312" w:eastAsia="仿宋_GB2312"/>
          <w:sz w:val="28"/>
          <w:szCs w:val="28"/>
        </w:rPr>
        <w:t>2011</w:t>
      </w:r>
      <w:r>
        <w:rPr>
          <w:rFonts w:hint="eastAsia" w:ascii="仿宋_GB2312" w:eastAsia="仿宋_GB2312"/>
          <w:sz w:val="28"/>
          <w:szCs w:val="28"/>
          <w:lang w:val="en-US" w:eastAsia="zh-CN"/>
        </w:rPr>
        <w:t>]</w:t>
      </w:r>
      <w:r>
        <w:rPr>
          <w:rFonts w:hint="eastAsia" w:ascii="仿宋_GB2312" w:eastAsia="仿宋_GB2312"/>
          <w:sz w:val="28"/>
          <w:szCs w:val="28"/>
        </w:rPr>
        <w:t>02号</w:t>
      </w:r>
      <w:r>
        <w:rPr>
          <w:rFonts w:hint="eastAsia" w:ascii="仿宋_GB2312" w:eastAsia="仿宋_GB2312"/>
          <w:sz w:val="28"/>
          <w:szCs w:val="28"/>
          <w:lang w:eastAsia="zh-CN"/>
        </w:rPr>
        <w:t>）</w:t>
      </w:r>
      <w:r>
        <w:rPr>
          <w:rFonts w:hint="eastAsia" w:ascii="仿宋_GB2312" w:eastAsia="仿宋_GB2312"/>
          <w:sz w:val="28"/>
          <w:szCs w:val="28"/>
          <w:lang w:val="en-US" w:eastAsia="zh-CN"/>
        </w:rPr>
        <w:t>的立项批复，计划建设该项目</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为落实省、市有关“12345”政府服务热线建设的要求,满足呼叫受理和业务开展的现实需要,保障“数字衡阳”南岳区分中心工程顺利开展,南岳分局拟建设南岳区</w:t>
      </w:r>
      <w:r>
        <w:rPr>
          <w:rFonts w:hint="eastAsia" w:ascii="仿宋_GB2312" w:eastAsia="仿宋_GB2312"/>
          <w:sz w:val="28"/>
          <w:szCs w:val="28"/>
          <w:lang w:eastAsia="zh-CN"/>
        </w:rPr>
        <w:t>“</w:t>
      </w:r>
      <w:r>
        <w:rPr>
          <w:rFonts w:hint="eastAsia" w:ascii="仿宋_GB2312" w:eastAsia="仿宋_GB2312"/>
          <w:sz w:val="28"/>
          <w:szCs w:val="28"/>
        </w:rPr>
        <w:t>12345</w:t>
      </w:r>
      <w:r>
        <w:rPr>
          <w:rFonts w:hint="eastAsia" w:ascii="仿宋_GB2312" w:eastAsia="仿宋_GB2312"/>
          <w:sz w:val="28"/>
          <w:szCs w:val="28"/>
          <w:lang w:eastAsia="zh-CN"/>
        </w:rPr>
        <w:t>”</w:t>
      </w:r>
      <w:r>
        <w:rPr>
          <w:rFonts w:hint="eastAsia" w:ascii="仿宋_GB2312" w:eastAsia="仿宋_GB2312"/>
          <w:sz w:val="28"/>
          <w:szCs w:val="28"/>
          <w:lang w:val="en-US" w:eastAsia="zh-CN"/>
        </w:rPr>
        <w:t>政府</w:t>
      </w:r>
      <w:r>
        <w:rPr>
          <w:rFonts w:hint="eastAsia" w:ascii="仿宋_GB2312" w:eastAsia="仿宋_GB2312"/>
          <w:sz w:val="28"/>
          <w:szCs w:val="28"/>
        </w:rPr>
        <w:t>服务热线统一语务平台以及信息调度指挥中心,切实解决南</w:t>
      </w:r>
      <w:r>
        <w:rPr>
          <w:rFonts w:hint="eastAsia" w:ascii="仿宋_GB2312" w:eastAsia="仿宋_GB2312"/>
          <w:sz w:val="28"/>
          <w:szCs w:val="28"/>
          <w:lang w:val="en-US" w:eastAsia="zh-CN"/>
        </w:rPr>
        <w:t>岳</w:t>
      </w:r>
      <w:r>
        <w:rPr>
          <w:rFonts w:hint="eastAsia" w:ascii="仿宋_GB2312" w:eastAsia="仿宋_GB2312"/>
          <w:sz w:val="28"/>
          <w:szCs w:val="28"/>
        </w:rPr>
        <w:t>区政府部门对外公开的政务服务热线太多,不便</w:t>
      </w:r>
      <w:r>
        <w:rPr>
          <w:rFonts w:hint="eastAsia" w:ascii="仿宋_GB2312" w:eastAsia="仿宋_GB2312"/>
          <w:sz w:val="28"/>
          <w:szCs w:val="28"/>
          <w:lang w:val="en-US" w:eastAsia="zh-CN"/>
        </w:rPr>
        <w:t>于</w:t>
      </w:r>
      <w:r>
        <w:rPr>
          <w:rFonts w:hint="eastAsia" w:ascii="仿宋_GB2312" w:eastAsia="仿宋_GB2312"/>
          <w:sz w:val="28"/>
          <w:szCs w:val="28"/>
        </w:rPr>
        <w:t>市民记忆,遇到跨部门问题难以协调</w:t>
      </w:r>
      <w:r>
        <w:rPr>
          <w:rFonts w:hint="eastAsia" w:ascii="仿宋_GB2312" w:eastAsia="仿宋_GB2312"/>
          <w:sz w:val="28"/>
          <w:szCs w:val="28"/>
          <w:lang w:val="en-US" w:eastAsia="zh-CN"/>
        </w:rPr>
        <w:t>落实</w:t>
      </w:r>
      <w:r>
        <w:rPr>
          <w:rFonts w:hint="eastAsia" w:ascii="仿宋_GB2312" w:eastAsia="仿宋_GB2312"/>
          <w:sz w:val="28"/>
          <w:szCs w:val="28"/>
        </w:rPr>
        <w:t>,以及</w:t>
      </w:r>
      <w:r>
        <w:rPr>
          <w:rFonts w:hint="eastAsia" w:ascii="仿宋_GB2312" w:eastAsia="仿宋_GB2312"/>
          <w:sz w:val="28"/>
          <w:szCs w:val="28"/>
          <w:lang w:val="en-US" w:eastAsia="zh-CN"/>
        </w:rPr>
        <w:t>缺乏</w:t>
      </w:r>
      <w:r>
        <w:rPr>
          <w:rFonts w:hint="eastAsia" w:ascii="仿宋_GB2312" w:eastAsia="仿宋_GB2312"/>
          <w:sz w:val="28"/>
          <w:szCs w:val="28"/>
        </w:rPr>
        <w:t>统一的管理机制和服务标准,热线服务质量参差不齐等问题。</w:t>
      </w:r>
      <w:r>
        <w:rPr>
          <w:rFonts w:hint="eastAsia" w:ascii="仿宋_GB2312" w:eastAsia="仿宋_GB2312"/>
          <w:sz w:val="28"/>
          <w:szCs w:val="28"/>
          <w:lang w:val="en-US" w:eastAsia="zh-CN"/>
        </w:rPr>
        <w:t>由此，2015年</w:t>
      </w:r>
      <w:r>
        <w:rPr>
          <w:rFonts w:hint="eastAsia" w:ascii="仿宋_GB2312" w:eastAsia="仿宋_GB2312"/>
          <w:sz w:val="28"/>
          <w:szCs w:val="28"/>
        </w:rPr>
        <w:t>南岳区发改局</w:t>
      </w:r>
      <w:r>
        <w:rPr>
          <w:rFonts w:hint="eastAsia" w:ascii="仿宋_GB2312" w:eastAsia="仿宋_GB2312"/>
          <w:sz w:val="28"/>
          <w:szCs w:val="28"/>
          <w:lang w:val="en-US" w:eastAsia="zh-CN"/>
        </w:rPr>
        <w:t>通过</w:t>
      </w:r>
      <w:r>
        <w:rPr>
          <w:rFonts w:hint="eastAsia" w:ascii="仿宋_GB2312" w:eastAsia="仿宋_GB2312"/>
          <w:sz w:val="28"/>
          <w:szCs w:val="28"/>
        </w:rPr>
        <w:t>关于《南岳区“12345”政府服务热线暨“数字衡阳”南岳区分中心信息调度指挥中心建设项目可行性研究报告》</w:t>
      </w:r>
      <w:r>
        <w:rPr>
          <w:rFonts w:hint="eastAsia" w:ascii="仿宋_GB2312" w:eastAsia="仿宋_GB2312"/>
          <w:sz w:val="28"/>
          <w:szCs w:val="28"/>
          <w:lang w:eastAsia="zh-CN"/>
        </w:rPr>
        <w:t>（</w:t>
      </w:r>
      <w:r>
        <w:rPr>
          <w:rFonts w:hint="eastAsia" w:ascii="仿宋_GB2312" w:eastAsia="仿宋_GB2312"/>
          <w:sz w:val="28"/>
          <w:szCs w:val="28"/>
        </w:rPr>
        <w:t>岳发改</w:t>
      </w:r>
      <w:r>
        <w:rPr>
          <w:rFonts w:hint="eastAsia" w:ascii="仿宋_GB2312" w:eastAsia="仿宋_GB2312"/>
          <w:sz w:val="28"/>
          <w:szCs w:val="28"/>
          <w:lang w:eastAsia="zh-CN"/>
        </w:rPr>
        <w:t>[</w:t>
      </w:r>
      <w:r>
        <w:rPr>
          <w:rFonts w:hint="eastAsia" w:ascii="仿宋_GB2312" w:eastAsia="仿宋_GB2312"/>
          <w:sz w:val="28"/>
          <w:szCs w:val="28"/>
        </w:rPr>
        <w:t>2015</w:t>
      </w:r>
      <w:r>
        <w:rPr>
          <w:rFonts w:hint="eastAsia" w:ascii="仿宋_GB2312" w:eastAsia="仿宋_GB2312"/>
          <w:sz w:val="28"/>
          <w:szCs w:val="28"/>
          <w:lang w:eastAsia="zh-CN"/>
        </w:rPr>
        <w:t>]</w:t>
      </w:r>
      <w:r>
        <w:rPr>
          <w:rFonts w:hint="eastAsia" w:ascii="仿宋_GB2312" w:eastAsia="仿宋_GB2312"/>
          <w:sz w:val="28"/>
          <w:szCs w:val="28"/>
        </w:rPr>
        <w:t>118号</w:t>
      </w:r>
      <w:r>
        <w:rPr>
          <w:rFonts w:hint="eastAsia" w:ascii="仿宋_GB2312" w:eastAsia="仿宋_GB2312"/>
          <w:sz w:val="28"/>
          <w:szCs w:val="28"/>
          <w:lang w:eastAsia="zh-CN"/>
        </w:rPr>
        <w:t>）</w:t>
      </w:r>
      <w:r>
        <w:rPr>
          <w:rFonts w:hint="eastAsia" w:ascii="仿宋_GB2312" w:eastAsia="仿宋_GB2312"/>
          <w:sz w:val="28"/>
          <w:szCs w:val="28"/>
          <w:lang w:val="en-US" w:eastAsia="zh-CN"/>
        </w:rPr>
        <w:t>立项</w:t>
      </w:r>
      <w:r>
        <w:rPr>
          <w:rFonts w:hint="eastAsia" w:ascii="仿宋_GB2312" w:eastAsia="仿宋_GB2312"/>
          <w:sz w:val="28"/>
          <w:szCs w:val="28"/>
        </w:rPr>
        <w:t>审批</w:t>
      </w:r>
      <w:r>
        <w:rPr>
          <w:rFonts w:hint="eastAsia" w:ascii="仿宋_GB2312" w:eastAsia="仿宋_GB2312"/>
          <w:sz w:val="28"/>
          <w:szCs w:val="28"/>
          <w:lang w:eastAsia="zh-CN"/>
        </w:rPr>
        <w:t>，</w:t>
      </w:r>
      <w:r>
        <w:rPr>
          <w:rFonts w:hint="eastAsia" w:ascii="仿宋_GB2312" w:eastAsia="仿宋_GB2312"/>
          <w:sz w:val="28"/>
          <w:szCs w:val="28"/>
          <w:lang w:val="en-US" w:eastAsia="zh-CN"/>
        </w:rPr>
        <w:t>计划建设该项目</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_GB2312" w:eastAsia="仿宋_GB2312"/>
          <w:sz w:val="28"/>
          <w:szCs w:val="28"/>
        </w:rPr>
      </w:pPr>
      <w:r>
        <w:rPr>
          <w:rFonts w:hint="eastAsia" w:ascii="仿宋_GB2312" w:eastAsia="仿宋_GB2312"/>
          <w:sz w:val="28"/>
          <w:szCs w:val="28"/>
        </w:rPr>
        <w:t>2015年,南岳衡山风景名胜区年接待游客量高达700余万,约30%的游客集中在五一、国庆等旅游黄金周,高峰期景区游客数量激增,每次衡阳市公安系统都会抽调大量警力维持旅游秩序和游客安全,大量警力的聚集,凸显了南岳</w:t>
      </w:r>
      <w:r>
        <w:rPr>
          <w:rFonts w:hint="eastAsia" w:ascii="仿宋_GB2312" w:eastAsia="仿宋_GB2312"/>
          <w:sz w:val="28"/>
          <w:szCs w:val="28"/>
          <w:lang w:val="en-US" w:eastAsia="zh-CN"/>
        </w:rPr>
        <w:t>分</w:t>
      </w:r>
      <w:r>
        <w:rPr>
          <w:rFonts w:hint="eastAsia" w:ascii="仿宋_GB2312" w:eastAsia="仿宋_GB2312"/>
          <w:sz w:val="28"/>
          <w:szCs w:val="28"/>
        </w:rPr>
        <w:t>局停车位的不足问题,大多数警车都只能停在室外,间接造成局域性道路拥挤</w:t>
      </w:r>
      <w:r>
        <w:rPr>
          <w:rFonts w:hint="eastAsia" w:ascii="仿宋_GB2312" w:eastAsia="仿宋_GB2312"/>
          <w:sz w:val="28"/>
          <w:szCs w:val="28"/>
          <w:lang w:eastAsia="zh-CN"/>
        </w:rPr>
        <w:t>。</w:t>
      </w:r>
      <w:r>
        <w:rPr>
          <w:rFonts w:hint="eastAsia" w:ascii="仿宋_GB2312" w:eastAsia="仿宋_GB2312"/>
          <w:sz w:val="28"/>
          <w:szCs w:val="28"/>
        </w:rPr>
        <w:t>在此背景下,衡阳市公安局南岳分局拟在规划建设的南岳分局业务用房地下,建设地下停车场,充分利用城市地下空间,以解决高峰期警车及部分游客的停车难问题</w:t>
      </w:r>
      <w:r>
        <w:rPr>
          <w:rFonts w:hint="eastAsia" w:ascii="仿宋_GB2312" w:eastAsia="仿宋_GB2312"/>
          <w:sz w:val="28"/>
          <w:szCs w:val="28"/>
          <w:lang w:eastAsia="zh-CN"/>
        </w:rPr>
        <w:t>。</w:t>
      </w:r>
      <w:r>
        <w:rPr>
          <w:rFonts w:hint="eastAsia" w:ascii="仿宋_GB2312" w:eastAsia="仿宋_GB2312"/>
          <w:sz w:val="28"/>
          <w:szCs w:val="28"/>
          <w:lang w:val="en-US" w:eastAsia="zh-CN"/>
        </w:rPr>
        <w:t>由此，2016年</w:t>
      </w:r>
      <w:r>
        <w:rPr>
          <w:rFonts w:hint="eastAsia" w:ascii="仿宋_GB2312" w:eastAsia="仿宋_GB2312"/>
          <w:sz w:val="28"/>
          <w:szCs w:val="28"/>
        </w:rPr>
        <w:t>南岳区发改局</w:t>
      </w:r>
      <w:r>
        <w:rPr>
          <w:rFonts w:hint="eastAsia" w:ascii="仿宋_GB2312" w:eastAsia="仿宋_GB2312"/>
          <w:sz w:val="28"/>
          <w:szCs w:val="28"/>
          <w:lang w:val="en-US" w:eastAsia="zh-CN"/>
        </w:rPr>
        <w:t>通过</w:t>
      </w:r>
      <w:r>
        <w:rPr>
          <w:rFonts w:hint="eastAsia" w:ascii="仿宋_GB2312" w:eastAsia="仿宋_GB2312"/>
          <w:sz w:val="28"/>
          <w:szCs w:val="28"/>
        </w:rPr>
        <w:t>关于《南岳区社会应急地下停车场建设项目可行性研究报告》</w:t>
      </w:r>
      <w:r>
        <w:rPr>
          <w:rFonts w:hint="eastAsia" w:ascii="仿宋_GB2312" w:eastAsia="仿宋_GB2312"/>
          <w:sz w:val="28"/>
          <w:szCs w:val="28"/>
          <w:lang w:eastAsia="zh-CN"/>
        </w:rPr>
        <w:t>（</w:t>
      </w:r>
      <w:r>
        <w:rPr>
          <w:rFonts w:hint="eastAsia" w:ascii="仿宋_GB2312" w:eastAsia="仿宋_GB2312"/>
          <w:sz w:val="28"/>
          <w:szCs w:val="28"/>
        </w:rPr>
        <w:t>岳发改[2016]140号</w:t>
      </w:r>
      <w:r>
        <w:rPr>
          <w:rFonts w:hint="eastAsia" w:ascii="仿宋_GB2312" w:eastAsia="仿宋_GB2312"/>
          <w:sz w:val="28"/>
          <w:szCs w:val="28"/>
          <w:lang w:eastAsia="zh-CN"/>
        </w:rPr>
        <w:t>）</w:t>
      </w:r>
      <w:r>
        <w:rPr>
          <w:rFonts w:hint="eastAsia" w:ascii="仿宋_GB2312" w:eastAsia="仿宋_GB2312"/>
          <w:sz w:val="28"/>
          <w:szCs w:val="28"/>
        </w:rPr>
        <w:t>的</w:t>
      </w:r>
      <w:r>
        <w:rPr>
          <w:rFonts w:hint="eastAsia" w:ascii="仿宋_GB2312" w:eastAsia="仿宋_GB2312"/>
          <w:sz w:val="28"/>
          <w:szCs w:val="28"/>
          <w:lang w:val="en-US" w:eastAsia="zh-CN"/>
        </w:rPr>
        <w:t>立项</w:t>
      </w:r>
      <w:r>
        <w:rPr>
          <w:rFonts w:hint="eastAsia" w:ascii="仿宋_GB2312" w:eastAsia="仿宋_GB2312"/>
          <w:sz w:val="28"/>
          <w:szCs w:val="28"/>
        </w:rPr>
        <w:t>批复</w:t>
      </w:r>
      <w:r>
        <w:rPr>
          <w:rFonts w:hint="eastAsia" w:ascii="仿宋_GB2312" w:eastAsia="仿宋_GB2312"/>
          <w:sz w:val="28"/>
          <w:szCs w:val="28"/>
          <w:lang w:eastAsia="zh-CN"/>
        </w:rPr>
        <w:t>，</w:t>
      </w:r>
      <w:r>
        <w:rPr>
          <w:rFonts w:hint="eastAsia" w:ascii="仿宋_GB2312" w:eastAsia="仿宋_GB2312"/>
          <w:sz w:val="28"/>
          <w:szCs w:val="28"/>
          <w:lang w:val="en-US" w:eastAsia="zh-CN"/>
        </w:rPr>
        <w:t>计划建设该项目</w:t>
      </w:r>
      <w:r>
        <w:rPr>
          <w:rFonts w:hint="eastAsia" w:ascii="仿宋_GB2312" w:eastAsia="仿宋_GB2312"/>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rPr>
      </w:pPr>
      <w:bookmarkStart w:id="2" w:name="_Toc20246"/>
      <w:r>
        <w:rPr>
          <w:rFonts w:hint="eastAsia" w:ascii="楷体" w:hAnsi="楷体" w:eastAsia="楷体" w:cs="楷体"/>
          <w:sz w:val="28"/>
          <w:szCs w:val="28"/>
        </w:rPr>
        <w:t>（二）绩效目标</w:t>
      </w:r>
      <w:bookmarkEnd w:id="2"/>
      <w:r>
        <w:rPr>
          <w:rFonts w:hint="eastAsia" w:ascii="楷体" w:hAnsi="楷体" w:eastAsia="楷体" w:cs="楷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南岳分局</w:t>
      </w:r>
      <w:r>
        <w:rPr>
          <w:rFonts w:hint="eastAsia" w:ascii="仿宋_GB2312" w:eastAsia="仿宋_GB2312"/>
          <w:sz w:val="28"/>
          <w:szCs w:val="28"/>
          <w:lang w:val="en-US" w:eastAsia="zh-CN"/>
        </w:rPr>
        <w:t>业务综合用房项目预计目标总</w:t>
      </w:r>
      <w:r>
        <w:rPr>
          <w:rFonts w:hint="eastAsia" w:ascii="仿宋_GB2312" w:eastAsia="仿宋_GB2312"/>
          <w:sz w:val="28"/>
          <w:szCs w:val="28"/>
        </w:rPr>
        <w:t>投入5</w:t>
      </w:r>
      <w:r>
        <w:rPr>
          <w:rFonts w:hint="eastAsia" w:ascii="仿宋_GB2312" w:eastAsia="仿宋_GB2312"/>
          <w:sz w:val="28"/>
          <w:szCs w:val="28"/>
          <w:lang w:val="en-US" w:eastAsia="zh-CN"/>
        </w:rPr>
        <w:t>,</w:t>
      </w:r>
      <w:r>
        <w:rPr>
          <w:rFonts w:hint="eastAsia" w:ascii="仿宋_GB2312" w:eastAsia="仿宋_GB2312"/>
          <w:sz w:val="28"/>
          <w:szCs w:val="28"/>
        </w:rPr>
        <w:t>296万元</w:t>
      </w:r>
      <w:r>
        <w:rPr>
          <w:rFonts w:hint="eastAsia" w:ascii="仿宋_GB2312" w:eastAsia="仿宋_GB2312"/>
          <w:sz w:val="28"/>
          <w:szCs w:val="28"/>
          <w:lang w:eastAsia="zh-CN"/>
        </w:rPr>
        <w:t>，</w:t>
      </w:r>
      <w:r>
        <w:rPr>
          <w:rFonts w:hint="eastAsia" w:ascii="仿宋_GB2312" w:eastAsia="仿宋_GB2312"/>
          <w:sz w:val="28"/>
          <w:szCs w:val="28"/>
          <w:lang w:val="en-US" w:eastAsia="zh-CN"/>
        </w:rPr>
        <w:t>总建筑面积</w:t>
      </w:r>
      <w:r>
        <w:rPr>
          <w:rFonts w:hint="eastAsia" w:ascii="仿宋_GB2312" w:eastAsia="仿宋_GB2312"/>
          <w:sz w:val="28"/>
          <w:szCs w:val="28"/>
        </w:rPr>
        <w:t>约</w:t>
      </w:r>
      <w:r>
        <w:rPr>
          <w:rFonts w:hint="eastAsia" w:ascii="仿宋_GB2312" w:eastAsia="仿宋_GB2312"/>
          <w:sz w:val="28"/>
          <w:szCs w:val="28"/>
          <w:lang w:val="en-US" w:eastAsia="zh-CN"/>
        </w:rPr>
        <w:t>14952</w:t>
      </w:r>
      <w:r>
        <w:rPr>
          <w:rFonts w:hint="eastAsia" w:ascii="仿宋_GB2312" w:eastAsia="仿宋_GB2312"/>
          <w:sz w:val="28"/>
          <w:szCs w:val="28"/>
        </w:rPr>
        <w:t>平方米。</w:t>
      </w:r>
      <w:r>
        <w:rPr>
          <w:rFonts w:hint="eastAsia" w:ascii="仿宋_GB2312" w:eastAsia="仿宋_GB2312"/>
          <w:sz w:val="28"/>
          <w:szCs w:val="28"/>
          <w:lang w:val="en-US" w:eastAsia="zh-CN"/>
        </w:rPr>
        <w:t>其中，根据衡阳市或南岳区发改局立项批复的项目可行性研究报告，</w:t>
      </w:r>
      <w:r>
        <w:rPr>
          <w:rFonts w:hint="eastAsia" w:ascii="仿宋_GB2312" w:eastAsia="仿宋_GB2312"/>
          <w:sz w:val="28"/>
          <w:szCs w:val="28"/>
        </w:rPr>
        <w:t>南岳分局</w:t>
      </w:r>
      <w:r>
        <w:rPr>
          <w:rFonts w:hint="eastAsia" w:ascii="仿宋_GB2312" w:eastAsia="仿宋_GB2312"/>
          <w:sz w:val="28"/>
          <w:szCs w:val="28"/>
          <w:lang w:eastAsia="zh-CN"/>
        </w:rPr>
        <w:t>业务用房</w:t>
      </w:r>
      <w:r>
        <w:rPr>
          <w:rFonts w:hint="eastAsia" w:ascii="仿宋_GB2312" w:eastAsia="仿宋_GB2312"/>
          <w:sz w:val="28"/>
          <w:szCs w:val="28"/>
          <w:lang w:val="en-US" w:eastAsia="zh-CN"/>
        </w:rPr>
        <w:t>按照230名警力编制需要规划建设，项目总建筑面积8552平米，估算总投资1,796万元；南岳区“123</w:t>
      </w:r>
      <w:r>
        <w:rPr>
          <w:rFonts w:hint="eastAsia" w:ascii="仿宋_GB2312" w:eastAsia="仿宋_GB2312"/>
          <w:sz w:val="28"/>
          <w:szCs w:val="28"/>
        </w:rPr>
        <w:t>45”政府服务热线暨“数字衡阳”南岳区分中心信息调度指挥中心建设项目</w:t>
      </w:r>
      <w:r>
        <w:rPr>
          <w:rFonts w:hint="eastAsia" w:ascii="仿宋_GB2312" w:eastAsia="仿宋_GB2312"/>
          <w:sz w:val="28"/>
          <w:szCs w:val="28"/>
          <w:lang w:val="en-US" w:eastAsia="zh-CN"/>
        </w:rPr>
        <w:t>满足“12345”政府服务热线建设的要求，满足呼叫受理和业务开展的现实需要，</w:t>
      </w:r>
      <w:r>
        <w:rPr>
          <w:rFonts w:hint="eastAsia" w:ascii="仿宋_GB2312" w:eastAsia="仿宋_GB2312"/>
          <w:sz w:val="28"/>
          <w:szCs w:val="28"/>
        </w:rPr>
        <w:t>项目建设面积约900平方米</w:t>
      </w:r>
      <w:r>
        <w:rPr>
          <w:rFonts w:hint="eastAsia" w:ascii="仿宋_GB2312" w:eastAsia="仿宋_GB2312"/>
          <w:sz w:val="28"/>
          <w:szCs w:val="28"/>
          <w:lang w:eastAsia="zh-CN"/>
        </w:rPr>
        <w:t>，</w:t>
      </w:r>
      <w:r>
        <w:rPr>
          <w:rFonts w:hint="eastAsia" w:ascii="仿宋_GB2312" w:eastAsia="仿宋_GB2312"/>
          <w:sz w:val="28"/>
          <w:szCs w:val="28"/>
          <w:lang w:val="en-US" w:eastAsia="zh-CN"/>
        </w:rPr>
        <w:t>估算总投资1,800万元</w:t>
      </w:r>
      <w:r>
        <w:rPr>
          <w:rFonts w:hint="eastAsia" w:ascii="仿宋_GB2312" w:eastAsia="仿宋_GB2312"/>
          <w:sz w:val="28"/>
          <w:szCs w:val="28"/>
          <w:lang w:eastAsia="zh-CN"/>
        </w:rPr>
        <w:t>；</w:t>
      </w:r>
      <w:r>
        <w:rPr>
          <w:rFonts w:hint="eastAsia" w:ascii="仿宋_GB2312" w:eastAsia="仿宋_GB2312"/>
          <w:sz w:val="28"/>
          <w:szCs w:val="28"/>
        </w:rPr>
        <w:t>南岳区社会应急地下停车场建设项目</w:t>
      </w:r>
      <w:r>
        <w:rPr>
          <w:rFonts w:hint="eastAsia" w:ascii="仿宋_GB2312" w:eastAsia="仿宋_GB2312"/>
          <w:sz w:val="28"/>
          <w:szCs w:val="28"/>
          <w:lang w:val="en-US" w:eastAsia="zh-CN"/>
        </w:rPr>
        <w:t>解决高峰期警车及部分游客停车难问题，项目建筑面积5500平米,估算总投资1700万元。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rPr>
      </w:pPr>
      <w:bookmarkStart w:id="3" w:name="_Toc22812"/>
      <w:r>
        <w:rPr>
          <w:rFonts w:hint="eastAsia" w:ascii="楷体" w:hAnsi="楷体" w:eastAsia="楷体" w:cs="楷体"/>
          <w:sz w:val="28"/>
          <w:szCs w:val="28"/>
        </w:rPr>
        <w:t>（三）资金投入情况</w:t>
      </w:r>
      <w:bookmarkEnd w:id="3"/>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sz w:val="28"/>
          <w:szCs w:val="28"/>
          <w:lang w:val="en-US" w:eastAsia="zh-CN"/>
        </w:rPr>
        <w:t>经衡阳市或南岳发改局批复，衡阳市公安局南岳分局业务综项目资金估算总投入5,296万元。</w:t>
      </w:r>
      <w:r>
        <w:rPr>
          <w:rFonts w:hint="eastAsia" w:ascii="仿宋_GB2312" w:eastAsia="仿宋_GB2312"/>
          <w:color w:val="000000" w:themeColor="text1"/>
          <w:sz w:val="28"/>
          <w:szCs w:val="28"/>
          <w14:textFill>
            <w14:solidFill>
              <w14:schemeClr w14:val="tx1"/>
            </w14:solidFill>
          </w14:textFill>
        </w:rPr>
        <w:t>衡阳市公安局南岳分局业务综合用房项目财政已经安排预算共计7408.35万元</w:t>
      </w:r>
      <w:r>
        <w:rPr>
          <w:rFonts w:hint="eastAsia" w:ascii="仿宋_GB2312" w:eastAsia="仿宋_GB2312"/>
          <w:color w:val="000000" w:themeColor="text1"/>
          <w:sz w:val="28"/>
          <w:szCs w:val="28"/>
          <w:lang w:val="en-US" w:eastAsia="zh-CN"/>
          <w14:textFill>
            <w14:solidFill>
              <w14:schemeClr w14:val="tx1"/>
            </w14:solidFill>
          </w14:textFill>
        </w:rPr>
        <w:t>(含上级财政安排898万元)</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其中，</w:t>
      </w:r>
      <w:r>
        <w:rPr>
          <w:rFonts w:hint="eastAsia" w:ascii="仿宋_GB2312" w:eastAsia="仿宋_GB2312"/>
          <w:sz w:val="28"/>
          <w:szCs w:val="28"/>
          <w:lang w:val="en-US" w:eastAsia="zh-CN"/>
        </w:rPr>
        <w:t>2012年到2019年财政安排预算</w:t>
      </w:r>
      <w:r>
        <w:rPr>
          <w:rFonts w:hint="eastAsia" w:ascii="仿宋_GB2312" w:eastAsia="仿宋_GB2312"/>
          <w:color w:val="000000" w:themeColor="text1"/>
          <w:sz w:val="28"/>
          <w:szCs w:val="28"/>
          <w:lang w:val="en-US" w:eastAsia="zh-CN"/>
          <w14:textFill>
            <w14:solidFill>
              <w14:schemeClr w14:val="tx1"/>
            </w14:solidFill>
          </w14:textFill>
        </w:rPr>
        <w:t>7,008.35万元（详见下表），2020年1月财政又安排预算400万元。该资金包括划拨土地39.5亩,土地款630万元。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表1-1  南岳分局业务综合用房2012年-2019年度财政基建拨款收入情况表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650"/>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年限</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财政拨款</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收入(万元)</w:t>
            </w:r>
          </w:p>
        </w:tc>
        <w:tc>
          <w:tcPr>
            <w:tcW w:w="59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指标文号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2012年</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105" w:rightChars="50"/>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500.00</w:t>
            </w:r>
          </w:p>
        </w:tc>
        <w:tc>
          <w:tcPr>
            <w:tcW w:w="59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衡财建指（2011）561号中央补助公安业务用房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2015年</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105" w:rightChars="50"/>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508.35</w:t>
            </w:r>
          </w:p>
        </w:tc>
        <w:tc>
          <w:tcPr>
            <w:tcW w:w="594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auto"/>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财预A178号衡财建指（2012）126号业技术务用房、财预A225号业务技术用</w:t>
            </w:r>
            <w:bookmarkStart w:id="102" w:name="_GoBack"/>
            <w:bookmarkEnd w:id="102"/>
            <w:r>
              <w:rPr>
                <w:rFonts w:hint="eastAsia" w:ascii="仿宋" w:hAnsi="仿宋" w:eastAsia="仿宋" w:cs="仿宋"/>
                <w:i w:val="0"/>
                <w:color w:val="000000"/>
                <w:kern w:val="0"/>
                <w:sz w:val="24"/>
                <w:szCs w:val="24"/>
                <w:u w:val="none"/>
                <w:lang w:val="en-US" w:eastAsia="zh-CN" w:bidi="ar"/>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2016年</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105" w:rightChars="50"/>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2,000.00</w:t>
            </w:r>
          </w:p>
        </w:tc>
        <w:tc>
          <w:tcPr>
            <w:tcW w:w="594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auto"/>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财预A186号业务技术用房、财预A147号业务技术用房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2018年</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105" w:rightChars="50"/>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1,000.00</w:t>
            </w:r>
          </w:p>
        </w:tc>
        <w:tc>
          <w:tcPr>
            <w:tcW w:w="594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财预A373号业务技术用房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2019年</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105" w:rightChars="50"/>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3,000.00</w:t>
            </w:r>
          </w:p>
        </w:tc>
        <w:tc>
          <w:tcPr>
            <w:tcW w:w="594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auto"/>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i w:val="0"/>
                <w:color w:val="000000"/>
                <w:kern w:val="0"/>
                <w:sz w:val="24"/>
                <w:szCs w:val="24"/>
                <w:u w:val="none"/>
                <w:lang w:val="en-US" w:eastAsia="zh-CN" w:bidi="ar"/>
              </w:rPr>
              <w:t>财预A283号业务用房、“12345”政府服务热线指挥调度中心，财预A016业务用房、应急指挥调度中心；财预A414号业务用房、财预A522号业务用房、财预A350号业务用房、财预A039号业务用房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b/>
                <w:i w:val="0"/>
                <w:color w:val="000000"/>
                <w:kern w:val="0"/>
                <w:sz w:val="24"/>
                <w:szCs w:val="24"/>
                <w:u w:val="none"/>
                <w:lang w:val="en-US" w:eastAsia="zh-CN" w:bidi="ar"/>
              </w:rPr>
              <w:t>合计</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105" w:rightChars="50"/>
              <w:jc w:val="right"/>
              <w:textAlignment w:val="center"/>
              <w:rPr>
                <w:rFonts w:hint="eastAsia" w:ascii="仿宋" w:hAnsi="仿宋" w:eastAsia="仿宋" w:cs="仿宋"/>
                <w:i w:val="0"/>
                <w:color w:val="000000"/>
                <w:kern w:val="0"/>
                <w:sz w:val="24"/>
                <w:szCs w:val="24"/>
                <w:u w:val="none"/>
                <w:vertAlign w:val="baseline"/>
                <w:lang w:val="en-US" w:eastAsia="zh-CN" w:bidi="ar"/>
              </w:rPr>
            </w:pPr>
            <w:r>
              <w:rPr>
                <w:rFonts w:hint="eastAsia" w:ascii="仿宋" w:hAnsi="仿宋" w:eastAsia="仿宋" w:cs="仿宋"/>
                <w:b/>
                <w:i w:val="0"/>
                <w:color w:val="000000"/>
                <w:kern w:val="0"/>
                <w:sz w:val="24"/>
                <w:szCs w:val="24"/>
                <w:u w:val="none"/>
                <w:lang w:val="en-US" w:eastAsia="zh-CN" w:bidi="ar"/>
              </w:rPr>
              <w:t>7,008.35</w:t>
            </w:r>
          </w:p>
        </w:tc>
        <w:tc>
          <w:tcPr>
            <w:tcW w:w="5944" w:type="dxa"/>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hint="eastAsia" w:ascii="仿宋" w:hAnsi="仿宋" w:eastAsia="仿宋" w:cs="仿宋"/>
                <w:i w:val="0"/>
                <w:color w:val="000000"/>
                <w:kern w:val="0"/>
                <w:sz w:val="24"/>
                <w:szCs w:val="24"/>
                <w:u w:val="none"/>
                <w:vertAlign w:val="baseline"/>
                <w:lang w:val="en-US" w:eastAsia="zh-CN" w:bidi="ar"/>
              </w:rPr>
            </w:pPr>
          </w:p>
        </w:tc>
      </w:tr>
    </w:tbl>
    <w:p>
      <w:pPr>
        <w:pStyle w:val="2"/>
        <w:keepNext/>
        <w:keepLines/>
        <w:pageBreakBefore w:val="0"/>
        <w:widowControl w:val="0"/>
        <w:kinsoku/>
        <w:wordWrap/>
        <w:overflowPunct/>
        <w:topLinePunct w:val="0"/>
        <w:autoSpaceDE/>
        <w:autoSpaceDN/>
        <w:bidi w:val="0"/>
        <w:adjustRightInd/>
        <w:snapToGrid/>
        <w:spacing w:before="180" w:after="180" w:line="240" w:lineRule="auto"/>
        <w:textAlignment w:val="auto"/>
        <w:rPr>
          <w:rFonts w:hint="eastAsia"/>
          <w:sz w:val="28"/>
          <w:szCs w:val="28"/>
          <w:lang w:val="en-US" w:eastAsia="zh-CN"/>
        </w:rPr>
      </w:pPr>
      <w:bookmarkStart w:id="4" w:name="_Toc21740"/>
      <w:r>
        <w:rPr>
          <w:rFonts w:hint="eastAsia"/>
          <w:sz w:val="28"/>
          <w:szCs w:val="28"/>
          <w:lang w:val="en-US" w:eastAsia="zh-CN"/>
        </w:rPr>
        <w:t>二、项目资金绩效评价分析</w:t>
      </w:r>
      <w:bookmarkEnd w:id="4"/>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rPr>
      </w:pPr>
      <w:bookmarkStart w:id="5" w:name="_Toc27846"/>
      <w:r>
        <w:rPr>
          <w:rFonts w:hint="eastAsia" w:ascii="楷体" w:hAnsi="楷体" w:eastAsia="楷体" w:cs="楷体"/>
          <w:sz w:val="28"/>
          <w:szCs w:val="28"/>
        </w:rPr>
        <w:t>（一）评价范围和目的</w:t>
      </w:r>
      <w:bookmarkEnd w:id="5"/>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本次绩效评价工作的目的是客观公正地衡量和检验</w:t>
      </w:r>
      <w:r>
        <w:rPr>
          <w:rFonts w:hint="eastAsia" w:ascii="仿宋" w:hAnsi="仿宋" w:eastAsia="仿宋"/>
          <w:sz w:val="28"/>
          <w:szCs w:val="28"/>
          <w:lang w:val="en-US" w:eastAsia="zh-CN"/>
        </w:rPr>
        <w:t>业务综合用房项目</w:t>
      </w:r>
      <w:r>
        <w:rPr>
          <w:rFonts w:hint="eastAsia" w:ascii="仿宋" w:hAnsi="仿宋" w:eastAsia="仿宋"/>
          <w:sz w:val="28"/>
          <w:szCs w:val="28"/>
        </w:rPr>
        <w:t>预期目标实现程度，考核财政资金支出效率和综合效果，为财政资金预算安排提供重要依据</w:t>
      </w:r>
      <w:r>
        <w:rPr>
          <w:rFonts w:hint="eastAsia" w:ascii="仿宋" w:hAnsi="仿宋" w:eastAsia="仿宋"/>
          <w:sz w:val="28"/>
          <w:szCs w:val="28"/>
          <w:lang w:eastAsia="zh-CN"/>
        </w:rPr>
        <w:t>。</w:t>
      </w:r>
      <w:r>
        <w:rPr>
          <w:rFonts w:hint="eastAsia" w:ascii="仿宋" w:hAnsi="仿宋" w:eastAsia="仿宋"/>
          <w:sz w:val="28"/>
          <w:szCs w:val="28"/>
        </w:rPr>
        <w:t>并及时总结经验、分析存在问题及原因，采取切实措施进一步改进和加强财政资金的管理，不断提高财政资金管理水平和使用效益。</w:t>
      </w:r>
      <w:r>
        <w:rPr>
          <w:rFonts w:hint="eastAsia" w:ascii="仿宋" w:hAnsi="仿宋" w:eastAsia="仿宋"/>
          <w:sz w:val="28"/>
          <w:szCs w:val="28"/>
          <w:lang w:val="en-US" w:eastAsia="zh-CN"/>
        </w:rPr>
        <w:t>此业务综合</w:t>
      </w:r>
      <w:r>
        <w:rPr>
          <w:rFonts w:hint="eastAsia" w:ascii="仿宋" w:hAnsi="仿宋" w:eastAsia="仿宋"/>
          <w:sz w:val="28"/>
          <w:szCs w:val="28"/>
        </w:rPr>
        <w:t>项目绩效评价的</w:t>
      </w:r>
      <w:r>
        <w:rPr>
          <w:rFonts w:hint="eastAsia" w:ascii="仿宋" w:hAnsi="仿宋" w:eastAsia="仿宋"/>
          <w:sz w:val="28"/>
          <w:szCs w:val="28"/>
          <w:lang w:val="en-US" w:eastAsia="zh-CN"/>
        </w:rPr>
        <w:t>期间为2012年6月至2019年12月。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rPr>
      </w:pPr>
      <w:bookmarkStart w:id="6" w:name="_Toc14469"/>
      <w:bookmarkStart w:id="7" w:name="_Toc37343449"/>
      <w:r>
        <w:rPr>
          <w:rFonts w:hint="eastAsia" w:ascii="楷体" w:hAnsi="楷体" w:eastAsia="楷体" w:cs="楷体"/>
          <w:sz w:val="28"/>
          <w:szCs w:val="28"/>
        </w:rPr>
        <w:t>（二）评价原则和方法</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rPr>
        <w:t>本次绩效评价遵循目标导向性原则、科学客观性原则和公平公正性原则，采用目标预定与实施效果比较法、因素分析法和公众评判法，通过比较</w:t>
      </w:r>
      <w:r>
        <w:rPr>
          <w:rFonts w:hint="eastAsia" w:ascii="仿宋" w:hAnsi="仿宋" w:eastAsia="仿宋"/>
          <w:sz w:val="28"/>
          <w:szCs w:val="28"/>
          <w:lang w:val="en-US" w:eastAsia="zh-CN"/>
        </w:rPr>
        <w:t>业务综合用房项目</w:t>
      </w:r>
      <w:r>
        <w:rPr>
          <w:rFonts w:hint="eastAsia" w:ascii="仿宋" w:hAnsi="仿宋" w:eastAsia="仿宋"/>
          <w:sz w:val="28"/>
          <w:szCs w:val="28"/>
        </w:rPr>
        <w:t>所产生的实际结果与预定目标，综合分析影响绩效目标实现和实施效果的内外因素，再结合专家评审意见以及公众调查结果，对</w:t>
      </w:r>
      <w:r>
        <w:rPr>
          <w:rFonts w:hint="eastAsia" w:ascii="仿宋" w:hAnsi="仿宋" w:eastAsia="仿宋"/>
          <w:sz w:val="28"/>
          <w:szCs w:val="28"/>
          <w:lang w:val="en-US" w:eastAsia="zh-CN"/>
        </w:rPr>
        <w:t>本项目</w:t>
      </w:r>
      <w:r>
        <w:rPr>
          <w:rFonts w:hint="eastAsia" w:ascii="仿宋" w:hAnsi="仿宋" w:eastAsia="仿宋"/>
          <w:sz w:val="28"/>
          <w:szCs w:val="28"/>
        </w:rPr>
        <w:t>的投入、过程、产出和效益做出客观、公正的评价。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rPr>
      </w:pPr>
      <w:bookmarkStart w:id="8" w:name="_Toc15314"/>
      <w:r>
        <w:rPr>
          <w:rFonts w:hint="eastAsia" w:ascii="楷体" w:hAnsi="楷体" w:eastAsia="楷体" w:cs="楷体"/>
          <w:sz w:val="28"/>
          <w:szCs w:val="28"/>
        </w:rPr>
        <w:t>（</w:t>
      </w:r>
      <w:r>
        <w:rPr>
          <w:rFonts w:hint="eastAsia" w:ascii="楷体" w:hAnsi="楷体" w:eastAsia="楷体" w:cs="楷体"/>
          <w:sz w:val="28"/>
          <w:szCs w:val="28"/>
          <w:lang w:val="en-US" w:eastAsia="zh-CN"/>
        </w:rPr>
        <w:t>三</w:t>
      </w:r>
      <w:r>
        <w:rPr>
          <w:rFonts w:hint="eastAsia" w:ascii="楷体" w:hAnsi="楷体" w:eastAsia="楷体" w:cs="楷体"/>
          <w:sz w:val="28"/>
          <w:szCs w:val="28"/>
        </w:rPr>
        <w:t>）评价依据</w:t>
      </w:r>
      <w:bookmarkEnd w:id="8"/>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rPr>
        <w:t>《中华人民共和国预算法》</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rPr>
        <w:t>《党政机关理性节约反对浪费条例》</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财政部《关于贯彻落实&lt;中共中央、国务院关于全面实施预算绩效管理的意见&gt;的通知》（财预〔2018〕167号）；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4、《湖南省预算支出绩效评价管理办法》（湘财绩[2020]7号）；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评价组现场调研资料及与评价有关的其他资料。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rPr>
      </w:pPr>
      <w:bookmarkStart w:id="9" w:name="_Toc23811"/>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四）</w:t>
      </w:r>
      <w:r>
        <w:rPr>
          <w:rFonts w:hint="eastAsia" w:ascii="楷体" w:hAnsi="楷体" w:eastAsia="楷体" w:cs="楷体"/>
          <w:sz w:val="28"/>
          <w:szCs w:val="28"/>
        </w:rPr>
        <w:t>评价指标体系</w:t>
      </w:r>
      <w:r>
        <w:rPr>
          <w:rFonts w:hint="eastAsia" w:ascii="楷体" w:hAnsi="楷体" w:eastAsia="楷体" w:cs="楷体"/>
          <w:sz w:val="28"/>
          <w:szCs w:val="28"/>
          <w:lang w:val="en-US" w:eastAsia="zh-CN"/>
        </w:rPr>
        <w:t>说明</w:t>
      </w:r>
      <w:bookmarkEnd w:id="9"/>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Times New Roman" w:eastAsia="仿宋_GB2312" w:cs="Times New Roman"/>
          <w:sz w:val="28"/>
          <w:szCs w:val="28"/>
        </w:rPr>
      </w:pPr>
      <w:r>
        <w:rPr>
          <w:rFonts w:hint="eastAsia" w:ascii="仿宋" w:hAnsi="仿宋" w:eastAsia="仿宋"/>
          <w:sz w:val="28"/>
          <w:szCs w:val="28"/>
        </w:rPr>
        <w:t>本次评价主要</w:t>
      </w:r>
      <w:r>
        <w:rPr>
          <w:rFonts w:hint="eastAsia" w:ascii="仿宋" w:hAnsi="仿宋" w:eastAsia="仿宋"/>
          <w:sz w:val="28"/>
          <w:szCs w:val="28"/>
          <w:lang w:val="en-US" w:eastAsia="zh-CN"/>
        </w:rPr>
        <w:t>依据</w:t>
      </w:r>
      <w:r>
        <w:rPr>
          <w:rFonts w:hint="eastAsia" w:ascii="仿宋" w:hAnsi="仿宋" w:eastAsia="仿宋"/>
          <w:sz w:val="28"/>
          <w:szCs w:val="28"/>
        </w:rPr>
        <w:t>《项目支出绩效评价管理办法》（财预[2020]10号），</w:t>
      </w:r>
      <w:r>
        <w:rPr>
          <w:rFonts w:hint="eastAsia" w:ascii="仿宋" w:hAnsi="仿宋" w:eastAsia="仿宋"/>
          <w:sz w:val="28"/>
          <w:szCs w:val="28"/>
          <w:lang w:val="en-US" w:eastAsia="zh-CN"/>
        </w:rPr>
        <w:t>湖南省财政厅</w:t>
      </w:r>
      <w:r>
        <w:rPr>
          <w:rFonts w:hint="eastAsia" w:ascii="仿宋" w:hAnsi="仿宋" w:eastAsia="仿宋" w:cs="仿宋"/>
          <w:color w:val="000000"/>
          <w:sz w:val="28"/>
          <w:szCs w:val="28"/>
        </w:rPr>
        <w:t>《湖南省预算支出绩效评价管理办法》（</w:t>
      </w:r>
      <w:r>
        <w:rPr>
          <w:rFonts w:hint="eastAsia" w:ascii="仿宋" w:hAnsi="仿宋" w:eastAsia="仿宋" w:cs="仿宋"/>
          <w:color w:val="000000"/>
          <w:sz w:val="28"/>
          <w:szCs w:val="28"/>
          <w:lang w:val="en-US" w:eastAsia="zh-CN"/>
        </w:rPr>
        <w:t>湘</w:t>
      </w:r>
      <w:r>
        <w:rPr>
          <w:rFonts w:hint="eastAsia" w:ascii="仿宋" w:hAnsi="仿宋" w:eastAsia="仿宋" w:cs="仿宋"/>
          <w:color w:val="000000"/>
          <w:sz w:val="28"/>
          <w:szCs w:val="28"/>
        </w:rPr>
        <w:t>财</w:t>
      </w:r>
      <w:r>
        <w:rPr>
          <w:rFonts w:hint="eastAsia" w:ascii="仿宋" w:hAnsi="仿宋" w:eastAsia="仿宋" w:cs="仿宋"/>
          <w:color w:val="000000"/>
          <w:sz w:val="28"/>
          <w:szCs w:val="28"/>
          <w:lang w:val="en-US" w:eastAsia="zh-CN"/>
        </w:rPr>
        <w:t>绩</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2020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号</w:t>
      </w:r>
      <w:r>
        <w:rPr>
          <w:rFonts w:hint="eastAsia" w:ascii="Times New Roman" w:hAnsi="Times New Roman" w:eastAsia="仿宋_GB2312" w:cs="Times New Roman"/>
          <w:sz w:val="28"/>
          <w:szCs w:val="28"/>
        </w:rPr>
        <w:t>）</w:t>
      </w:r>
      <w:r>
        <w:rPr>
          <w:rFonts w:hint="eastAsia" w:ascii="仿宋" w:hAnsi="仿宋" w:eastAsia="仿宋"/>
          <w:sz w:val="28"/>
          <w:szCs w:val="28"/>
          <w:lang w:val="en-US" w:eastAsia="zh-CN"/>
        </w:rPr>
        <w:t>文件要求</w:t>
      </w:r>
      <w:r>
        <w:rPr>
          <w:rFonts w:hint="eastAsia" w:ascii="仿宋" w:hAnsi="仿宋" w:eastAsia="仿宋"/>
          <w:sz w:val="28"/>
          <w:szCs w:val="28"/>
        </w:rPr>
        <w:t>，结合</w:t>
      </w:r>
      <w:r>
        <w:rPr>
          <w:rFonts w:hint="eastAsia" w:ascii="仿宋" w:hAnsi="仿宋" w:eastAsia="仿宋"/>
          <w:sz w:val="28"/>
          <w:szCs w:val="28"/>
          <w:lang w:val="en-US" w:eastAsia="zh-CN"/>
        </w:rPr>
        <w:t>本</w:t>
      </w:r>
      <w:r>
        <w:rPr>
          <w:rFonts w:hint="eastAsia" w:ascii="仿宋" w:hAnsi="仿宋" w:eastAsia="仿宋"/>
          <w:sz w:val="28"/>
          <w:szCs w:val="28"/>
        </w:rPr>
        <w:t>项目的特点及资金使用的具体情况，以资金使用结果和使用效果为导向，确定评价内容并相应设置评价指标及权重。</w:t>
      </w:r>
      <w:r>
        <w:rPr>
          <w:rFonts w:hint="eastAsia" w:ascii="仿宋_GB2312" w:eastAsia="仿宋_GB2312"/>
          <w:sz w:val="28"/>
          <w:szCs w:val="28"/>
        </w:rPr>
        <w:t>主要包括决策、过程、产出和效果四个方面，满分为100分。一是决策（20分），评价</w:t>
      </w:r>
      <w:r>
        <w:rPr>
          <w:rFonts w:hint="eastAsia" w:ascii="仿宋_GB2312" w:eastAsia="仿宋_GB2312"/>
          <w:sz w:val="28"/>
          <w:szCs w:val="28"/>
          <w:lang w:eastAsia="zh-CN"/>
        </w:rPr>
        <w:t>南岳分局</w:t>
      </w:r>
      <w:r>
        <w:rPr>
          <w:rFonts w:hint="eastAsia" w:ascii="仿宋_GB2312" w:eastAsia="仿宋_GB2312"/>
          <w:sz w:val="28"/>
          <w:szCs w:val="28"/>
          <w:lang w:val="en-US" w:eastAsia="zh-CN"/>
        </w:rPr>
        <w:t>业务综合用房项目</w:t>
      </w:r>
      <w:r>
        <w:rPr>
          <w:rFonts w:hint="eastAsia" w:ascii="仿宋_GB2312" w:eastAsia="仿宋_GB2312"/>
          <w:sz w:val="28"/>
          <w:szCs w:val="28"/>
        </w:rPr>
        <w:t>决策，是否符合法律法规、相关政策、发展规划以及部门职责；预算支出申请、设立过程是否符合相关要求；</w:t>
      </w:r>
      <w:r>
        <w:rPr>
          <w:rFonts w:hint="eastAsia" w:ascii="仿宋_GB2312" w:hAnsi="Times New Roman" w:eastAsia="仿宋_GB2312" w:cs="Times New Roman"/>
          <w:sz w:val="28"/>
          <w:szCs w:val="28"/>
        </w:rPr>
        <w:t>预算支出所设定的绩效目标是否依据充分性，是否符合客观实际；依据绩效目标设定的绩效指标是否清晰、细化、可衡量；预算编制是否经过科学论证、有明确标准，资金额度与年度目标是否相适应；预算资金分配是否有测算依据。二是过程（25分），评价资金落实情况对预算支出实施总体保障程度；预算资金是否按照计划执行；预算资金使用是否符合相关的财务管理制度；预算支出的财务和业务管理制度是否健全；预算支出实施是否符合相关业务管理规定。三是产出（25分），评价</w:t>
      </w:r>
      <w:r>
        <w:rPr>
          <w:rFonts w:hint="eastAsia" w:ascii="仿宋_GB2312" w:eastAsia="仿宋_GB2312"/>
          <w:sz w:val="28"/>
          <w:szCs w:val="28"/>
          <w:lang w:val="en-US" w:eastAsia="zh-CN"/>
        </w:rPr>
        <w:t>业务综合用房</w:t>
      </w:r>
      <w:r>
        <w:rPr>
          <w:rFonts w:hint="eastAsia" w:ascii="仿宋_GB2312" w:hAnsi="Times New Roman" w:eastAsia="仿宋_GB2312" w:cs="Times New Roman"/>
          <w:sz w:val="28"/>
          <w:szCs w:val="28"/>
        </w:rPr>
        <w:t>完成的工作量完成程度，质量是否达到了一定的标准、是否在有限的时间完成</w:t>
      </w:r>
      <w:r>
        <w:rPr>
          <w:rFonts w:hint="eastAsia" w:ascii="仿宋_GB2312" w:hAnsi="Times New Roman" w:eastAsia="仿宋_GB2312" w:cs="Times New Roman"/>
          <w:sz w:val="28"/>
          <w:szCs w:val="28"/>
          <w:lang w:val="en-US" w:eastAsia="zh-CN"/>
        </w:rPr>
        <w:t>业务综合用房的建设</w:t>
      </w:r>
      <w:r>
        <w:rPr>
          <w:rFonts w:hint="eastAsia" w:ascii="仿宋_GB2312" w:hAnsi="Times New Roman" w:eastAsia="仿宋_GB2312" w:cs="Times New Roman"/>
          <w:sz w:val="28"/>
          <w:szCs w:val="28"/>
        </w:rPr>
        <w:t>任务、是否超过预算支出</w:t>
      </w:r>
      <w:r>
        <w:rPr>
          <w:rFonts w:hint="eastAsia" w:ascii="仿宋_GB2312" w:hAnsi="Times New Roman" w:eastAsia="仿宋_GB2312" w:cs="Times New Roman"/>
          <w:sz w:val="28"/>
          <w:szCs w:val="28"/>
          <w:lang w:val="en-US" w:eastAsia="zh-CN"/>
        </w:rPr>
        <w:t>或</w:t>
      </w:r>
      <w:r>
        <w:rPr>
          <w:rFonts w:hint="eastAsia" w:ascii="仿宋_GB2312" w:hAnsi="Times New Roman" w:eastAsia="仿宋_GB2312" w:cs="Times New Roman"/>
          <w:sz w:val="28"/>
          <w:szCs w:val="28"/>
        </w:rPr>
        <w:t>节约了成本。四是效益（3</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分）</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评价</w:t>
      </w:r>
      <w:r>
        <w:rPr>
          <w:rFonts w:hint="eastAsia" w:ascii="仿宋_GB2312" w:hAnsi="Times New Roman" w:eastAsia="仿宋_GB2312" w:cs="Times New Roman"/>
          <w:sz w:val="28"/>
          <w:szCs w:val="28"/>
          <w:lang w:val="en-US" w:eastAsia="zh-CN"/>
        </w:rPr>
        <w:t>业务综合用房</w:t>
      </w:r>
      <w:r>
        <w:rPr>
          <w:rFonts w:hint="eastAsia" w:ascii="仿宋_GB2312" w:hAnsi="Times New Roman" w:eastAsia="仿宋_GB2312" w:cs="Times New Roman"/>
          <w:sz w:val="28"/>
          <w:szCs w:val="28"/>
        </w:rPr>
        <w:t>在预算支出方面起到的实施效益、公众效益。</w:t>
      </w:r>
      <w:r>
        <w:rPr>
          <w:rFonts w:hint="eastAsia" w:ascii="仿宋_GB2312" w:hAnsi="宋体" w:eastAsia="仿宋_GB2312" w:cs="宋体"/>
          <w:kern w:val="0"/>
          <w:sz w:val="28"/>
          <w:szCs w:val="28"/>
        </w:rPr>
        <w:t>综合得分在90(含)-100分为优， 80(含)-90分为良，60 (含)-80分为</w:t>
      </w:r>
      <w:r>
        <w:rPr>
          <w:rFonts w:hint="eastAsia" w:ascii="仿宋_GB2312" w:hAnsi="宋体" w:eastAsia="仿宋_GB2312" w:cs="宋体"/>
          <w:kern w:val="0"/>
          <w:sz w:val="28"/>
          <w:szCs w:val="28"/>
          <w:lang w:val="en-US" w:eastAsia="zh-CN"/>
        </w:rPr>
        <w:t>较差</w:t>
      </w:r>
      <w:r>
        <w:rPr>
          <w:rFonts w:hint="eastAsia" w:ascii="仿宋_GB2312" w:hAnsi="宋体" w:eastAsia="仿宋_GB2312" w:cs="宋体"/>
          <w:kern w:val="0"/>
          <w:sz w:val="28"/>
          <w:szCs w:val="28"/>
        </w:rPr>
        <w:t>， 60分以下为差。</w:t>
      </w:r>
    </w:p>
    <w:p>
      <w:pPr>
        <w:pStyle w:val="2"/>
        <w:keepNext/>
        <w:keepLines/>
        <w:pageBreakBefore w:val="0"/>
        <w:widowControl w:val="0"/>
        <w:kinsoku/>
        <w:wordWrap/>
        <w:overflowPunct/>
        <w:topLinePunct w:val="0"/>
        <w:autoSpaceDE/>
        <w:autoSpaceDN/>
        <w:bidi w:val="0"/>
        <w:adjustRightInd/>
        <w:snapToGrid/>
        <w:spacing w:before="180" w:after="180" w:line="240" w:lineRule="auto"/>
        <w:textAlignment w:val="auto"/>
        <w:rPr>
          <w:rFonts w:hint="eastAsia"/>
          <w:sz w:val="28"/>
          <w:szCs w:val="28"/>
          <w:lang w:val="en-US" w:eastAsia="zh-CN"/>
        </w:rPr>
      </w:pPr>
      <w:bookmarkStart w:id="10" w:name="_Toc7191"/>
      <w:r>
        <w:rPr>
          <w:rFonts w:hint="eastAsia"/>
          <w:sz w:val="28"/>
          <w:szCs w:val="28"/>
          <w:lang w:val="en-US" w:eastAsia="zh-CN"/>
        </w:rPr>
        <w:t>三、绩效评价分析及结论</w:t>
      </w:r>
      <w:bookmarkEnd w:id="10"/>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rPr>
      </w:pPr>
      <w:bookmarkStart w:id="11" w:name="_Toc19221"/>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w:t>
      </w:r>
      <w:r>
        <w:rPr>
          <w:rFonts w:hint="eastAsia" w:ascii="楷体" w:hAnsi="楷体" w:eastAsia="楷体" w:cs="楷体"/>
          <w:sz w:val="28"/>
          <w:szCs w:val="28"/>
        </w:rPr>
        <w:t>总体结论</w:t>
      </w:r>
      <w:bookmarkEnd w:id="11"/>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评价小组经现场询问，听取项目</w:t>
      </w:r>
      <w:r>
        <w:rPr>
          <w:rFonts w:hint="eastAsia" w:ascii="仿宋" w:hAnsi="仿宋" w:eastAsia="仿宋"/>
          <w:sz w:val="28"/>
          <w:szCs w:val="28"/>
          <w:lang w:val="en-US" w:eastAsia="zh-CN"/>
        </w:rPr>
        <w:t>及财务</w:t>
      </w:r>
      <w:r>
        <w:rPr>
          <w:rFonts w:hint="eastAsia" w:ascii="仿宋" w:hAnsi="仿宋" w:eastAsia="仿宋"/>
          <w:sz w:val="28"/>
          <w:szCs w:val="28"/>
        </w:rPr>
        <w:t>负责人对项目管理情况和资金使用情况的介绍，详细了解</w:t>
      </w:r>
      <w:r>
        <w:rPr>
          <w:rFonts w:hint="eastAsia" w:ascii="仿宋_GB2312" w:hAnsi="Times New Roman" w:eastAsia="仿宋_GB2312" w:cs="Times New Roman"/>
          <w:sz w:val="28"/>
          <w:szCs w:val="28"/>
          <w:lang w:val="en-US" w:eastAsia="zh-CN"/>
        </w:rPr>
        <w:t>业务综合用房项目</w:t>
      </w:r>
      <w:r>
        <w:rPr>
          <w:rFonts w:hint="eastAsia" w:ascii="仿宋" w:hAnsi="仿宋" w:eastAsia="仿宋"/>
          <w:sz w:val="28"/>
          <w:szCs w:val="28"/>
        </w:rPr>
        <w:t>立项申报、审批、监督管理、资金拨付等流程；查阅、分析项目原始资料数据；实地察看项目验收情况，检查专项资金使用和关联支付文件、财务账表、支出原始凭证等档案资料，开展</w:t>
      </w:r>
      <w:r>
        <w:rPr>
          <w:rFonts w:hint="eastAsia" w:ascii="仿宋_GB2312" w:hAnsi="Times New Roman" w:eastAsia="仿宋_GB2312" w:cs="Times New Roman"/>
          <w:sz w:val="28"/>
          <w:szCs w:val="28"/>
          <w:lang w:val="en-US" w:eastAsia="zh-CN"/>
        </w:rPr>
        <w:t>业务综合用房</w:t>
      </w:r>
      <w:r>
        <w:rPr>
          <w:rFonts w:hint="eastAsia" w:ascii="仿宋" w:hAnsi="仿宋" w:eastAsia="仿宋"/>
          <w:sz w:val="28"/>
          <w:szCs w:val="28"/>
          <w:lang w:val="en-US" w:eastAsia="zh-CN"/>
        </w:rPr>
        <w:t>使用者</w:t>
      </w:r>
      <w:r>
        <w:rPr>
          <w:rFonts w:hint="eastAsia" w:ascii="仿宋" w:hAnsi="仿宋" w:eastAsia="仿宋"/>
          <w:sz w:val="28"/>
          <w:szCs w:val="28"/>
        </w:rPr>
        <w:t>满意度问卷调查，并以此获取的项目信息</w:t>
      </w:r>
      <w:r>
        <w:rPr>
          <w:rFonts w:hint="eastAsia" w:ascii="仿宋" w:hAnsi="仿宋" w:eastAsia="仿宋"/>
          <w:sz w:val="28"/>
          <w:szCs w:val="28"/>
          <w:lang w:val="en-US" w:eastAsia="zh-CN"/>
        </w:rPr>
        <w:t>及</w:t>
      </w:r>
      <w:r>
        <w:rPr>
          <w:rFonts w:hint="eastAsia" w:ascii="仿宋" w:hAnsi="仿宋" w:eastAsia="仿宋"/>
          <w:sz w:val="28"/>
          <w:szCs w:val="28"/>
        </w:rPr>
        <w:t>通过分析项目单位提供的相关资料反映：总体上看，</w:t>
      </w:r>
      <w:r>
        <w:rPr>
          <w:rFonts w:hint="eastAsia" w:ascii="仿宋" w:hAnsi="仿宋" w:eastAsia="仿宋"/>
          <w:sz w:val="28"/>
          <w:szCs w:val="28"/>
          <w:lang w:val="en-US" w:eastAsia="zh-CN"/>
        </w:rPr>
        <w:t>南岳分局业务综合用房已投入使用</w:t>
      </w:r>
      <w:r>
        <w:rPr>
          <w:rFonts w:hint="eastAsia" w:ascii="仿宋" w:hAnsi="仿宋" w:eastAsia="仿宋"/>
          <w:sz w:val="28"/>
          <w:szCs w:val="28"/>
        </w:rPr>
        <w:t>，</w:t>
      </w:r>
      <w:r>
        <w:rPr>
          <w:rFonts w:hint="eastAsia" w:ascii="仿宋" w:hAnsi="仿宋" w:eastAsia="仿宋"/>
          <w:sz w:val="28"/>
          <w:szCs w:val="28"/>
          <w:lang w:val="en-US" w:eastAsia="zh-CN"/>
        </w:rPr>
        <w:t>项目的建成满足公安业务可持续发展的需要，满足“12345”政府服务热线呼叫受理和业务开展的现实需要，解决高峰期警车及部分游客停车难问题。但项目尚未正式竣工验收，绩效结果与预期目标尚存在一定差距，在资金规范性、项目管理和效率性等方面还有改进的空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综合评定“</w:t>
      </w:r>
      <w:r>
        <w:rPr>
          <w:rFonts w:hint="eastAsia" w:ascii="仿宋" w:hAnsi="仿宋" w:eastAsia="仿宋"/>
          <w:sz w:val="28"/>
          <w:szCs w:val="28"/>
          <w:lang w:val="en-US" w:eastAsia="zh-CN"/>
        </w:rPr>
        <w:t>2012-</w:t>
      </w:r>
      <w:r>
        <w:rPr>
          <w:rFonts w:hint="eastAsia" w:ascii="仿宋" w:hAnsi="仿宋" w:eastAsia="仿宋"/>
          <w:sz w:val="28"/>
          <w:szCs w:val="28"/>
        </w:rPr>
        <w:t>2019年</w:t>
      </w:r>
      <w:r>
        <w:rPr>
          <w:rFonts w:hint="eastAsia" w:ascii="仿宋" w:hAnsi="仿宋" w:eastAsia="仿宋"/>
          <w:sz w:val="28"/>
          <w:szCs w:val="28"/>
          <w:lang w:val="en-US" w:eastAsia="zh-CN"/>
        </w:rPr>
        <w:t>南岳分局业务综合用房项目</w:t>
      </w:r>
      <w:r>
        <w:rPr>
          <w:rFonts w:hint="eastAsia" w:ascii="仿宋" w:hAnsi="仿宋" w:eastAsia="仿宋"/>
          <w:sz w:val="28"/>
          <w:szCs w:val="28"/>
        </w:rPr>
        <w:t>”绩效得分为</w:t>
      </w:r>
      <w:r>
        <w:rPr>
          <w:rFonts w:hint="eastAsia" w:ascii="仿宋" w:hAnsi="仿宋" w:eastAsia="仿宋"/>
          <w:sz w:val="28"/>
          <w:szCs w:val="28"/>
          <w:lang w:val="en-US" w:eastAsia="zh-CN"/>
        </w:rPr>
        <w:t>80.1分，绩效等级为“良”。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楷体" w:hAnsi="楷体" w:eastAsia="楷体" w:cs="楷体"/>
          <w:sz w:val="28"/>
          <w:szCs w:val="28"/>
        </w:rPr>
      </w:pPr>
      <w:bookmarkStart w:id="12" w:name="_Toc15582"/>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二）</w:t>
      </w:r>
      <w:r>
        <w:rPr>
          <w:rFonts w:hint="eastAsia" w:ascii="楷体" w:hAnsi="楷体" w:eastAsia="楷体" w:cs="楷体"/>
          <w:sz w:val="28"/>
          <w:szCs w:val="28"/>
        </w:rPr>
        <w:t>各部分绩效分析</w:t>
      </w:r>
      <w:bookmarkEnd w:id="12"/>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b/>
          <w:bCs/>
          <w:sz w:val="28"/>
          <w:szCs w:val="28"/>
        </w:rPr>
      </w:pPr>
      <w:r>
        <w:rPr>
          <w:rFonts w:hint="eastAsia" w:ascii="仿宋" w:hAnsi="仿宋" w:eastAsia="仿宋"/>
          <w:b/>
          <w:bCs/>
          <w:sz w:val="28"/>
          <w:szCs w:val="28"/>
          <w:lang w:val="en-US" w:eastAsia="zh-CN"/>
        </w:rPr>
        <w:t>1.</w:t>
      </w:r>
      <w:r>
        <w:rPr>
          <w:rFonts w:hint="eastAsia" w:ascii="仿宋" w:hAnsi="仿宋" w:eastAsia="仿宋"/>
          <w:b/>
          <w:bCs/>
          <w:sz w:val="28"/>
          <w:szCs w:val="28"/>
        </w:rPr>
        <w:t>投入合理性分析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一是立项规范性方面</w:t>
      </w:r>
      <w:r>
        <w:rPr>
          <w:rFonts w:hint="eastAsia" w:ascii="仿宋" w:hAnsi="仿宋" w:eastAsia="仿宋"/>
          <w:sz w:val="28"/>
          <w:szCs w:val="28"/>
          <w:lang w:val="en-US" w:eastAsia="zh-CN"/>
        </w:rPr>
        <w:t>。</w:t>
      </w:r>
      <w:r>
        <w:rPr>
          <w:rFonts w:hint="eastAsia" w:ascii="仿宋" w:hAnsi="仿宋" w:eastAsia="仿宋"/>
          <w:sz w:val="28"/>
          <w:szCs w:val="28"/>
        </w:rPr>
        <w:t>经核实，</w:t>
      </w:r>
      <w:r>
        <w:rPr>
          <w:rFonts w:hint="eastAsia" w:ascii="仿宋" w:hAnsi="仿宋" w:eastAsia="仿宋"/>
          <w:sz w:val="28"/>
          <w:szCs w:val="28"/>
          <w:lang w:val="en-US" w:eastAsia="zh-CN"/>
        </w:rPr>
        <w:t>南岳分局业务综合用房项目</w:t>
      </w:r>
      <w:r>
        <w:rPr>
          <w:rFonts w:hint="eastAsia" w:ascii="仿宋" w:hAnsi="仿宋" w:eastAsia="仿宋"/>
          <w:sz w:val="28"/>
          <w:szCs w:val="28"/>
        </w:rPr>
        <w:t>已</w:t>
      </w:r>
      <w:r>
        <w:rPr>
          <w:rFonts w:hint="eastAsia" w:ascii="仿宋" w:hAnsi="仿宋" w:eastAsia="仿宋"/>
          <w:sz w:val="28"/>
          <w:szCs w:val="28"/>
          <w:lang w:val="en-US" w:eastAsia="zh-CN"/>
        </w:rPr>
        <w:t>基本</w:t>
      </w:r>
      <w:r>
        <w:rPr>
          <w:rFonts w:hint="eastAsia" w:ascii="仿宋" w:hAnsi="仿宋" w:eastAsia="仿宋"/>
          <w:sz w:val="28"/>
          <w:szCs w:val="28"/>
        </w:rPr>
        <w:t>按照规定的程序申请</w:t>
      </w:r>
      <w:r>
        <w:rPr>
          <w:rFonts w:hint="eastAsia" w:ascii="仿宋" w:hAnsi="仿宋" w:eastAsia="仿宋"/>
          <w:sz w:val="28"/>
          <w:szCs w:val="28"/>
          <w:lang w:val="en-US" w:eastAsia="zh-CN"/>
        </w:rPr>
        <w:t>了立项</w:t>
      </w:r>
      <w:r>
        <w:rPr>
          <w:rFonts w:hint="eastAsia" w:ascii="仿宋" w:hAnsi="仿宋" w:eastAsia="仿宋"/>
          <w:sz w:val="28"/>
          <w:szCs w:val="28"/>
        </w:rPr>
        <w:t>；审批文件、材料符合相关要求；事前已经过必要的可行性研究、专家论证、风险评估、集体决策。</w:t>
      </w:r>
      <w:r>
        <w:rPr>
          <w:rFonts w:hint="eastAsia" w:ascii="仿宋" w:hAnsi="仿宋" w:eastAsia="仿宋"/>
          <w:sz w:val="28"/>
          <w:szCs w:val="28"/>
          <w:lang w:val="en-US" w:eastAsia="zh-CN"/>
        </w:rPr>
        <w:t>但南岳分局未对超过2年有效期未动工的业务技术用房重新申请立项，重新进行经济技术分析论证，导致项目的投资测算不够严谨。如2015年立项“12345”政府服务热线项目时未根据当时的市场价格对业务用房重新进行投资测算。二是项目</w:t>
      </w:r>
      <w:r>
        <w:rPr>
          <w:rFonts w:hint="eastAsia" w:ascii="仿宋" w:hAnsi="仿宋" w:eastAsia="仿宋"/>
          <w:sz w:val="28"/>
          <w:szCs w:val="28"/>
        </w:rPr>
        <w:t>资金绩效目标。经核实，</w:t>
      </w:r>
      <w:r>
        <w:rPr>
          <w:rFonts w:hint="eastAsia" w:ascii="仿宋" w:hAnsi="仿宋" w:eastAsia="仿宋"/>
          <w:sz w:val="28"/>
          <w:szCs w:val="28"/>
          <w:lang w:val="en-US" w:eastAsia="zh-CN"/>
        </w:rPr>
        <w:t>业务综合用房项目</w:t>
      </w:r>
      <w:r>
        <w:rPr>
          <w:rFonts w:hint="eastAsia" w:ascii="仿宋" w:hAnsi="仿宋" w:eastAsia="仿宋"/>
          <w:sz w:val="28"/>
          <w:szCs w:val="28"/>
        </w:rPr>
        <w:t>设有绩效目标，项目绩效目标与实际</w:t>
      </w:r>
      <w:r>
        <w:rPr>
          <w:rFonts w:hint="eastAsia" w:ascii="仿宋" w:hAnsi="仿宋" w:eastAsia="仿宋"/>
          <w:sz w:val="28"/>
          <w:szCs w:val="28"/>
          <w:lang w:val="en-US" w:eastAsia="zh-CN"/>
        </w:rPr>
        <w:t>需求</w:t>
      </w:r>
      <w:r>
        <w:rPr>
          <w:rFonts w:hint="eastAsia" w:ascii="仿宋" w:hAnsi="仿宋" w:eastAsia="仿宋"/>
          <w:sz w:val="28"/>
          <w:szCs w:val="28"/>
        </w:rPr>
        <w:t>具有相关性，项目预期产出效益和效果符合正常的业绩水平，项目与预算确定的资金量相匹配</w:t>
      </w:r>
      <w:r>
        <w:rPr>
          <w:rFonts w:hint="eastAsia" w:ascii="仿宋" w:hAnsi="仿宋" w:eastAsia="仿宋"/>
          <w:sz w:val="28"/>
          <w:szCs w:val="28"/>
          <w:lang w:eastAsia="zh-CN"/>
        </w:rPr>
        <w:t>，</w:t>
      </w:r>
      <w:r>
        <w:rPr>
          <w:rFonts w:hint="eastAsia" w:ascii="仿宋" w:hAnsi="仿宋" w:eastAsia="仿宋"/>
          <w:sz w:val="28"/>
          <w:szCs w:val="28"/>
        </w:rPr>
        <w:t>绩效目标与指标内容比较完整、相关、适当、可行。</w:t>
      </w:r>
      <w:r>
        <w:rPr>
          <w:rFonts w:hint="eastAsia" w:ascii="仿宋" w:hAnsi="仿宋" w:eastAsia="仿宋"/>
          <w:sz w:val="28"/>
          <w:szCs w:val="28"/>
          <w:lang w:val="en-US" w:eastAsia="zh-CN"/>
        </w:rPr>
        <w:t>但业务综合用房这三个项目之间的绩效目标关联性不足</w:t>
      </w:r>
      <w:r>
        <w:rPr>
          <w:rFonts w:hint="eastAsia" w:ascii="仿宋" w:hAnsi="仿宋" w:eastAsia="仿宋"/>
          <w:sz w:val="28"/>
          <w:szCs w:val="28"/>
        </w:rPr>
        <w:t>。</w:t>
      </w:r>
      <w:r>
        <w:rPr>
          <w:rFonts w:hint="eastAsia" w:ascii="仿宋" w:hAnsi="仿宋" w:eastAsia="仿宋"/>
          <w:sz w:val="28"/>
          <w:szCs w:val="28"/>
          <w:lang w:val="en-US" w:eastAsia="zh-CN"/>
        </w:rPr>
        <w:t>三是</w:t>
      </w:r>
      <w:r>
        <w:rPr>
          <w:rFonts w:hint="eastAsia" w:ascii="仿宋" w:hAnsi="仿宋" w:eastAsia="仿宋"/>
          <w:sz w:val="28"/>
          <w:szCs w:val="28"/>
        </w:rPr>
        <w:t>资金投入</w:t>
      </w:r>
      <w:r>
        <w:rPr>
          <w:rFonts w:hint="eastAsia" w:ascii="仿宋" w:hAnsi="仿宋" w:eastAsia="仿宋"/>
          <w:sz w:val="28"/>
          <w:szCs w:val="28"/>
          <w:lang w:val="en-US" w:eastAsia="zh-CN"/>
        </w:rPr>
        <w:t>方面</w:t>
      </w:r>
      <w:r>
        <w:rPr>
          <w:rFonts w:hint="eastAsia" w:ascii="仿宋" w:hAnsi="仿宋" w:eastAsia="仿宋"/>
          <w:sz w:val="28"/>
          <w:szCs w:val="28"/>
          <w:lang w:eastAsia="zh-CN"/>
        </w:rPr>
        <w:t>。</w:t>
      </w:r>
      <w:r>
        <w:rPr>
          <w:rFonts w:hint="eastAsia" w:ascii="仿宋" w:hAnsi="仿宋" w:eastAsia="仿宋"/>
          <w:sz w:val="28"/>
          <w:szCs w:val="28"/>
        </w:rPr>
        <w:t>依据</w:t>
      </w:r>
      <w:r>
        <w:rPr>
          <w:rFonts w:hint="eastAsia" w:ascii="仿宋" w:hAnsi="仿宋" w:eastAsia="仿宋"/>
          <w:sz w:val="28"/>
          <w:szCs w:val="28"/>
          <w:lang w:val="en-US" w:eastAsia="zh-CN"/>
        </w:rPr>
        <w:t>业务综合用房</w:t>
      </w:r>
      <w:r>
        <w:rPr>
          <w:rFonts w:hint="eastAsia" w:ascii="仿宋" w:hAnsi="仿宋" w:eastAsia="仿宋"/>
          <w:sz w:val="28"/>
          <w:szCs w:val="28"/>
        </w:rPr>
        <w:t>项目</w:t>
      </w:r>
      <w:r>
        <w:rPr>
          <w:rFonts w:hint="eastAsia" w:ascii="仿宋" w:hAnsi="仿宋" w:eastAsia="仿宋"/>
          <w:sz w:val="28"/>
          <w:szCs w:val="28"/>
          <w:lang w:val="en-US" w:eastAsia="zh-CN"/>
        </w:rPr>
        <w:t>绩效</w:t>
      </w:r>
      <w:r>
        <w:rPr>
          <w:rFonts w:hint="eastAsia" w:ascii="仿宋" w:hAnsi="仿宋" w:eastAsia="仿宋"/>
          <w:sz w:val="28"/>
          <w:szCs w:val="28"/>
        </w:rPr>
        <w:t>目标，</w:t>
      </w:r>
      <w:r>
        <w:rPr>
          <w:rFonts w:hint="eastAsia" w:ascii="仿宋" w:hAnsi="仿宋" w:eastAsia="仿宋"/>
          <w:sz w:val="28"/>
          <w:szCs w:val="28"/>
          <w:lang w:val="en-US" w:eastAsia="zh-CN"/>
        </w:rPr>
        <w:t>项目批复估算总资金投入5,296万元。按</w:t>
      </w:r>
      <w:r>
        <w:rPr>
          <w:rFonts w:hint="eastAsia" w:ascii="仿宋" w:hAnsi="仿宋" w:eastAsia="仿宋"/>
          <w:sz w:val="28"/>
          <w:szCs w:val="28"/>
        </w:rPr>
        <w:t>项目</w:t>
      </w:r>
      <w:r>
        <w:rPr>
          <w:rFonts w:hint="eastAsia" w:ascii="仿宋" w:hAnsi="仿宋" w:eastAsia="仿宋"/>
          <w:sz w:val="28"/>
          <w:szCs w:val="28"/>
          <w:lang w:val="en-US" w:eastAsia="zh-CN"/>
        </w:rPr>
        <w:t>实际施工</w:t>
      </w:r>
      <w:r>
        <w:rPr>
          <w:rFonts w:hint="eastAsia" w:ascii="仿宋" w:hAnsi="仿宋" w:eastAsia="仿宋"/>
          <w:sz w:val="28"/>
          <w:szCs w:val="28"/>
        </w:rPr>
        <w:t>进度，2012年</w:t>
      </w:r>
      <w:r>
        <w:rPr>
          <w:rFonts w:hint="eastAsia" w:ascii="仿宋" w:hAnsi="仿宋" w:eastAsia="仿宋"/>
          <w:sz w:val="28"/>
          <w:szCs w:val="28"/>
          <w:lang w:val="en-US" w:eastAsia="zh-CN"/>
        </w:rPr>
        <w:t>至</w:t>
      </w:r>
      <w:r>
        <w:rPr>
          <w:rFonts w:hint="eastAsia" w:ascii="仿宋" w:hAnsi="仿宋" w:eastAsia="仿宋"/>
          <w:sz w:val="28"/>
          <w:szCs w:val="28"/>
        </w:rPr>
        <w:t>2020年</w:t>
      </w:r>
      <w:r>
        <w:rPr>
          <w:rFonts w:hint="eastAsia" w:ascii="仿宋" w:hAnsi="仿宋" w:eastAsia="仿宋"/>
          <w:sz w:val="28"/>
          <w:szCs w:val="28"/>
          <w:lang w:val="en-US" w:eastAsia="zh-CN"/>
        </w:rPr>
        <w:t>1月</w:t>
      </w:r>
      <w:r>
        <w:rPr>
          <w:rFonts w:hint="eastAsia" w:ascii="仿宋" w:hAnsi="仿宋" w:eastAsia="仿宋"/>
          <w:sz w:val="28"/>
          <w:szCs w:val="28"/>
        </w:rPr>
        <w:t>财政共计</w:t>
      </w:r>
      <w:r>
        <w:rPr>
          <w:rFonts w:hint="eastAsia" w:ascii="仿宋" w:hAnsi="仿宋" w:eastAsia="仿宋"/>
          <w:sz w:val="28"/>
          <w:szCs w:val="28"/>
          <w:lang w:val="en-US" w:eastAsia="zh-CN"/>
        </w:rPr>
        <w:t>已</w:t>
      </w:r>
      <w:r>
        <w:rPr>
          <w:rFonts w:hint="eastAsia" w:ascii="仿宋" w:hAnsi="仿宋" w:eastAsia="仿宋"/>
          <w:sz w:val="28"/>
          <w:szCs w:val="28"/>
        </w:rPr>
        <w:t>安排预算</w:t>
      </w:r>
      <w:r>
        <w:rPr>
          <w:rFonts w:hint="eastAsia" w:ascii="仿宋" w:hAnsi="仿宋" w:eastAsia="仿宋"/>
          <w:sz w:val="28"/>
          <w:szCs w:val="28"/>
          <w:lang w:eastAsia="zh-CN"/>
        </w:rPr>
        <w:t>7,408.35</w:t>
      </w:r>
      <w:r>
        <w:rPr>
          <w:rFonts w:hint="eastAsia" w:ascii="仿宋" w:hAnsi="仿宋" w:eastAsia="仿宋"/>
          <w:sz w:val="28"/>
          <w:szCs w:val="28"/>
        </w:rPr>
        <w:t>万元。财政预算安排</w:t>
      </w:r>
      <w:r>
        <w:rPr>
          <w:rFonts w:hint="eastAsia" w:ascii="仿宋" w:hAnsi="仿宋" w:eastAsia="仿宋"/>
          <w:sz w:val="28"/>
          <w:szCs w:val="28"/>
          <w:lang w:val="en-US" w:eastAsia="zh-CN"/>
        </w:rPr>
        <w:t>数比可研批复估算数高出了39.9%以上。</w:t>
      </w:r>
    </w:p>
    <w:p>
      <w:pPr>
        <w:keepNext w:val="0"/>
        <w:keepLines w:val="0"/>
        <w:pageBreakBefore w:val="0"/>
        <w:kinsoku/>
        <w:wordWrap/>
        <w:overflowPunct/>
        <w:topLinePunct w:val="0"/>
        <w:autoSpaceDE/>
        <w:autoSpaceDN/>
        <w:bidi w:val="0"/>
        <w:spacing w:line="240" w:lineRule="auto"/>
        <w:ind w:firstLine="645"/>
        <w:rPr>
          <w:rFonts w:ascii="仿宋" w:hAnsi="仿宋" w:eastAsia="仿宋"/>
          <w:b/>
          <w:bCs w:val="0"/>
          <w:sz w:val="28"/>
          <w:szCs w:val="28"/>
        </w:rPr>
      </w:pPr>
      <w:r>
        <w:rPr>
          <w:rFonts w:hint="eastAsia" w:ascii="仿宋_GB2312" w:eastAsia="仿宋_GB2312"/>
          <w:b/>
          <w:bCs w:val="0"/>
          <w:sz w:val="28"/>
          <w:szCs w:val="28"/>
          <w:lang w:val="en-US" w:eastAsia="zh-CN"/>
        </w:rPr>
        <w:t>2.</w:t>
      </w:r>
      <w:r>
        <w:rPr>
          <w:rFonts w:hint="eastAsia" w:ascii="仿宋" w:hAnsi="仿宋" w:eastAsia="仿宋"/>
          <w:b/>
          <w:bCs w:val="0"/>
          <w:sz w:val="28"/>
          <w:szCs w:val="28"/>
        </w:rPr>
        <w:t>过程管理有效性分析</w:t>
      </w:r>
    </w:p>
    <w:p>
      <w:pPr>
        <w:keepNext w:val="0"/>
        <w:keepLines w:val="0"/>
        <w:pageBreakBefore w:val="0"/>
        <w:kinsoku/>
        <w:wordWrap/>
        <w:overflowPunct/>
        <w:topLinePunct w:val="0"/>
        <w:autoSpaceDE/>
        <w:autoSpaceDN/>
        <w:bidi w:val="0"/>
        <w:spacing w:line="240" w:lineRule="auto"/>
        <w:ind w:firstLine="562" w:firstLineChars="200"/>
        <w:rPr>
          <w:rFonts w:hint="eastAsia" w:ascii="仿宋" w:hAnsi="仿宋" w:eastAsia="仿宋"/>
          <w:sz w:val="28"/>
          <w:szCs w:val="28"/>
        </w:rPr>
      </w:pPr>
      <w:r>
        <w:rPr>
          <w:rFonts w:hint="eastAsia" w:ascii="仿宋" w:hAnsi="仿宋" w:eastAsia="仿宋"/>
          <w:b/>
          <w:bCs/>
          <w:sz w:val="28"/>
          <w:szCs w:val="28"/>
          <w:lang w:val="en-US" w:eastAsia="zh-CN"/>
        </w:rPr>
        <w:t>（1）</w:t>
      </w:r>
      <w:r>
        <w:rPr>
          <w:rFonts w:hint="eastAsia" w:ascii="仿宋" w:hAnsi="仿宋" w:eastAsia="仿宋"/>
          <w:b/>
          <w:bCs/>
          <w:sz w:val="28"/>
          <w:szCs w:val="28"/>
        </w:rPr>
        <w:t>资金管理</w:t>
      </w:r>
      <w:r>
        <w:rPr>
          <w:rFonts w:hint="eastAsia" w:ascii="仿宋" w:hAnsi="仿宋" w:eastAsia="仿宋"/>
          <w:b/>
          <w:bCs/>
          <w:sz w:val="28"/>
          <w:szCs w:val="28"/>
          <w:lang w:val="en-US" w:eastAsia="zh-CN"/>
        </w:rPr>
        <w:t>分析</w:t>
      </w:r>
    </w:p>
    <w:p>
      <w:pPr>
        <w:keepNext w:val="0"/>
        <w:keepLines w:val="0"/>
        <w:pageBreakBefore w:val="0"/>
        <w:kinsoku/>
        <w:wordWrap/>
        <w:overflowPunct/>
        <w:topLinePunct w:val="0"/>
        <w:autoSpaceDE/>
        <w:autoSpaceDN/>
        <w:bidi w:val="0"/>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经核实，</w:t>
      </w:r>
      <w:r>
        <w:rPr>
          <w:rFonts w:hint="eastAsia" w:ascii="仿宋" w:hAnsi="仿宋" w:eastAsia="仿宋"/>
          <w:sz w:val="28"/>
          <w:szCs w:val="28"/>
        </w:rPr>
        <w:t>2012年到20</w:t>
      </w:r>
      <w:r>
        <w:rPr>
          <w:rFonts w:hint="eastAsia" w:ascii="仿宋" w:hAnsi="仿宋" w:eastAsia="仿宋"/>
          <w:sz w:val="28"/>
          <w:szCs w:val="28"/>
          <w:lang w:val="en-US" w:eastAsia="zh-CN"/>
        </w:rPr>
        <w:t>19</w:t>
      </w:r>
      <w:r>
        <w:rPr>
          <w:rFonts w:hint="eastAsia" w:ascii="仿宋" w:hAnsi="仿宋" w:eastAsia="仿宋"/>
          <w:sz w:val="28"/>
          <w:szCs w:val="28"/>
        </w:rPr>
        <w:t>年财政安排</w:t>
      </w:r>
      <w:r>
        <w:rPr>
          <w:rFonts w:hint="eastAsia" w:ascii="仿宋" w:hAnsi="仿宋" w:eastAsia="仿宋"/>
          <w:sz w:val="28"/>
          <w:szCs w:val="28"/>
          <w:lang w:val="en-US" w:eastAsia="zh-CN"/>
        </w:rPr>
        <w:t>本</w:t>
      </w:r>
      <w:r>
        <w:rPr>
          <w:rFonts w:hint="eastAsia" w:ascii="仿宋" w:hAnsi="仿宋" w:eastAsia="仿宋"/>
          <w:sz w:val="28"/>
          <w:szCs w:val="28"/>
          <w:lang w:eastAsia="zh-CN"/>
        </w:rPr>
        <w:t>项目</w:t>
      </w:r>
      <w:r>
        <w:rPr>
          <w:rFonts w:hint="eastAsia" w:ascii="仿宋" w:hAnsi="仿宋" w:eastAsia="仿宋"/>
          <w:sz w:val="28"/>
          <w:szCs w:val="28"/>
        </w:rPr>
        <w:t>预算共</w:t>
      </w:r>
      <w:r>
        <w:rPr>
          <w:rFonts w:hint="eastAsia" w:ascii="仿宋" w:hAnsi="仿宋" w:eastAsia="仿宋"/>
          <w:sz w:val="28"/>
          <w:szCs w:val="28"/>
          <w:lang w:val="en-US" w:eastAsia="zh-CN"/>
        </w:rPr>
        <w:t>计</w:t>
      </w:r>
      <w:r>
        <w:rPr>
          <w:rFonts w:hint="eastAsia" w:ascii="仿宋" w:hAnsi="仿宋" w:eastAsia="仿宋"/>
          <w:sz w:val="28"/>
          <w:szCs w:val="28"/>
        </w:rPr>
        <w:t>7</w:t>
      </w:r>
      <w:r>
        <w:rPr>
          <w:rFonts w:hint="eastAsia" w:ascii="仿宋" w:hAnsi="仿宋" w:eastAsia="仿宋"/>
          <w:sz w:val="28"/>
          <w:szCs w:val="28"/>
          <w:lang w:val="en-US" w:eastAsia="zh-CN"/>
        </w:rPr>
        <w:t>,</w:t>
      </w:r>
      <w:r>
        <w:rPr>
          <w:rFonts w:hint="eastAsia" w:ascii="仿宋" w:hAnsi="仿宋" w:eastAsia="仿宋"/>
          <w:sz w:val="28"/>
          <w:szCs w:val="28"/>
        </w:rPr>
        <w:t>008.3</w:t>
      </w:r>
      <w:r>
        <w:rPr>
          <w:rFonts w:hint="eastAsia" w:ascii="仿宋" w:hAnsi="仿宋" w:eastAsia="仿宋"/>
          <w:sz w:val="28"/>
          <w:szCs w:val="28"/>
          <w:lang w:val="en-US" w:eastAsia="zh-CN"/>
        </w:rPr>
        <w:t>5</w:t>
      </w:r>
      <w:r>
        <w:rPr>
          <w:rFonts w:hint="eastAsia" w:ascii="仿宋" w:hAnsi="仿宋" w:eastAsia="仿宋"/>
          <w:sz w:val="28"/>
          <w:szCs w:val="28"/>
        </w:rPr>
        <w:t>万元，实际拨款7</w:t>
      </w:r>
      <w:r>
        <w:rPr>
          <w:rFonts w:hint="eastAsia" w:ascii="仿宋" w:hAnsi="仿宋" w:eastAsia="仿宋"/>
          <w:sz w:val="28"/>
          <w:szCs w:val="28"/>
          <w:lang w:val="en-US" w:eastAsia="zh-CN"/>
        </w:rPr>
        <w:t>,</w:t>
      </w:r>
      <w:r>
        <w:rPr>
          <w:rFonts w:hint="eastAsia" w:ascii="仿宋" w:hAnsi="仿宋" w:eastAsia="仿宋"/>
          <w:sz w:val="28"/>
          <w:szCs w:val="28"/>
        </w:rPr>
        <w:t>008.3</w:t>
      </w:r>
      <w:r>
        <w:rPr>
          <w:rFonts w:hint="eastAsia" w:ascii="仿宋" w:hAnsi="仿宋" w:eastAsia="仿宋"/>
          <w:sz w:val="28"/>
          <w:szCs w:val="28"/>
          <w:lang w:val="en-US" w:eastAsia="zh-CN"/>
        </w:rPr>
        <w:t>5</w:t>
      </w:r>
      <w:r>
        <w:rPr>
          <w:rFonts w:hint="eastAsia" w:ascii="仿宋" w:hAnsi="仿宋" w:eastAsia="仿宋"/>
          <w:sz w:val="28"/>
          <w:szCs w:val="28"/>
        </w:rPr>
        <w:t>万元。资金到位率100%</w:t>
      </w:r>
      <w:r>
        <w:rPr>
          <w:rFonts w:hint="eastAsia" w:ascii="仿宋" w:hAnsi="仿宋" w:eastAsia="仿宋"/>
          <w:sz w:val="28"/>
          <w:szCs w:val="28"/>
          <w:lang w:eastAsia="zh-CN"/>
        </w:rPr>
        <w:t>；</w:t>
      </w:r>
      <w:r>
        <w:rPr>
          <w:rFonts w:hint="eastAsia" w:ascii="仿宋" w:hAnsi="仿宋" w:eastAsia="仿宋"/>
          <w:sz w:val="28"/>
          <w:szCs w:val="28"/>
        </w:rPr>
        <w:t>实际支出6</w:t>
      </w:r>
      <w:r>
        <w:rPr>
          <w:rFonts w:hint="eastAsia" w:ascii="仿宋" w:hAnsi="仿宋" w:eastAsia="仿宋"/>
          <w:sz w:val="28"/>
          <w:szCs w:val="28"/>
          <w:lang w:val="en-US" w:eastAsia="zh-CN"/>
        </w:rPr>
        <w:t>,</w:t>
      </w:r>
      <w:r>
        <w:rPr>
          <w:rFonts w:hint="eastAsia" w:ascii="仿宋" w:hAnsi="仿宋" w:eastAsia="仿宋"/>
          <w:sz w:val="28"/>
          <w:szCs w:val="28"/>
        </w:rPr>
        <w:t>511.28万元，</w:t>
      </w:r>
      <w:r>
        <w:rPr>
          <w:rFonts w:hint="eastAsia" w:ascii="仿宋" w:hAnsi="仿宋" w:eastAsia="仿宋"/>
          <w:sz w:val="28"/>
          <w:szCs w:val="28"/>
          <w:lang w:val="en-US" w:eastAsia="zh-CN"/>
        </w:rPr>
        <w:t>总</w:t>
      </w:r>
      <w:r>
        <w:rPr>
          <w:rFonts w:hint="eastAsia" w:ascii="仿宋" w:hAnsi="仿宋" w:eastAsia="仿宋"/>
          <w:sz w:val="28"/>
          <w:szCs w:val="28"/>
        </w:rPr>
        <w:t>预算执行率92.9%</w:t>
      </w:r>
      <w:r>
        <w:rPr>
          <w:rFonts w:hint="eastAsia" w:ascii="仿宋" w:hAnsi="仿宋" w:eastAsia="仿宋"/>
          <w:sz w:val="28"/>
          <w:szCs w:val="28"/>
          <w:lang w:eastAsia="zh-CN"/>
        </w:rPr>
        <w:t>，</w:t>
      </w:r>
      <w:r>
        <w:rPr>
          <w:rFonts w:hint="eastAsia" w:ascii="仿宋" w:hAnsi="仿宋" w:eastAsia="仿宋"/>
          <w:sz w:val="28"/>
          <w:szCs w:val="28"/>
          <w:lang w:val="en-US" w:eastAsia="zh-CN"/>
        </w:rPr>
        <w:t>其中，2012-2017年期间，预算执行率最高的一年（2017年）仅44.41%，建设期资金结余绝对数最大值的一年（2016年）为2710.35万元</w:t>
      </w:r>
      <w:r>
        <w:rPr>
          <w:rFonts w:hint="eastAsia" w:ascii="仿宋" w:hAnsi="仿宋" w:eastAsia="仿宋" w:cs="仿宋"/>
          <w:i w:val="0"/>
          <w:color w:val="000000"/>
          <w:kern w:val="0"/>
          <w:sz w:val="28"/>
          <w:szCs w:val="28"/>
          <w:u w:val="none"/>
          <w:lang w:val="en-US" w:eastAsia="zh-CN" w:bidi="ar"/>
        </w:rPr>
        <w:t>。</w:t>
      </w:r>
      <w:r>
        <w:rPr>
          <w:rFonts w:hint="eastAsia" w:ascii="仿宋" w:hAnsi="仿宋" w:eastAsia="仿宋"/>
          <w:sz w:val="28"/>
          <w:szCs w:val="28"/>
          <w:lang w:val="en-US" w:eastAsia="zh-CN"/>
        </w:rPr>
        <w:t>2012-2019年预算执行情况见下表：</w:t>
      </w:r>
    </w:p>
    <w:tbl>
      <w:tblPr>
        <w:tblStyle w:val="9"/>
        <w:tblW w:w="5000" w:type="pct"/>
        <w:jc w:val="center"/>
        <w:shd w:val="clear" w:color="auto" w:fill="auto"/>
        <w:tblLayout w:type="autofit"/>
        <w:tblCellMar>
          <w:top w:w="0" w:type="dxa"/>
          <w:left w:w="0" w:type="dxa"/>
          <w:bottom w:w="0" w:type="dxa"/>
          <w:right w:w="0" w:type="dxa"/>
        </w:tblCellMar>
      </w:tblPr>
      <w:tblGrid>
        <w:gridCol w:w="1491"/>
        <w:gridCol w:w="1755"/>
        <w:gridCol w:w="1755"/>
        <w:gridCol w:w="1755"/>
        <w:gridCol w:w="2119"/>
      </w:tblGrid>
      <w:tr>
        <w:tblPrEx>
          <w:shd w:val="clear" w:color="auto" w:fill="auto"/>
          <w:tblCellMar>
            <w:top w:w="0" w:type="dxa"/>
            <w:left w:w="0" w:type="dxa"/>
            <w:bottom w:w="0" w:type="dxa"/>
            <w:right w:w="0" w:type="dxa"/>
          </w:tblCellMar>
        </w:tblPrEx>
        <w:trPr>
          <w:trHeight w:val="375"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表3-1：2012-2019年预算执行情况表   单位：万元</w:t>
            </w:r>
          </w:p>
        </w:tc>
      </w:tr>
      <w:tr>
        <w:tblPrEx>
          <w:tblCellMar>
            <w:top w:w="0" w:type="dxa"/>
            <w:left w:w="0" w:type="dxa"/>
            <w:bottom w:w="0" w:type="dxa"/>
            <w:right w:w="0" w:type="dxa"/>
          </w:tblCellMar>
        </w:tblPrEx>
        <w:trPr>
          <w:trHeight w:val="90"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年限</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累计财政拨款</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累计支出</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资金结余</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预算执行率</w:t>
            </w:r>
          </w:p>
        </w:tc>
      </w:tr>
      <w:tr>
        <w:tblPrEx>
          <w:tblCellMar>
            <w:top w:w="0" w:type="dxa"/>
            <w:left w:w="0" w:type="dxa"/>
            <w:bottom w:w="0" w:type="dxa"/>
            <w:right w:w="0" w:type="dxa"/>
          </w:tblCellMar>
        </w:tblPrEx>
        <w:trPr>
          <w:trHeight w:val="375"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2012年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500.00</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11.04</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488.96</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2.21%</w:t>
            </w:r>
          </w:p>
        </w:tc>
      </w:tr>
      <w:tr>
        <w:tblPrEx>
          <w:tblCellMar>
            <w:top w:w="0" w:type="dxa"/>
            <w:left w:w="0" w:type="dxa"/>
            <w:bottom w:w="0" w:type="dxa"/>
            <w:right w:w="0" w:type="dxa"/>
          </w:tblCellMar>
        </w:tblPrEx>
        <w:trPr>
          <w:trHeight w:val="375"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2013年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500.00</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11.04</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488.96</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2.21%</w:t>
            </w:r>
          </w:p>
        </w:tc>
      </w:tr>
      <w:tr>
        <w:tblPrEx>
          <w:tblCellMar>
            <w:top w:w="0" w:type="dxa"/>
            <w:left w:w="0" w:type="dxa"/>
            <w:bottom w:w="0" w:type="dxa"/>
            <w:right w:w="0" w:type="dxa"/>
          </w:tblCellMar>
        </w:tblPrEx>
        <w:trPr>
          <w:trHeight w:val="375"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2014年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500.00</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11.04</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488.96</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2.21%</w:t>
            </w:r>
          </w:p>
        </w:tc>
      </w:tr>
      <w:tr>
        <w:tblPrEx>
          <w:tblCellMar>
            <w:top w:w="0" w:type="dxa"/>
            <w:left w:w="0" w:type="dxa"/>
            <w:bottom w:w="0" w:type="dxa"/>
            <w:right w:w="0" w:type="dxa"/>
          </w:tblCellMar>
        </w:tblPrEx>
        <w:trPr>
          <w:trHeight w:val="375"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2015年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1,008.35</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133.94</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874.41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13.28%</w:t>
            </w:r>
          </w:p>
        </w:tc>
      </w:tr>
      <w:tr>
        <w:tblPrEx>
          <w:tblCellMar>
            <w:top w:w="0" w:type="dxa"/>
            <w:left w:w="0" w:type="dxa"/>
            <w:bottom w:w="0" w:type="dxa"/>
            <w:right w:w="0" w:type="dxa"/>
          </w:tblCellMar>
        </w:tblPrEx>
        <w:trPr>
          <w:trHeight w:val="375"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2016年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3,008.35</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298.00</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2,710.35</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9.91%</w:t>
            </w:r>
          </w:p>
        </w:tc>
      </w:tr>
      <w:tr>
        <w:tblPrEx>
          <w:tblCellMar>
            <w:top w:w="0" w:type="dxa"/>
            <w:left w:w="0" w:type="dxa"/>
            <w:bottom w:w="0" w:type="dxa"/>
            <w:right w:w="0" w:type="dxa"/>
          </w:tblCellMar>
        </w:tblPrEx>
        <w:trPr>
          <w:trHeight w:val="90"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2017年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3,008.35</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1,335.86</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1,672.49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44.41%</w:t>
            </w:r>
          </w:p>
        </w:tc>
      </w:tr>
      <w:tr>
        <w:tblPrEx>
          <w:tblCellMar>
            <w:top w:w="0" w:type="dxa"/>
            <w:left w:w="0" w:type="dxa"/>
            <w:bottom w:w="0" w:type="dxa"/>
            <w:right w:w="0" w:type="dxa"/>
          </w:tblCellMar>
        </w:tblPrEx>
        <w:trPr>
          <w:trHeight w:val="375"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4,008.35</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3,823.47</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184.88</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95.39%</w:t>
            </w:r>
          </w:p>
        </w:tc>
      </w:tr>
      <w:tr>
        <w:tblPrEx>
          <w:tblCellMar>
            <w:top w:w="0" w:type="dxa"/>
            <w:left w:w="0" w:type="dxa"/>
            <w:bottom w:w="0" w:type="dxa"/>
            <w:right w:w="0" w:type="dxa"/>
          </w:tblCellMar>
        </w:tblPrEx>
        <w:trPr>
          <w:trHeight w:val="375" w:hRule="atLeast"/>
          <w:jc w:val="center"/>
        </w:trPr>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210" w:leftChars="10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2019年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7,008.35</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6,511.28</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497.07</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105" w:rightChars="50"/>
              <w:jc w:val="righ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92.91%</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560" w:firstLineChars="200"/>
        <w:textAlignment w:val="auto"/>
        <w:rPr>
          <w:rFonts w:hint="default" w:ascii="仿宋" w:hAnsi="仿宋" w:eastAsia="仿宋"/>
          <w:sz w:val="28"/>
          <w:szCs w:val="28"/>
          <w:lang w:val="en-US"/>
        </w:rPr>
      </w:pPr>
      <w:r>
        <w:rPr>
          <w:rFonts w:hint="eastAsia" w:ascii="仿宋" w:hAnsi="仿宋" w:eastAsia="仿宋"/>
          <w:sz w:val="28"/>
          <w:szCs w:val="28"/>
          <w:lang w:val="en-US" w:eastAsia="zh-CN"/>
        </w:rPr>
        <w:t>资金使用合规性方面，本项目预算支出</w:t>
      </w:r>
      <w:r>
        <w:rPr>
          <w:rFonts w:hint="eastAsia" w:ascii="仿宋" w:hAnsi="仿宋" w:eastAsia="仿宋"/>
          <w:sz w:val="28"/>
          <w:szCs w:val="28"/>
        </w:rPr>
        <w:t>基本符合国家财经法规和财务管理制度</w:t>
      </w:r>
      <w:r>
        <w:rPr>
          <w:rFonts w:hint="eastAsia" w:ascii="仿宋" w:hAnsi="仿宋" w:eastAsia="仿宋"/>
          <w:sz w:val="28"/>
          <w:szCs w:val="28"/>
          <w:lang w:eastAsia="zh-CN"/>
        </w:rPr>
        <w:t>，</w:t>
      </w:r>
      <w:r>
        <w:rPr>
          <w:rFonts w:hint="eastAsia" w:ascii="仿宋" w:hAnsi="仿宋" w:eastAsia="仿宋"/>
          <w:sz w:val="28"/>
          <w:szCs w:val="28"/>
        </w:rPr>
        <w:t>资金的拨付有审批程序和手续</w:t>
      </w:r>
      <w:r>
        <w:rPr>
          <w:rFonts w:hint="eastAsia" w:ascii="仿宋" w:hAnsi="仿宋" w:eastAsia="仿宋"/>
          <w:sz w:val="28"/>
          <w:szCs w:val="28"/>
          <w:lang w:eastAsia="zh-CN"/>
        </w:rPr>
        <w:t>，</w:t>
      </w:r>
      <w:r>
        <w:rPr>
          <w:rFonts w:hint="eastAsia" w:ascii="仿宋" w:hAnsi="仿宋" w:eastAsia="仿宋"/>
          <w:sz w:val="28"/>
          <w:szCs w:val="28"/>
        </w:rPr>
        <w:t>符合预算支出预算批复或合同规定的用途。2012年</w:t>
      </w:r>
      <w:r>
        <w:rPr>
          <w:rFonts w:hint="eastAsia" w:ascii="仿宋" w:hAnsi="仿宋" w:eastAsia="仿宋"/>
          <w:sz w:val="28"/>
          <w:szCs w:val="28"/>
          <w:lang w:val="en-US" w:eastAsia="zh-CN"/>
        </w:rPr>
        <w:t>至</w:t>
      </w:r>
      <w:r>
        <w:rPr>
          <w:rFonts w:hint="eastAsia" w:ascii="仿宋" w:hAnsi="仿宋" w:eastAsia="仿宋"/>
          <w:sz w:val="28"/>
          <w:szCs w:val="28"/>
        </w:rPr>
        <w:t>2019年</w:t>
      </w:r>
      <w:r>
        <w:rPr>
          <w:rFonts w:hint="eastAsia" w:ascii="仿宋" w:hAnsi="仿宋" w:eastAsia="仿宋"/>
          <w:sz w:val="28"/>
          <w:szCs w:val="28"/>
          <w:lang w:eastAsia="zh-CN"/>
        </w:rPr>
        <w:t>，</w:t>
      </w:r>
      <w:r>
        <w:rPr>
          <w:rFonts w:hint="eastAsia" w:ascii="仿宋" w:hAnsi="仿宋" w:eastAsia="仿宋"/>
          <w:sz w:val="28"/>
          <w:szCs w:val="28"/>
          <w:lang w:val="en-US" w:eastAsia="zh-CN"/>
        </w:rPr>
        <w:t>本</w:t>
      </w:r>
      <w:r>
        <w:rPr>
          <w:rFonts w:hint="eastAsia" w:ascii="仿宋" w:hAnsi="仿宋" w:eastAsia="仿宋"/>
          <w:sz w:val="28"/>
          <w:szCs w:val="28"/>
          <w:lang w:eastAsia="zh-CN"/>
        </w:rPr>
        <w:t>项目</w:t>
      </w:r>
      <w:r>
        <w:rPr>
          <w:rFonts w:hint="eastAsia" w:ascii="仿宋" w:hAnsi="仿宋" w:eastAsia="仿宋"/>
          <w:sz w:val="28"/>
          <w:szCs w:val="28"/>
        </w:rPr>
        <w:t>实际支出6</w:t>
      </w:r>
      <w:r>
        <w:rPr>
          <w:rFonts w:hint="eastAsia" w:ascii="仿宋" w:hAnsi="仿宋" w:eastAsia="仿宋"/>
          <w:sz w:val="28"/>
          <w:szCs w:val="28"/>
          <w:lang w:val="en-US" w:eastAsia="zh-CN"/>
        </w:rPr>
        <w:t>,</w:t>
      </w:r>
      <w:r>
        <w:rPr>
          <w:rFonts w:hint="eastAsia" w:ascii="仿宋" w:hAnsi="仿宋" w:eastAsia="仿宋"/>
          <w:sz w:val="28"/>
          <w:szCs w:val="28"/>
        </w:rPr>
        <w:t>511.28万元,其中：建设项目主体工程款4</w:t>
      </w:r>
      <w:r>
        <w:rPr>
          <w:rFonts w:hint="eastAsia" w:ascii="仿宋" w:hAnsi="仿宋" w:eastAsia="仿宋"/>
          <w:sz w:val="28"/>
          <w:szCs w:val="28"/>
          <w:lang w:val="en-US" w:eastAsia="zh-CN"/>
        </w:rPr>
        <w:t>,</w:t>
      </w:r>
      <w:r>
        <w:rPr>
          <w:rFonts w:hint="eastAsia" w:ascii="仿宋" w:hAnsi="仿宋" w:eastAsia="仿宋"/>
          <w:sz w:val="28"/>
          <w:szCs w:val="28"/>
        </w:rPr>
        <w:t>066.8万元；设备购置1</w:t>
      </w:r>
      <w:r>
        <w:rPr>
          <w:rFonts w:hint="eastAsia" w:ascii="仿宋" w:hAnsi="仿宋" w:eastAsia="仿宋"/>
          <w:sz w:val="28"/>
          <w:szCs w:val="28"/>
          <w:lang w:val="en-US" w:eastAsia="zh-CN"/>
        </w:rPr>
        <w:t>,</w:t>
      </w:r>
      <w:r>
        <w:rPr>
          <w:rFonts w:hint="eastAsia" w:ascii="仿宋" w:hAnsi="仿宋" w:eastAsia="仿宋"/>
          <w:sz w:val="28"/>
          <w:szCs w:val="28"/>
        </w:rPr>
        <w:t>301万元；征地费630万元；配套设施（水电气）234.74万元；安全文明费94.62万元；设计费79.8万元；监理费33.06万元 ；检测费31.7</w:t>
      </w:r>
      <w:r>
        <w:rPr>
          <w:rFonts w:hint="eastAsia" w:ascii="仿宋" w:hAnsi="仿宋" w:eastAsia="仿宋"/>
          <w:sz w:val="28"/>
          <w:szCs w:val="28"/>
          <w:lang w:val="en-US" w:eastAsia="zh-CN"/>
        </w:rPr>
        <w:t>万元</w:t>
      </w:r>
      <w:r>
        <w:rPr>
          <w:rFonts w:hint="eastAsia" w:ascii="仿宋" w:hAnsi="仿宋" w:eastAsia="仿宋"/>
          <w:sz w:val="28"/>
          <w:szCs w:val="28"/>
        </w:rPr>
        <w:t>；咨询、造价费25.22万元；其他费14.34万元。但是</w:t>
      </w:r>
      <w:r>
        <w:rPr>
          <w:rFonts w:hint="eastAsia" w:ascii="仿宋" w:hAnsi="仿宋" w:eastAsia="仿宋"/>
          <w:sz w:val="28"/>
          <w:szCs w:val="28"/>
          <w:lang w:val="en-US" w:eastAsia="zh-CN"/>
        </w:rPr>
        <w:t>资金管理</w:t>
      </w:r>
      <w:r>
        <w:rPr>
          <w:rFonts w:hint="eastAsia" w:ascii="仿宋" w:hAnsi="仿宋" w:eastAsia="仿宋"/>
          <w:sz w:val="28"/>
          <w:szCs w:val="28"/>
        </w:rPr>
        <w:t>存在</w:t>
      </w:r>
      <w:r>
        <w:rPr>
          <w:rFonts w:hint="eastAsia" w:ascii="仿宋" w:hAnsi="仿宋" w:eastAsia="仿宋"/>
          <w:sz w:val="28"/>
          <w:szCs w:val="28"/>
          <w:lang w:val="en-US" w:eastAsia="zh-CN"/>
        </w:rPr>
        <w:t>专项资金账务管理与核算不到位、</w:t>
      </w:r>
      <w:r>
        <w:rPr>
          <w:rFonts w:hint="eastAsia" w:ascii="仿宋" w:hAnsi="仿宋" w:eastAsia="仿宋"/>
          <w:sz w:val="28"/>
          <w:szCs w:val="28"/>
        </w:rPr>
        <w:t>备用金</w:t>
      </w:r>
      <w:r>
        <w:rPr>
          <w:rFonts w:hint="eastAsia" w:ascii="仿宋" w:hAnsi="仿宋" w:eastAsia="仿宋"/>
          <w:sz w:val="28"/>
          <w:szCs w:val="28"/>
          <w:lang w:val="en-US" w:eastAsia="zh-CN"/>
        </w:rPr>
        <w:t>使用不合规、部分年度预算执行率低、违规购买理财产品、项目主体工程款支付比率过高等问题。</w:t>
      </w: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textAlignment w:val="auto"/>
        <w:rPr>
          <w:rFonts w:hint="eastAsia" w:ascii="仿宋" w:hAnsi="仿宋" w:eastAsia="仿宋"/>
          <w:b/>
          <w:bCs/>
          <w:sz w:val="28"/>
          <w:szCs w:val="28"/>
        </w:rPr>
      </w:pPr>
      <w:r>
        <w:rPr>
          <w:rFonts w:hint="eastAsia" w:ascii="仿宋" w:hAnsi="仿宋" w:eastAsia="仿宋"/>
          <w:b/>
          <w:bCs/>
          <w:sz w:val="28"/>
          <w:szCs w:val="28"/>
          <w:lang w:val="en-US" w:eastAsia="zh-CN"/>
        </w:rPr>
        <w:t>（2）项目</w:t>
      </w:r>
      <w:r>
        <w:rPr>
          <w:rFonts w:hint="eastAsia" w:ascii="仿宋" w:hAnsi="仿宋" w:eastAsia="仿宋"/>
          <w:b/>
          <w:bCs/>
          <w:sz w:val="28"/>
          <w:szCs w:val="28"/>
        </w:rPr>
        <w:t>组织实施</w:t>
      </w:r>
      <w:r>
        <w:rPr>
          <w:rFonts w:hint="eastAsia" w:ascii="仿宋" w:hAnsi="仿宋" w:eastAsia="仿宋"/>
          <w:b/>
          <w:bCs/>
          <w:sz w:val="28"/>
          <w:szCs w:val="28"/>
          <w:lang w:val="en-US" w:eastAsia="zh-CN"/>
        </w:rPr>
        <w:t>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1）项目管理机制的健全性，包含监理、工程变更、验收、合同制度、项目实施办法等。</w:t>
      </w:r>
    </w:p>
    <w:p>
      <w:pPr>
        <w:keepNext w:val="0"/>
        <w:keepLines w:val="0"/>
        <w:pageBreakBefore w:val="0"/>
        <w:kinsoku/>
        <w:wordWrap/>
        <w:overflowPunct/>
        <w:topLinePunct w:val="0"/>
        <w:autoSpaceDE/>
        <w:autoSpaceDN/>
        <w:bidi w:val="0"/>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经核实，一是施工总包、监理单位、土石方工程项目等事项的招标、政府采购程序符合相关规定，招标结果公正；二是项目的监理机制比较完善，制定了合理的监理规划、监理实施细则、监理方案、监理旁站方案等标准规范；三是业务综合用房工程变更内容包括地下室扩建、桩基础变更、室内平面功能布局变更、庭院园林绿化建设、气体灭火系统变更，增加造价约1,419万元（未经财政投资评审）。四是项目施工通过了工程基础桩基监理评估报告、基础质量评估报告、主体结构工程实体检测报告等环节的验收。五是项目的合同管理机制比较健全。存在不足的是项目管理制度不够健全、档案资料不够完整。如建设方监理月报不完整等。</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2）项目建设的合规性分析，包括建设、招标、政府采购和基建投资评审程序的合规性。</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经核实，业务综合用房经过发改部门的立项批复，项目建设基本合规，招标、政府采购程序符合相关规定，招标结果公正。如2016年初，通过公开招标，经评标委员会认真评定、媒体公示评审结果并报主管部门备案，确定湖南省衡州建设有限公司为中标人。但项目工程变更程序</w:t>
      </w:r>
      <w:r>
        <w:rPr>
          <w:rFonts w:hint="eastAsia" w:ascii="仿宋" w:hAnsi="仿宋" w:eastAsia="仿宋"/>
          <w:sz w:val="28"/>
          <w:szCs w:val="28"/>
          <w:u w:val="none"/>
          <w:lang w:val="en-US" w:eastAsia="zh-CN"/>
        </w:rPr>
        <w:t>有</w:t>
      </w:r>
      <w:r>
        <w:rPr>
          <w:rFonts w:hint="eastAsia" w:ascii="仿宋" w:hAnsi="仿宋" w:eastAsia="仿宋"/>
          <w:sz w:val="28"/>
          <w:szCs w:val="28"/>
          <w:lang w:val="en-US" w:eastAsia="zh-CN"/>
        </w:rPr>
        <w:t>不符合岳政办发[2011]7号《南岳区工程变更管理暂行办法》（试行）、岳政办发[2017]41号《南岳区工程变更管理暂行办法》有关规定，单位未完全按规定程序办理工程变更手续就实施了变更的施工。</w:t>
      </w:r>
    </w:p>
    <w:p>
      <w:pPr>
        <w:keepNext w:val="0"/>
        <w:keepLines w:val="0"/>
        <w:pageBreakBefore w:val="0"/>
        <w:kinsoku/>
        <w:wordWrap/>
        <w:overflowPunct/>
        <w:topLinePunct w:val="0"/>
        <w:autoSpaceDE/>
        <w:autoSpaceDN/>
        <w:bidi w:val="0"/>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3）工程监理规范性分析</w:t>
      </w:r>
    </w:p>
    <w:p>
      <w:pPr>
        <w:keepNext w:val="0"/>
        <w:keepLines w:val="0"/>
        <w:pageBreakBefore w:val="0"/>
        <w:kinsoku/>
        <w:wordWrap/>
        <w:overflowPunct/>
        <w:topLinePunct w:val="0"/>
        <w:autoSpaceDE/>
        <w:autoSpaceDN/>
        <w:bidi w:val="0"/>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经核实，监理方基本能够按照规范要求定期参与或主持召开施工专题会议、月度监理例会，按期出具分部质量评估报告、监理月报和监理日志等，通过旁站、巡视、见证取样、平行检查、对重大危险源的跟踪观察、分项工程检查，检查施工现场有无安全事故，工程质量是否符合要求，工程进度是否滞后。但监理政策的执行有效性存在不足，如抽查发现施工期间部分监理月报未加盖监理方公章等。</w:t>
      </w:r>
    </w:p>
    <w:p>
      <w:pPr>
        <w:keepNext w:val="0"/>
        <w:keepLines w:val="0"/>
        <w:pageBreakBefore w:val="0"/>
        <w:kinsoku/>
        <w:wordWrap/>
        <w:overflowPunct/>
        <w:topLinePunct w:val="0"/>
        <w:autoSpaceDE/>
        <w:autoSpaceDN/>
        <w:bidi w:val="0"/>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4）工程变更合理性分析</w:t>
      </w:r>
    </w:p>
    <w:p>
      <w:pPr>
        <w:keepNext w:val="0"/>
        <w:keepLines w:val="0"/>
        <w:pageBreakBefore w:val="0"/>
        <w:kinsoku/>
        <w:wordWrap/>
        <w:overflowPunct/>
        <w:topLinePunct w:val="0"/>
        <w:autoSpaceDE/>
        <w:autoSpaceDN/>
        <w:bidi w:val="0"/>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本项目大部分工程变更的原因比较合理，如</w:t>
      </w:r>
      <w:r>
        <w:rPr>
          <w:rFonts w:hint="default" w:ascii="仿宋" w:hAnsi="仿宋" w:eastAsia="仿宋"/>
          <w:sz w:val="28"/>
          <w:szCs w:val="28"/>
          <w:lang w:val="en-US" w:eastAsia="zh-CN"/>
        </w:rPr>
        <w:t>项目建设期主材价格大幅上涨、政策调整、地质条件发生重大变化和自然灾害等不可抗力因素等原因</w:t>
      </w:r>
      <w:r>
        <w:rPr>
          <w:rFonts w:hint="eastAsia" w:ascii="仿宋" w:hAnsi="仿宋" w:eastAsia="仿宋"/>
          <w:sz w:val="28"/>
          <w:szCs w:val="28"/>
          <w:lang w:val="en-US" w:eastAsia="zh-CN"/>
        </w:rPr>
        <w:t>，如桩基础变更、增加桩基钢护套和冲击桩等。但也存在工程变更决策不科学所导致的重复工程变更的情况，如一楼会议室工程变更重复了两次。</w:t>
      </w:r>
    </w:p>
    <w:p>
      <w:pPr>
        <w:keepNext w:val="0"/>
        <w:keepLines w:val="0"/>
        <w:pageBreakBefore w:val="0"/>
        <w:kinsoku/>
        <w:wordWrap/>
        <w:overflowPunct/>
        <w:topLinePunct w:val="0"/>
        <w:autoSpaceDE/>
        <w:autoSpaceDN/>
        <w:bidi w:val="0"/>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5）合同执行情况分析</w:t>
      </w:r>
    </w:p>
    <w:p>
      <w:pPr>
        <w:keepNext w:val="0"/>
        <w:keepLines w:val="0"/>
        <w:pageBreakBefore w:val="0"/>
        <w:widowControl w:val="0"/>
        <w:numPr>
          <w:ilvl w:val="0"/>
          <w:numId w:val="0"/>
        </w:numPr>
        <w:kinsoku/>
        <w:wordWrap/>
        <w:overflowPunct/>
        <w:topLinePunct w:val="0"/>
        <w:autoSpaceDE/>
        <w:autoSpaceDN/>
        <w:bidi w:val="0"/>
        <w:adjustRightInd/>
        <w:snapToGrid/>
        <w:ind w:right="105" w:rightChars="50"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经核实，财政</w:t>
      </w:r>
      <w:r>
        <w:rPr>
          <w:rFonts w:hint="eastAsia" w:ascii="仿宋" w:hAnsi="仿宋" w:eastAsia="仿宋" w:cs="仿宋"/>
          <w:sz w:val="28"/>
          <w:szCs w:val="28"/>
          <w:lang w:val="en-US" w:eastAsia="zh-CN"/>
        </w:rPr>
        <w:t>至2020年1月止</w:t>
      </w:r>
      <w:r>
        <w:rPr>
          <w:rFonts w:hint="eastAsia" w:ascii="仿宋" w:hAnsi="仿宋" w:eastAsia="仿宋"/>
          <w:sz w:val="28"/>
          <w:szCs w:val="28"/>
          <w:lang w:val="en-US" w:eastAsia="zh-CN"/>
        </w:rPr>
        <w:t>已拨付金额7408.35万元，截至2020年8月，预计业务综合用房项目总支出约9411.11万元(未考虑财政投资评审及审计终审核减因素)。包括已签合同总金额7992.11万元，其中，已支付7310.67万元（含2020年1月—8月已支出799.39万元），待付681.44万元；合同之外预计1419万元，用于业务综合用房项目工程变更（未经财政投资评审中心预算审查），包括地下室扩建增加约680万元、桩基础变更增加约300万元、室内平面功能布局改变增加约415万元、庭院园林绿化建设变更减少约50万元、气体灭火系统变更增加约74万元；预计资金缺口约2,002.76万元</w:t>
      </w:r>
      <w:r>
        <w:rPr>
          <w:rFonts w:hint="eastAsia" w:ascii="仿宋" w:hAnsi="仿宋" w:eastAsia="仿宋" w:cs="仿宋"/>
          <w:sz w:val="28"/>
          <w:szCs w:val="28"/>
          <w:lang w:val="en-US" w:eastAsia="zh-CN"/>
        </w:rPr>
        <w:t>（</w:t>
      </w:r>
      <w:r>
        <w:rPr>
          <w:rFonts w:hint="eastAsia" w:ascii="仿宋" w:hAnsi="仿宋" w:eastAsia="仿宋"/>
          <w:sz w:val="28"/>
          <w:szCs w:val="28"/>
          <w:lang w:val="en-US" w:eastAsia="zh-CN"/>
        </w:rPr>
        <w:t>9411.11</w:t>
      </w:r>
      <w:r>
        <w:rPr>
          <w:rFonts w:hint="eastAsia" w:ascii="仿宋" w:hAnsi="仿宋" w:eastAsia="仿宋" w:cs="仿宋"/>
          <w:sz w:val="28"/>
          <w:szCs w:val="28"/>
          <w:lang w:val="en-US" w:eastAsia="zh-CN"/>
        </w:rPr>
        <w:t>万元-7408.35万元）</w:t>
      </w:r>
      <w:r>
        <w:rPr>
          <w:rFonts w:hint="eastAsia" w:ascii="仿宋" w:hAnsi="仿宋" w:eastAsia="仿宋"/>
          <w:sz w:val="28"/>
          <w:szCs w:val="28"/>
          <w:lang w:val="en-US" w:eastAsia="zh-CN"/>
        </w:rPr>
        <w:t>；目前本项目工程主体4452万元，</w:t>
      </w:r>
      <w:r>
        <w:rPr>
          <w:rFonts w:hint="eastAsia" w:ascii="仿宋" w:hAnsi="仿宋" w:eastAsia="仿宋" w:cstheme="minorBidi"/>
          <w:b w:val="0"/>
          <w:kern w:val="2"/>
          <w:sz w:val="28"/>
          <w:szCs w:val="28"/>
          <w:lang w:val="en-US" w:eastAsia="zh-CN" w:bidi="ar-SA"/>
        </w:rPr>
        <w:t>已支付4418.12万元。</w:t>
      </w:r>
      <w:r>
        <w:rPr>
          <w:rFonts w:hint="eastAsia" w:ascii="仿宋" w:hAnsi="仿宋" w:eastAsia="仿宋"/>
          <w:sz w:val="28"/>
          <w:szCs w:val="28"/>
          <w:lang w:val="en-US" w:eastAsia="zh-CN"/>
        </w:rPr>
        <w:t>工程变更约1419万元尚未支付、尚未竣工决算评审。货物、设备类等其他约3540.11万元已交付验收，已支付2892.55万元；本项目原计划竣工日期2017年6月28日，但目前尚未完成竣工验收和竣工决算。受到项目延期的影响，部分分部分项工程未能按合同规定支付进度拨付给供应商。</w:t>
      </w:r>
    </w:p>
    <w:p>
      <w:pPr>
        <w:keepNext w:val="0"/>
        <w:keepLines w:val="0"/>
        <w:pageBreakBefore w:val="0"/>
        <w:numPr>
          <w:ilvl w:val="0"/>
          <w:numId w:val="1"/>
        </w:numPr>
        <w:tabs>
          <w:tab w:val="left" w:pos="1251"/>
        </w:tabs>
        <w:kinsoku/>
        <w:wordWrap/>
        <w:overflowPunct/>
        <w:topLinePunct w:val="0"/>
        <w:autoSpaceDE/>
        <w:autoSpaceDN/>
        <w:bidi w:val="0"/>
        <w:spacing w:line="240" w:lineRule="auto"/>
        <w:ind w:leftChars="250" w:right="105" w:rightChars="50"/>
        <w:rPr>
          <w:rFonts w:hint="eastAsia" w:ascii="仿宋_GB2312" w:hAnsi="仿宋" w:eastAsia="仿宋_GB2312"/>
          <w:b/>
          <w:sz w:val="28"/>
          <w:szCs w:val="28"/>
        </w:rPr>
      </w:pPr>
      <w:r>
        <w:rPr>
          <w:rFonts w:hint="eastAsia" w:ascii="仿宋_GB2312" w:hAnsi="仿宋" w:eastAsia="仿宋_GB2312"/>
          <w:b/>
          <w:sz w:val="28"/>
          <w:szCs w:val="28"/>
        </w:rPr>
        <w:t>产出</w:t>
      </w:r>
      <w:r>
        <w:rPr>
          <w:rFonts w:hint="eastAsia" w:ascii="仿宋_GB2312" w:hAnsi="仿宋" w:eastAsia="仿宋_GB2312"/>
          <w:b/>
          <w:sz w:val="28"/>
          <w:szCs w:val="28"/>
          <w:lang w:val="en-US" w:eastAsia="zh-CN"/>
        </w:rPr>
        <w:t>综合分析</w:t>
      </w:r>
    </w:p>
    <w:p>
      <w:pPr>
        <w:keepNext w:val="0"/>
        <w:keepLines w:val="0"/>
        <w:pageBreakBefore w:val="0"/>
        <w:kinsoku/>
        <w:wordWrap/>
        <w:overflowPunct/>
        <w:topLinePunct w:val="0"/>
        <w:autoSpaceDE/>
        <w:autoSpaceDN/>
        <w:bidi w:val="0"/>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根据项目监理规划，项目总建筑面积12678.72平方米，建筑层数地上四层，地下一层，建筑物总高度22.2米，容积率0.43，建筑密度17.54%，绿地率37.54%，设计使用寿命50年。后由于工程变更增加地下室面积1834平方米，供重大节日和重大安全保卫任务期间车辆的停放，以及为建设公安机关地下靶场提供场地。本项目尚未竣工决算和验收，项目竣工的实际建筑参数尚需经过特定的验收程序后才能确定。南岳分局于2020年1月已经进驻办公。项目的投入使用满足了公安业务可持续发展，满足“12345”政府服务热线建设的要求，满足呼叫受理和业务开展的现实需要，解决高峰期警车及部分游客停车难问题。</w:t>
      </w:r>
    </w:p>
    <w:p>
      <w:pPr>
        <w:keepNext w:val="0"/>
        <w:keepLines w:val="0"/>
        <w:pageBreakBefore w:val="0"/>
        <w:numPr>
          <w:ilvl w:val="0"/>
          <w:numId w:val="0"/>
        </w:numPr>
        <w:kinsoku/>
        <w:wordWrap/>
        <w:overflowPunct/>
        <w:topLinePunct w:val="0"/>
        <w:autoSpaceDE/>
        <w:autoSpaceDN/>
        <w:bidi w:val="0"/>
        <w:spacing w:line="240" w:lineRule="auto"/>
        <w:ind w:right="105" w:rightChars="50" w:firstLine="562" w:firstLineChars="200"/>
        <w:rPr>
          <w:rFonts w:hint="eastAsia" w:ascii="仿宋" w:hAnsi="仿宋" w:eastAsia="仿宋_GB2312"/>
          <w:sz w:val="28"/>
          <w:szCs w:val="28"/>
          <w:highlight w:val="yellow"/>
          <w:lang w:eastAsia="zh-CN"/>
        </w:rPr>
      </w:pPr>
      <w:r>
        <w:rPr>
          <w:rFonts w:hint="eastAsia" w:ascii="仿宋_GB2312" w:hAnsi="仿宋" w:eastAsia="仿宋_GB2312"/>
          <w:b/>
          <w:sz w:val="28"/>
          <w:szCs w:val="28"/>
          <w:lang w:eastAsia="zh-CN"/>
        </w:rPr>
        <w:t>（</w:t>
      </w:r>
      <w:r>
        <w:rPr>
          <w:rFonts w:hint="eastAsia" w:ascii="仿宋_GB2312" w:hAnsi="仿宋" w:eastAsia="仿宋_GB2312"/>
          <w:b/>
          <w:sz w:val="28"/>
          <w:szCs w:val="28"/>
          <w:lang w:val="en-US" w:eastAsia="zh-CN"/>
        </w:rPr>
        <w:t>4）</w:t>
      </w:r>
      <w:r>
        <w:rPr>
          <w:rFonts w:hint="eastAsia" w:ascii="仿宋_GB2312" w:hAnsi="仿宋" w:eastAsia="仿宋_GB2312"/>
          <w:b/>
          <w:sz w:val="28"/>
          <w:szCs w:val="28"/>
        </w:rPr>
        <w:t>效果</w:t>
      </w:r>
      <w:r>
        <w:rPr>
          <w:rFonts w:hint="eastAsia" w:ascii="仿宋_GB2312" w:hAnsi="仿宋" w:eastAsia="仿宋_GB2312"/>
          <w:b/>
          <w:sz w:val="28"/>
          <w:szCs w:val="28"/>
          <w:lang w:val="en-US" w:eastAsia="zh-CN"/>
        </w:rPr>
        <w:t>实现度</w:t>
      </w:r>
      <w:r>
        <w:rPr>
          <w:rFonts w:hint="eastAsia" w:ascii="仿宋_GB2312" w:hAnsi="仿宋" w:eastAsia="仿宋_GB2312"/>
          <w:b/>
          <w:sz w:val="28"/>
          <w:szCs w:val="28"/>
        </w:rPr>
        <w:t>分析</w:t>
      </w:r>
    </w:p>
    <w:p>
      <w:pPr>
        <w:keepNext w:val="0"/>
        <w:keepLines w:val="0"/>
        <w:pageBreakBefore w:val="0"/>
        <w:numPr>
          <w:ilvl w:val="0"/>
          <w:numId w:val="0"/>
        </w:numPr>
        <w:kinsoku/>
        <w:wordWrap/>
        <w:overflowPunct/>
        <w:topLinePunct w:val="0"/>
        <w:autoSpaceDE/>
        <w:autoSpaceDN/>
        <w:bidi w:val="0"/>
        <w:spacing w:line="240" w:lineRule="auto"/>
        <w:ind w:right="105" w:rightChars="5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项目的实施效果一是加强公安基础设施建设，有利于促进公安系统现代化建设进一步发展，对保障南岳区长治久安，推动经济增长，保持社会稳定都具有积极的作用；二是满足政府公共管理、公共服务方面的咨询、求助、投诉和建议需求；三是满足各方警务车及旅游车辆激增的停放需求，保障了南岳区居民及外来游客的生活井然有序。</w:t>
      </w:r>
    </w:p>
    <w:p>
      <w:pPr>
        <w:keepNext w:val="0"/>
        <w:keepLines w:val="0"/>
        <w:pageBreakBefore w:val="0"/>
        <w:kinsoku/>
        <w:wordWrap/>
        <w:overflowPunct/>
        <w:topLinePunct w:val="0"/>
        <w:autoSpaceDE/>
        <w:autoSpaceDN/>
        <w:bidi w:val="0"/>
        <w:spacing w:line="24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（5）绩效综合分析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olor w:val="0000FF"/>
          <w:sz w:val="28"/>
          <w:szCs w:val="28"/>
          <w:lang w:val="en-US" w:eastAsia="zh-CN"/>
        </w:rPr>
      </w:pPr>
      <w:r>
        <w:rPr>
          <w:rFonts w:hint="eastAsia" w:ascii="仿宋" w:hAnsi="仿宋" w:eastAsia="仿宋"/>
          <w:sz w:val="28"/>
          <w:szCs w:val="28"/>
          <w:lang w:val="en-US" w:eastAsia="zh-CN"/>
        </w:rPr>
        <w:t>综合投入、过程、产出、效果四方面资料对项目资金使</w:t>
      </w:r>
      <w:r>
        <w:rPr>
          <w:rFonts w:hint="eastAsia" w:ascii="仿宋" w:hAnsi="仿宋" w:eastAsia="仿宋"/>
          <w:sz w:val="28"/>
          <w:szCs w:val="28"/>
        </w:rPr>
        <w:t>用情况进行比较分析，评价工作组认为：</w:t>
      </w:r>
      <w:r>
        <w:rPr>
          <w:rFonts w:hint="eastAsia" w:ascii="仿宋" w:hAnsi="仿宋" w:eastAsia="仿宋" w:cs="仿宋"/>
          <w:sz w:val="28"/>
          <w:szCs w:val="28"/>
          <w:lang w:val="en-US" w:eastAsia="zh-CN"/>
        </w:rPr>
        <w:t>项目</w:t>
      </w:r>
      <w:r>
        <w:rPr>
          <w:rFonts w:hint="eastAsia" w:ascii="仿宋" w:hAnsi="仿宋" w:eastAsia="仿宋" w:cs="仿宋"/>
          <w:sz w:val="28"/>
          <w:szCs w:val="28"/>
        </w:rPr>
        <w:t>资金在投入、产出质量方面和实现效果方面表现良好</w:t>
      </w:r>
      <w:r>
        <w:rPr>
          <w:rFonts w:hint="eastAsia" w:ascii="仿宋" w:hAnsi="仿宋" w:eastAsia="仿宋" w:cs="仿宋"/>
          <w:sz w:val="28"/>
          <w:szCs w:val="28"/>
          <w:lang w:eastAsia="zh-CN"/>
        </w:rPr>
        <w:t>。</w:t>
      </w:r>
      <w:r>
        <w:rPr>
          <w:rFonts w:hint="eastAsia" w:ascii="仿宋" w:hAnsi="仿宋" w:eastAsia="仿宋" w:cs="仿宋"/>
          <w:sz w:val="28"/>
          <w:szCs w:val="28"/>
        </w:rPr>
        <w:t>需要</w:t>
      </w:r>
      <w:r>
        <w:rPr>
          <w:rFonts w:hint="eastAsia" w:ascii="仿宋" w:hAnsi="仿宋" w:eastAsia="仿宋" w:cs="仿宋"/>
          <w:sz w:val="28"/>
          <w:szCs w:val="28"/>
          <w:lang w:val="en-US" w:eastAsia="zh-CN"/>
        </w:rPr>
        <w:t>进一步</w:t>
      </w:r>
      <w:r>
        <w:rPr>
          <w:rFonts w:hint="eastAsia" w:ascii="仿宋" w:hAnsi="仿宋" w:eastAsia="仿宋" w:cs="仿宋"/>
          <w:sz w:val="28"/>
          <w:szCs w:val="28"/>
        </w:rPr>
        <w:t>完善改进的是</w:t>
      </w:r>
      <w:r>
        <w:rPr>
          <w:rFonts w:hint="eastAsia" w:ascii="仿宋" w:hAnsi="仿宋" w:eastAsia="仿宋" w:cs="仿宋"/>
          <w:sz w:val="28"/>
          <w:szCs w:val="28"/>
          <w:lang w:eastAsia="zh-CN"/>
        </w:rPr>
        <w:t>：</w:t>
      </w:r>
      <w:r>
        <w:rPr>
          <w:rFonts w:hint="eastAsia" w:ascii="仿宋" w:hAnsi="仿宋" w:eastAsia="仿宋" w:cs="仿宋"/>
          <w:sz w:val="28"/>
          <w:szCs w:val="28"/>
        </w:rPr>
        <w:t>在</w:t>
      </w:r>
      <w:r>
        <w:rPr>
          <w:rFonts w:hint="eastAsia" w:ascii="仿宋" w:hAnsi="仿宋" w:eastAsia="仿宋" w:cs="仿宋"/>
          <w:sz w:val="28"/>
          <w:szCs w:val="28"/>
          <w:lang w:val="en-US" w:eastAsia="zh-CN"/>
        </w:rPr>
        <w:t>资金及项目</w:t>
      </w:r>
      <w:r>
        <w:rPr>
          <w:rFonts w:hint="eastAsia" w:ascii="仿宋" w:hAnsi="仿宋" w:eastAsia="仿宋" w:cs="仿宋"/>
          <w:sz w:val="28"/>
          <w:szCs w:val="28"/>
        </w:rPr>
        <w:t>管理方面则相对不足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w:t>
      </w:r>
      <w:r>
        <w:rPr>
          <w:rFonts w:hint="eastAsia" w:ascii="仿宋" w:hAnsi="仿宋" w:eastAsia="仿宋"/>
          <w:sz w:val="28"/>
          <w:szCs w:val="28"/>
          <w:lang w:val="en-US" w:eastAsia="zh-CN"/>
        </w:rPr>
        <w:t>专项账务管理与核算不到位</w:t>
      </w:r>
      <w:r>
        <w:rPr>
          <w:rFonts w:hint="eastAsia" w:ascii="仿宋" w:hAnsi="仿宋" w:eastAsia="仿宋"/>
          <w:sz w:val="28"/>
          <w:szCs w:val="28"/>
          <w:lang w:eastAsia="zh-CN"/>
        </w:rPr>
        <w:t>、</w:t>
      </w:r>
      <w:r>
        <w:rPr>
          <w:rFonts w:hint="eastAsia" w:ascii="仿宋" w:hAnsi="仿宋" w:eastAsia="仿宋"/>
          <w:sz w:val="28"/>
          <w:szCs w:val="28"/>
        </w:rPr>
        <w:t>备用金</w:t>
      </w:r>
      <w:r>
        <w:rPr>
          <w:rFonts w:hint="eastAsia" w:ascii="仿宋" w:hAnsi="仿宋" w:eastAsia="仿宋"/>
          <w:sz w:val="28"/>
          <w:szCs w:val="28"/>
          <w:lang w:val="en-US" w:eastAsia="zh-CN"/>
        </w:rPr>
        <w:t>管理不规范</w:t>
      </w:r>
      <w:r>
        <w:rPr>
          <w:rFonts w:hint="eastAsia" w:ascii="仿宋" w:hAnsi="仿宋" w:eastAsia="仿宋"/>
          <w:sz w:val="28"/>
          <w:szCs w:val="28"/>
          <w:lang w:eastAsia="zh-CN"/>
        </w:rPr>
        <w:t>、</w:t>
      </w:r>
      <w:r>
        <w:rPr>
          <w:rFonts w:hint="eastAsia" w:ascii="仿宋" w:hAnsi="仿宋" w:eastAsia="仿宋"/>
          <w:sz w:val="28"/>
          <w:szCs w:val="28"/>
          <w:lang w:val="en-US" w:eastAsia="zh-CN"/>
        </w:rPr>
        <w:t>使用项目资金购买理财产品、项目管理制度不健全、项目档案资料不完整、工程变更程序不到位、项目未经验收擅自使用等问题。</w:t>
      </w:r>
    </w:p>
    <w:p>
      <w:pPr>
        <w:pStyle w:val="2"/>
        <w:keepNext/>
        <w:keepLines/>
        <w:pageBreakBefore w:val="0"/>
        <w:widowControl w:val="0"/>
        <w:kinsoku/>
        <w:wordWrap/>
        <w:overflowPunct/>
        <w:topLinePunct w:val="0"/>
        <w:autoSpaceDE/>
        <w:autoSpaceDN/>
        <w:bidi w:val="0"/>
        <w:adjustRightInd/>
        <w:snapToGrid/>
        <w:spacing w:before="180" w:after="180" w:line="240" w:lineRule="auto"/>
        <w:textAlignment w:val="auto"/>
        <w:rPr>
          <w:rFonts w:hint="eastAsia"/>
          <w:sz w:val="28"/>
          <w:szCs w:val="28"/>
          <w:lang w:val="en-US" w:eastAsia="zh-CN"/>
        </w:rPr>
      </w:pPr>
      <w:bookmarkStart w:id="13" w:name="_Toc24813"/>
      <w:bookmarkStart w:id="14" w:name="_Toc37343454"/>
      <w:r>
        <w:rPr>
          <w:rFonts w:hint="eastAsia"/>
          <w:sz w:val="28"/>
          <w:szCs w:val="28"/>
          <w:lang w:val="en-US" w:eastAsia="zh-CN"/>
        </w:rPr>
        <w:t>四、主要绩效</w:t>
      </w:r>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项目的投入使用满足了公安业务可持续发展，“12345”政府服务热线、呼叫受理和业务开展的现实需要，解决了高峰期警车及部分游客停车难问题。</w:t>
      </w:r>
      <w:r>
        <w:rPr>
          <w:rFonts w:hint="eastAsia" w:ascii="仿宋" w:hAnsi="仿宋" w:eastAsia="仿宋"/>
          <w:sz w:val="28"/>
          <w:szCs w:val="28"/>
        </w:rPr>
        <w:t>主要体现在：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一是南岳分局业务用房项目的建设改善了南岳分局业务用房及相关基础设施条件,为改善执法条件,完善侦察技术手段,提高执法水平奠定良好的基础,为建立安全和谐的社会治安环境和经济发展环境,推进南岳区的城市发展和社会经济发展提供更好的的保障；本项目建成后能充分发挥科技优势和其他高科技手段在办案中的作用,加快办案工作现代化建设步伐,提高办案效率，能较好的适应依法打击高科技犯罪和智能型犯罪的需要；本项目建成后可为南岳区社会经济发展创造更好的社会治安环境和人居环境，有利于建设和谐的现代化城市，促进南岳区经济发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二是项目的建设彻底的解决了南岳区无“12345”政府服务热线，设备不足的问题,是建设和巩固文明卫生城市必备硬件设施建设。逐步将南岳区除110以外的其他行政单位申诉举报热线全部纳入统一话务平台,市民若有涉及政府公共管理、公共服务方面的咨询、求助、投诉和建议需求,通过拨打“12345”一个号码就能解决。目前“12345”政府服务热线已经进驻业务用房开展热线受理服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三是地下停车场项目的新建有效解决了衡阳市南岳区公安局停车难的问题,尤其是节假日、黄金周等旅游高峰期引起的警务车停车位难题,项目的建设是建设和巩固文明卫生城市必备硬件设施建设,在旅游黄金周或突发紧急社会事件情况下,能满足各方警务车及旅游车量激增的停放需求,保障南岳区居民及外来游客的生活环境和停车条件,项目社会效益较好。</w:t>
      </w:r>
    </w:p>
    <w:p>
      <w:pPr>
        <w:pStyle w:val="2"/>
        <w:keepNext/>
        <w:keepLines/>
        <w:pageBreakBefore w:val="0"/>
        <w:widowControl w:val="0"/>
        <w:kinsoku/>
        <w:wordWrap/>
        <w:overflowPunct/>
        <w:topLinePunct w:val="0"/>
        <w:autoSpaceDE/>
        <w:autoSpaceDN/>
        <w:bidi w:val="0"/>
        <w:adjustRightInd/>
        <w:snapToGrid/>
        <w:spacing w:before="180" w:after="180" w:line="240" w:lineRule="auto"/>
        <w:textAlignment w:val="auto"/>
        <w:rPr>
          <w:rFonts w:hint="eastAsia"/>
          <w:sz w:val="28"/>
          <w:szCs w:val="28"/>
          <w:lang w:val="en-US" w:eastAsia="zh-CN"/>
        </w:rPr>
      </w:pPr>
      <w:bookmarkStart w:id="15" w:name="_Toc26477"/>
      <w:r>
        <w:rPr>
          <w:rFonts w:hint="eastAsia"/>
          <w:sz w:val="28"/>
          <w:szCs w:val="28"/>
          <w:lang w:val="en-US" w:eastAsia="zh-CN"/>
        </w:rPr>
        <w:t>五、存在的主要问题</w:t>
      </w:r>
      <w:bookmarkEnd w:id="15"/>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rPr>
        <w:t>评价发现，项目在资金落实、</w:t>
      </w:r>
      <w:r>
        <w:rPr>
          <w:rFonts w:hint="eastAsia" w:ascii="仿宋" w:hAnsi="仿宋" w:eastAsia="仿宋"/>
          <w:sz w:val="28"/>
          <w:szCs w:val="28"/>
          <w:lang w:val="en-US" w:eastAsia="zh-CN"/>
        </w:rPr>
        <w:t>项目</w:t>
      </w:r>
      <w:r>
        <w:rPr>
          <w:rFonts w:hint="eastAsia" w:ascii="仿宋" w:hAnsi="仿宋" w:eastAsia="仿宋"/>
          <w:sz w:val="28"/>
          <w:szCs w:val="28"/>
        </w:rPr>
        <w:t>管理等方面还存在一定的改进空间，影响项目绩效的进一步提升。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default" w:ascii="楷体" w:hAnsi="楷体" w:eastAsia="楷体" w:cs="楷体"/>
          <w:sz w:val="28"/>
          <w:szCs w:val="28"/>
          <w:lang w:val="en-US" w:eastAsia="zh-CN"/>
        </w:rPr>
      </w:pPr>
      <w:bookmarkStart w:id="16" w:name="_Toc7954"/>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一）项目决算数与项目投资估算数偏差大</w:t>
      </w:r>
      <w:bookmarkEnd w:id="16"/>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eastAsia" w:ascii="仿宋" w:hAnsi="仿宋" w:eastAsia="仿宋" w:cstheme="minorBidi"/>
          <w:b w:val="0"/>
          <w:kern w:val="2"/>
          <w:sz w:val="28"/>
          <w:szCs w:val="28"/>
          <w:lang w:val="en-US" w:eastAsia="zh-CN" w:bidi="ar-SA"/>
        </w:rPr>
      </w:pPr>
      <w:bookmarkStart w:id="17" w:name="_Toc10382"/>
      <w:bookmarkStart w:id="18" w:name="_Toc10520"/>
      <w:bookmarkStart w:id="19" w:name="_Toc31970"/>
      <w:bookmarkStart w:id="20" w:name="_Toc22032"/>
      <w:bookmarkStart w:id="21" w:name="_Toc18085"/>
      <w:bookmarkStart w:id="22" w:name="_Toc26216"/>
      <w:bookmarkStart w:id="23" w:name="_Toc27946"/>
      <w:bookmarkStart w:id="24" w:name="_Toc7704"/>
      <w:bookmarkStart w:id="25" w:name="_Toc2808"/>
      <w:r>
        <w:rPr>
          <w:rFonts w:hint="eastAsia" w:ascii="仿宋" w:hAnsi="仿宋" w:eastAsia="仿宋" w:cstheme="minorBidi"/>
          <w:b w:val="0"/>
          <w:kern w:val="2"/>
          <w:sz w:val="28"/>
          <w:szCs w:val="28"/>
          <w:lang w:val="en-US" w:eastAsia="zh-CN" w:bidi="ar-SA"/>
        </w:rPr>
        <w:t>业务综合用房项目的估算总投资5296万元，预计业务综合用房项目总支出约9411.11万元(主体工程和工程变更部分未决算评审），比可研估算金额多4,133.6万元，超出比例高达约78.1%。根据规定，初步可行性研究主要是采用近年同行业类似项目及其生产水平的类比方法，匡算项目总投资（允许误差20%左右）,可行性研究报告应按照项目建设方案确定的工程量测算项目投资，投资估算误差不应大于10%，项目效益测算以动态为主。造成偏差大的大致原因一是工期延期导致项目建设期主材、人工、设备价格上涨；二是工程变更增加造价等。例如桩基础变更增加造价约300万元，室内平面功能布局变更增加造价约415万元等。</w:t>
      </w:r>
      <w:bookmarkEnd w:id="17"/>
      <w:bookmarkEnd w:id="18"/>
      <w:bookmarkEnd w:id="19"/>
      <w:bookmarkEnd w:id="20"/>
      <w:bookmarkEnd w:id="21"/>
      <w:bookmarkEnd w:id="22"/>
      <w:bookmarkEnd w:id="23"/>
      <w:bookmarkEnd w:id="24"/>
      <w:bookmarkEnd w:id="25"/>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theme="minorBidi"/>
          <w:b/>
          <w:bCs w:val="0"/>
          <w:kern w:val="2"/>
          <w:sz w:val="28"/>
          <w:szCs w:val="28"/>
          <w:lang w:val="en-US" w:eastAsia="zh-CN" w:bidi="ar-SA"/>
        </w:rPr>
      </w:pPr>
      <w:bookmarkStart w:id="26" w:name="_Toc24698"/>
      <w:r>
        <w:rPr>
          <w:rFonts w:hint="eastAsia" w:ascii="楷体" w:hAnsi="楷体" w:eastAsia="楷体" w:cs="楷体"/>
          <w:b/>
          <w:bCs w:val="0"/>
          <w:sz w:val="28"/>
          <w:szCs w:val="28"/>
          <w:lang w:val="en-US" w:eastAsia="zh-CN"/>
        </w:rPr>
        <w:t>项目工程进度滞后，至今尚未正式竣工验收</w:t>
      </w:r>
      <w:bookmarkEnd w:id="26"/>
      <w:bookmarkStart w:id="27" w:name="_Toc5144"/>
      <w:bookmarkStart w:id="28" w:name="_Toc7234"/>
      <w:bookmarkStart w:id="29" w:name="_Toc30069"/>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1"/>
        <w:rPr>
          <w:rFonts w:hint="eastAsia" w:ascii="仿宋" w:hAnsi="仿宋" w:eastAsia="仿宋" w:cstheme="minorBidi"/>
          <w:b w:val="0"/>
          <w:kern w:val="2"/>
          <w:sz w:val="28"/>
          <w:szCs w:val="28"/>
          <w:lang w:val="en-US" w:eastAsia="zh-CN" w:bidi="ar-SA"/>
        </w:rPr>
      </w:pPr>
      <w:bookmarkStart w:id="30" w:name="_Toc9682"/>
      <w:bookmarkStart w:id="31" w:name="_Toc13736"/>
      <w:bookmarkStart w:id="32" w:name="_Toc30638"/>
      <w:r>
        <w:rPr>
          <w:rFonts w:hint="eastAsia" w:ascii="仿宋" w:hAnsi="仿宋" w:eastAsia="仿宋" w:cstheme="minorBidi"/>
          <w:b w:val="0"/>
          <w:kern w:val="2"/>
          <w:sz w:val="28"/>
          <w:szCs w:val="28"/>
          <w:lang w:val="en-US" w:eastAsia="zh-CN" w:bidi="ar-SA"/>
        </w:rPr>
        <w:t>南岳分局业务用房的可研批复时间为2011年3月，原计划建设工期2年，应于2013年2月完工；2015年12月和2016年12月又在南岳分局业务用房建设规划基础上调增了南岳区“12345”政府服务热线暨“数字衡阳”南岳区分中心信息调度指挥中心建设项目与南岳区社会应急地下停车场建设项目。根据本项目建设工程施工合同，项目计划开工日期2016年3月28日，计划竣工日期2017年6月28日。然而项目实际动工时间为2016年6月，至今尚未完成竣工验收。影响工程进度滞后的主要原因之一是工程变更情况较为频繁。例如一是</w:t>
      </w:r>
      <w:r>
        <w:rPr>
          <w:rFonts w:hint="eastAsia" w:ascii="仿宋_GB2312" w:eastAsia="仿宋_GB2312" w:hAnsiTheme="minorHAnsi" w:cstheme="minorBidi"/>
          <w:b w:val="0"/>
          <w:kern w:val="2"/>
          <w:sz w:val="28"/>
          <w:szCs w:val="28"/>
          <w:lang w:val="en-US" w:eastAsia="zh-CN" w:bidi="ar-SA"/>
        </w:rPr>
        <w:t>因可行性论证不充分，</w:t>
      </w:r>
      <w:r>
        <w:rPr>
          <w:rFonts w:hint="eastAsia" w:ascii="仿宋" w:hAnsi="仿宋" w:eastAsia="仿宋" w:cstheme="minorBidi"/>
          <w:b w:val="0"/>
          <w:kern w:val="2"/>
          <w:sz w:val="28"/>
          <w:szCs w:val="28"/>
          <w:lang w:val="en-US" w:eastAsia="zh-CN" w:bidi="ar-SA"/>
        </w:rPr>
        <w:t>导致不恰当的项目决策引发不合理设计变更，如业务用房位于一层电视电话会议室2016年9月由阶梯会议室改为平地面会议室，2018年3月又从平地面会议室改回阶梯会议室，造成重复设计变更的资源浪费现象；二是项目于2016年6月开工，2016年12月，在原工程施工设计方案的基础上，通过合理的立项程序南岳分局又调增了社会应急地下停车场建设项目</w:t>
      </w:r>
      <w:bookmarkEnd w:id="27"/>
      <w:bookmarkEnd w:id="28"/>
      <w:bookmarkEnd w:id="29"/>
      <w:r>
        <w:rPr>
          <w:rFonts w:hint="eastAsia" w:ascii="仿宋" w:hAnsi="仿宋" w:eastAsia="仿宋" w:cstheme="minorBidi"/>
          <w:b w:val="0"/>
          <w:kern w:val="2"/>
          <w:sz w:val="28"/>
          <w:szCs w:val="28"/>
          <w:lang w:val="en-US" w:eastAsia="zh-CN" w:bidi="ar-SA"/>
        </w:rPr>
        <w:t>。</w:t>
      </w:r>
      <w:bookmarkEnd w:id="30"/>
      <w:bookmarkEnd w:id="31"/>
      <w:bookmarkEnd w:id="32"/>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楷体" w:hAnsi="楷体" w:eastAsia="楷体" w:cs="楷体"/>
          <w:sz w:val="28"/>
          <w:szCs w:val="28"/>
          <w:lang w:val="en-US" w:eastAsia="zh-CN"/>
        </w:rPr>
      </w:pPr>
      <w:bookmarkStart w:id="33" w:name="_Toc217"/>
      <w:r>
        <w:rPr>
          <w:rFonts w:hint="eastAsia" w:ascii="楷体" w:hAnsi="楷体" w:eastAsia="楷体" w:cs="楷体"/>
          <w:sz w:val="28"/>
          <w:szCs w:val="28"/>
          <w:lang w:val="en-US" w:eastAsia="zh-CN"/>
        </w:rPr>
        <w:t>未经竣工验收提前使用办公用房</w:t>
      </w:r>
      <w:bookmarkEnd w:id="33"/>
      <w:bookmarkStart w:id="34" w:name="_Toc20648"/>
      <w:bookmarkStart w:id="35" w:name="_Toc16465"/>
      <w:bookmarkStart w:id="36" w:name="_Toc19660"/>
      <w:bookmarkStart w:id="37" w:name="_Toc11661"/>
      <w:bookmarkStart w:id="38" w:name="_Toc5533"/>
      <w:bookmarkStart w:id="39" w:name="_Toc22816"/>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outlineLvl w:val="1"/>
        <w:rPr>
          <w:rFonts w:hint="eastAsia"/>
          <w:sz w:val="28"/>
          <w:szCs w:val="28"/>
        </w:rPr>
      </w:pPr>
      <w:bookmarkStart w:id="40" w:name="_Toc11770"/>
      <w:bookmarkStart w:id="41" w:name="_Toc9797"/>
      <w:bookmarkStart w:id="42" w:name="_Toc21107"/>
      <w:r>
        <w:rPr>
          <w:rFonts w:hint="eastAsia" w:ascii="仿宋" w:hAnsi="仿宋" w:eastAsia="仿宋" w:cstheme="minorBidi"/>
          <w:b w:val="0"/>
          <w:kern w:val="2"/>
          <w:sz w:val="28"/>
          <w:szCs w:val="28"/>
          <w:lang w:val="en-US" w:eastAsia="zh-CN" w:bidi="ar-SA"/>
        </w:rPr>
        <w:t>目前，</w:t>
      </w:r>
      <w:r>
        <w:rPr>
          <w:rFonts w:hint="eastAsia" w:ascii="仿宋" w:hAnsi="仿宋" w:eastAsia="仿宋" w:cstheme="minorBidi"/>
          <w:b w:val="0"/>
          <w:kern w:val="2"/>
          <w:sz w:val="28"/>
          <w:szCs w:val="28"/>
          <w:u w:val="none"/>
          <w:lang w:val="en-US" w:eastAsia="zh-CN" w:bidi="ar-SA"/>
        </w:rPr>
        <w:t>报经区委、政府批准，</w:t>
      </w:r>
      <w:r>
        <w:rPr>
          <w:rFonts w:hint="eastAsia" w:ascii="仿宋" w:hAnsi="仿宋" w:eastAsia="仿宋" w:cstheme="minorBidi"/>
          <w:b w:val="0"/>
          <w:kern w:val="2"/>
          <w:sz w:val="28"/>
          <w:szCs w:val="28"/>
          <w:lang w:val="en-US" w:eastAsia="zh-CN" w:bidi="ar-SA"/>
        </w:rPr>
        <w:t>南岳分局已经进驻办公。《建筑法》第61条规定：建筑工程竣工验收合格后，方可交付使用；未经验收或者验收不合格的，不得交付使用。 业主使用该工程的时间，就是实际竣工日期。业主启用工程的行为，推定工程质量合格，免除了承包人部分质量保修责任。但承包人对地基基础工程和主体结构质量，仍承担民事责任。</w:t>
      </w:r>
      <w:bookmarkEnd w:id="34"/>
      <w:bookmarkEnd w:id="35"/>
      <w:bookmarkEnd w:id="36"/>
      <w:bookmarkEnd w:id="37"/>
      <w:bookmarkEnd w:id="38"/>
      <w:bookmarkEnd w:id="39"/>
      <w:bookmarkEnd w:id="40"/>
      <w:bookmarkEnd w:id="41"/>
      <w:bookmarkEnd w:id="42"/>
      <w:r>
        <w:rPr>
          <w:rFonts w:hint="eastAsia" w:ascii="仿宋" w:hAnsi="仿宋" w:eastAsia="仿宋" w:cstheme="minorBidi"/>
          <w:b w:val="0"/>
          <w:kern w:val="2"/>
          <w:sz w:val="28"/>
          <w:szCs w:val="28"/>
          <w:lang w:val="en-US" w:eastAsia="zh-CN" w:bidi="ar-SA"/>
        </w:rPr>
        <w:t xml:space="preserve"> </w:t>
      </w:r>
      <w:r>
        <w:rPr>
          <w:rFonts w:hint="eastAsia"/>
          <w:sz w:val="28"/>
          <w:szCs w:val="28"/>
        </w:rPr>
        <w:t xml:space="preserve"> </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仿宋" w:hAnsi="仿宋" w:eastAsia="仿宋"/>
          <w:sz w:val="28"/>
          <w:szCs w:val="28"/>
          <w:lang w:val="en-US" w:eastAsia="zh-CN"/>
        </w:rPr>
      </w:pPr>
      <w:bookmarkStart w:id="43" w:name="_Toc18952"/>
      <w:r>
        <w:rPr>
          <w:rFonts w:hint="eastAsia" w:ascii="楷体" w:hAnsi="楷体" w:eastAsia="楷体" w:cs="楷体"/>
          <w:sz w:val="28"/>
          <w:szCs w:val="28"/>
          <w:lang w:val="en-US" w:eastAsia="zh-CN"/>
        </w:rPr>
        <w:t>未经完整工程变更程序就实施变更施工</w:t>
      </w:r>
      <w:bookmarkEnd w:id="43"/>
    </w:p>
    <w:p>
      <w:pPr>
        <w:keepNext w:val="0"/>
        <w:keepLines w:val="0"/>
        <w:pageBreakBefore w:val="0"/>
        <w:widowControl w:val="0"/>
        <w:numPr>
          <w:ilvl w:val="0"/>
          <w:numId w:val="0"/>
        </w:numPr>
        <w:kinsoku/>
        <w:wordWrap/>
        <w:overflowPunct/>
        <w:topLinePunct w:val="0"/>
        <w:autoSpaceDE/>
        <w:autoSpaceDN/>
        <w:bidi w:val="0"/>
        <w:adjustRightInd/>
        <w:snapToGrid/>
        <w:ind w:right="105" w:rightChars="0" w:firstLine="560" w:firstLineChars="200"/>
        <w:textAlignment w:val="auto"/>
        <w:rPr>
          <w:rFonts w:hint="eastAsia" w:ascii="仿宋" w:hAnsi="仿宋" w:eastAsia="仿宋" w:cstheme="minorBidi"/>
          <w:b w:val="0"/>
          <w:kern w:val="2"/>
          <w:sz w:val="28"/>
          <w:szCs w:val="28"/>
          <w:u w:val="none"/>
          <w:lang w:val="en-US" w:eastAsia="zh-CN" w:bidi="ar-SA"/>
        </w:rPr>
      </w:pPr>
      <w:bookmarkStart w:id="44" w:name="_Toc7040"/>
      <w:r>
        <w:rPr>
          <w:rFonts w:hint="eastAsia" w:ascii="仿宋" w:hAnsi="仿宋" w:eastAsia="仿宋" w:cstheme="minorBidi"/>
          <w:b w:val="0"/>
          <w:kern w:val="2"/>
          <w:sz w:val="28"/>
          <w:szCs w:val="28"/>
          <w:lang w:val="en-US" w:eastAsia="zh-CN" w:bidi="ar-SA"/>
        </w:rPr>
        <w:t>2016年，本项目开始施工。在打桩施工过程中，建设单位发现需要变更。根据当时适用的岳政办发[2011]7号《南岳区工程变更管理暂行办法》（试行）有关规定，一是</w:t>
      </w:r>
      <w:r>
        <w:rPr>
          <w:rFonts w:hint="eastAsia" w:ascii="仿宋" w:hAnsi="仿宋" w:eastAsia="仿宋" w:cstheme="minorBidi"/>
          <w:b w:val="0"/>
          <w:kern w:val="2"/>
          <w:sz w:val="28"/>
          <w:szCs w:val="28"/>
          <w:u w:val="none"/>
          <w:lang w:val="en-US" w:eastAsia="zh-CN" w:bidi="ar-SA"/>
        </w:rPr>
        <w:t>建设单位于2016年分别向政府书面申请了增加1834平方米地下室面积以及桩基施工增加钢护筒的</w:t>
      </w:r>
      <w:r>
        <w:rPr>
          <w:rFonts w:hint="default" w:ascii="仿宋" w:hAnsi="仿宋" w:eastAsia="仿宋" w:cstheme="minorBidi"/>
          <w:b w:val="0"/>
          <w:kern w:val="2"/>
          <w:sz w:val="28"/>
          <w:szCs w:val="28"/>
          <w:u w:val="none"/>
          <w:lang w:val="en-US" w:eastAsia="zh-CN" w:bidi="ar-SA"/>
        </w:rPr>
        <w:t>单项变更</w:t>
      </w:r>
      <w:r>
        <w:rPr>
          <w:rFonts w:hint="eastAsia" w:ascii="仿宋" w:hAnsi="仿宋" w:eastAsia="仿宋" w:cstheme="minorBidi"/>
          <w:b w:val="0"/>
          <w:kern w:val="2"/>
          <w:sz w:val="28"/>
          <w:szCs w:val="28"/>
          <w:u w:val="none"/>
          <w:lang w:val="en-US" w:eastAsia="zh-CN" w:bidi="ar-SA"/>
        </w:rPr>
        <w:t>（增加造价分别约为680万元、150万元）的联合会审事项，区主要领导作出</w:t>
      </w:r>
      <w:r>
        <w:rPr>
          <w:rFonts w:hint="default" w:ascii="仿宋" w:hAnsi="仿宋" w:eastAsia="仿宋" w:cstheme="minorBidi"/>
          <w:b w:val="0"/>
          <w:kern w:val="2"/>
          <w:sz w:val="28"/>
          <w:szCs w:val="28"/>
          <w:u w:val="none"/>
          <w:lang w:val="en-US" w:eastAsia="zh-CN" w:bidi="ar-SA"/>
        </w:rPr>
        <w:t>”</w:t>
      </w:r>
      <w:r>
        <w:rPr>
          <w:rFonts w:hint="eastAsia" w:ascii="仿宋" w:hAnsi="仿宋" w:eastAsia="仿宋" w:cstheme="minorBidi"/>
          <w:b w:val="0"/>
          <w:kern w:val="2"/>
          <w:sz w:val="28"/>
          <w:szCs w:val="28"/>
          <w:u w:val="none"/>
          <w:lang w:val="en-US" w:eastAsia="zh-CN" w:bidi="ar-SA"/>
        </w:rPr>
        <w:t>请严格依法依规联合会审</w:t>
      </w:r>
      <w:r>
        <w:rPr>
          <w:rFonts w:hint="default" w:ascii="仿宋" w:hAnsi="仿宋" w:eastAsia="仿宋" w:cstheme="minorBidi"/>
          <w:b w:val="0"/>
          <w:kern w:val="2"/>
          <w:sz w:val="28"/>
          <w:szCs w:val="28"/>
          <w:u w:val="none"/>
          <w:lang w:val="en-US" w:eastAsia="zh-CN" w:bidi="ar-SA"/>
        </w:rPr>
        <w:t>”</w:t>
      </w:r>
      <w:r>
        <w:rPr>
          <w:rFonts w:hint="eastAsia" w:ascii="仿宋" w:hAnsi="仿宋" w:eastAsia="仿宋" w:cstheme="minorBidi"/>
          <w:b w:val="0"/>
          <w:kern w:val="2"/>
          <w:sz w:val="28"/>
          <w:szCs w:val="28"/>
          <w:u w:val="none"/>
          <w:lang w:val="en-US" w:eastAsia="zh-CN" w:bidi="ar-SA"/>
        </w:rPr>
        <w:t>的批示后转给联合会审机构，南岳区财政局接到区领导批示后通过内部审批流程于2017年1月指定评审中心工作人员准备组织联合会审和预算评审。其中：</w:t>
      </w:r>
      <w:r>
        <w:rPr>
          <w:rFonts w:hint="default" w:ascii="Calibri" w:hAnsi="Calibri" w:eastAsia="仿宋" w:cs="Calibri"/>
          <w:b w:val="0"/>
          <w:kern w:val="2"/>
          <w:sz w:val="28"/>
          <w:szCs w:val="28"/>
          <w:u w:val="none"/>
          <w:lang w:val="en-US" w:eastAsia="zh-CN" w:bidi="ar-SA"/>
        </w:rPr>
        <w:t>①</w:t>
      </w:r>
      <w:r>
        <w:rPr>
          <w:rFonts w:hint="eastAsia" w:ascii="仿宋" w:hAnsi="仿宋" w:eastAsia="仿宋" w:cstheme="minorBidi"/>
          <w:b w:val="0"/>
          <w:kern w:val="2"/>
          <w:sz w:val="28"/>
          <w:szCs w:val="28"/>
          <w:u w:val="none"/>
          <w:lang w:val="en-US" w:eastAsia="zh-CN" w:bidi="ar-SA"/>
        </w:rPr>
        <w:t>桩基础增加钢护筒的变更工程前一段因建设单位未及时送工程变更内容预算和变更图纸到财政投资评审中心（时任局长不听单位相关人员提出的“应按规定走完变更程序才能实施变更施工”的正确意见，而</w:t>
      </w:r>
      <w:r>
        <w:rPr>
          <w:rFonts w:hint="eastAsia" w:ascii="仿宋" w:hAnsi="仿宋" w:eastAsia="仿宋" w:cstheme="minorBidi"/>
          <w:b w:val="0"/>
          <w:i w:val="0"/>
          <w:iCs w:val="0"/>
          <w:kern w:val="2"/>
          <w:sz w:val="28"/>
          <w:szCs w:val="28"/>
          <w:u w:val="none"/>
          <w:lang w:val="en-US" w:eastAsia="zh-CN" w:bidi="ar-SA"/>
        </w:rPr>
        <w:t>指示加快工程进度先行施工，</w:t>
      </w:r>
      <w:r>
        <w:rPr>
          <w:rFonts w:hint="eastAsia" w:ascii="仿宋" w:hAnsi="仿宋" w:eastAsia="仿宋" w:cstheme="minorBidi"/>
          <w:b w:val="0"/>
          <w:kern w:val="2"/>
          <w:sz w:val="28"/>
          <w:szCs w:val="28"/>
          <w:u w:val="none"/>
          <w:lang w:val="en-US" w:eastAsia="zh-CN" w:bidi="ar-SA"/>
        </w:rPr>
        <w:t>导致出现该局相关人员即使提出并督促施工方及时提交变更预算等资料，施工方而不及时提交的现象），致使评审中心无法组织相关职能部门进行工程变更会审并出具会审意见。后来建设单位将资料送来，财政投资评审中心于2017年1月受理准备组织变更会审时，发现单位变更工程已经实施，财评中心依据文件要求，就没有组织联合会审成员单位开会和预算评审了；</w:t>
      </w:r>
      <w:r>
        <w:rPr>
          <w:rFonts w:hint="default" w:ascii="Calibri" w:hAnsi="Calibri" w:eastAsia="仿宋" w:cs="Calibri"/>
          <w:b w:val="0"/>
          <w:kern w:val="2"/>
          <w:sz w:val="28"/>
          <w:szCs w:val="28"/>
          <w:u w:val="none"/>
          <w:lang w:val="en-US" w:eastAsia="zh-CN" w:bidi="ar-SA"/>
        </w:rPr>
        <w:t>②</w:t>
      </w:r>
      <w:r>
        <w:rPr>
          <w:rFonts w:hint="eastAsia" w:ascii="仿宋" w:hAnsi="仿宋" w:eastAsia="仿宋" w:cstheme="minorBidi"/>
          <w:b w:val="0"/>
          <w:kern w:val="2"/>
          <w:sz w:val="28"/>
          <w:szCs w:val="28"/>
          <w:u w:val="none"/>
          <w:lang w:val="en-US" w:eastAsia="zh-CN" w:bidi="ar-SA"/>
        </w:rPr>
        <w:t>地下室变更工程情况有所不同的是，2016年底前后，市巡查办“对南岳区以前存在未严格按程序变更的做法，要求立行立改”的巡查整改意见出台，区工程变更联合会审出现机制变更，导致当时财政组织相关成员单位来参加评审，一家组织不起来。在这种情况下，区工程变更管理办公室成员单位和工程变更管理文件均需变更和修订。被评价单位时任局长（兼副区长）怕耽误工期就指示边施工边办手续,2017年4月,地下室扩建工程开始施工。到2017年7月12日区里出台新的《南岳区工程变更管理暂行办法》（岳政办发[2017]41号），并于当日生效。该局于2017年9月8日对地下室变更工程再次向政府申请变更并呈送审批表，2018年3月3日经区主要领导作出“请严格依法依规组织变更”的批示后，走相关变更程序。随后，区财政局作为变更管理办公室牵头单位，发现项目建设单位由于项目进度要求已经逐步实施施工，就依据文件要求，没有组织联合会审和预算评审了。</w:t>
      </w:r>
      <w:r>
        <w:rPr>
          <w:rFonts w:hint="eastAsia" w:ascii="仿宋" w:hAnsi="仿宋" w:eastAsia="仿宋" w:cstheme="minorBidi"/>
          <w:b w:val="0"/>
          <w:kern w:val="2"/>
          <w:sz w:val="28"/>
          <w:szCs w:val="28"/>
          <w:lang w:val="en-US" w:eastAsia="zh-CN" w:bidi="ar-SA"/>
        </w:rPr>
        <w:t>二是桩基础变更为冲击桩、增加室内装修这两个</w:t>
      </w:r>
      <w:r>
        <w:rPr>
          <w:rFonts w:hint="default" w:ascii="仿宋" w:hAnsi="仿宋" w:eastAsia="仿宋" w:cstheme="minorBidi"/>
          <w:b w:val="0"/>
          <w:kern w:val="2"/>
          <w:sz w:val="28"/>
          <w:szCs w:val="28"/>
          <w:lang w:val="en-US" w:eastAsia="zh-CN" w:bidi="ar-SA"/>
        </w:rPr>
        <w:t>单项变更造价在</w:t>
      </w:r>
      <w:r>
        <w:rPr>
          <w:rFonts w:hint="eastAsia" w:ascii="仿宋" w:hAnsi="仿宋" w:eastAsia="仿宋" w:cstheme="minorBidi"/>
          <w:b w:val="0"/>
          <w:kern w:val="2"/>
          <w:sz w:val="28"/>
          <w:szCs w:val="28"/>
          <w:lang w:val="en-US" w:eastAsia="zh-CN" w:bidi="ar-SA"/>
        </w:rPr>
        <w:t>100</w:t>
      </w:r>
      <w:r>
        <w:rPr>
          <w:rFonts w:hint="default" w:ascii="仿宋" w:hAnsi="仿宋" w:eastAsia="仿宋" w:cstheme="minorBidi"/>
          <w:b w:val="0"/>
          <w:kern w:val="2"/>
          <w:sz w:val="28"/>
          <w:szCs w:val="28"/>
          <w:lang w:val="en-US" w:eastAsia="zh-CN" w:bidi="ar-SA"/>
        </w:rPr>
        <w:t>万元以上的</w:t>
      </w:r>
      <w:r>
        <w:rPr>
          <w:rFonts w:hint="eastAsia" w:ascii="仿宋" w:hAnsi="仿宋" w:eastAsia="仿宋" w:cstheme="minorBidi"/>
          <w:b w:val="0"/>
          <w:kern w:val="2"/>
          <w:sz w:val="28"/>
          <w:szCs w:val="28"/>
          <w:lang w:val="en-US" w:eastAsia="zh-CN" w:bidi="ar-SA"/>
        </w:rPr>
        <w:t>，增加造价共约280万元，单位未出具报告给区相关领导批准走变更程序更未报财政投资评审中心联合会审以及预算评审等程序</w:t>
      </w:r>
      <w:r>
        <w:rPr>
          <w:rFonts w:hint="default" w:ascii="仿宋" w:hAnsi="仿宋" w:eastAsia="仿宋" w:cstheme="minorBidi"/>
          <w:b w:val="0"/>
          <w:kern w:val="2"/>
          <w:sz w:val="28"/>
          <w:szCs w:val="28"/>
          <w:lang w:val="en-US" w:eastAsia="zh-CN" w:bidi="ar-SA"/>
        </w:rPr>
        <w:t>。</w:t>
      </w:r>
      <w:bookmarkEnd w:id="44"/>
      <w:r>
        <w:rPr>
          <w:rFonts w:hint="eastAsia" w:ascii="仿宋" w:hAnsi="仿宋" w:eastAsia="仿宋" w:cstheme="minorBidi"/>
          <w:b w:val="0"/>
          <w:kern w:val="2"/>
          <w:sz w:val="28"/>
          <w:szCs w:val="28"/>
          <w:lang w:val="en-US" w:eastAsia="zh-CN" w:bidi="ar-SA"/>
        </w:rPr>
        <w:t>三是其他</w:t>
      </w:r>
      <w:r>
        <w:rPr>
          <w:rFonts w:hint="default" w:ascii="仿宋" w:hAnsi="仿宋" w:eastAsia="仿宋" w:cstheme="minorBidi"/>
          <w:b w:val="0"/>
          <w:kern w:val="2"/>
          <w:sz w:val="28"/>
          <w:szCs w:val="28"/>
          <w:lang w:val="en-US" w:eastAsia="zh-CN" w:bidi="ar-SA"/>
        </w:rPr>
        <w:t>单项</w:t>
      </w:r>
      <w:r>
        <w:rPr>
          <w:rFonts w:hint="eastAsia" w:ascii="仿宋" w:hAnsi="仿宋" w:eastAsia="仿宋" w:cstheme="minorBidi"/>
          <w:b w:val="0"/>
          <w:kern w:val="2"/>
          <w:sz w:val="28"/>
          <w:szCs w:val="28"/>
          <w:lang w:val="en-US" w:eastAsia="zh-CN" w:bidi="ar-SA"/>
        </w:rPr>
        <w:t>工程</w:t>
      </w:r>
      <w:r>
        <w:rPr>
          <w:rFonts w:hint="default" w:ascii="仿宋" w:hAnsi="仿宋" w:eastAsia="仿宋" w:cstheme="minorBidi"/>
          <w:b w:val="0"/>
          <w:kern w:val="2"/>
          <w:sz w:val="28"/>
          <w:szCs w:val="28"/>
          <w:lang w:val="en-US" w:eastAsia="zh-CN" w:bidi="ar-SA"/>
        </w:rPr>
        <w:t>变更</w:t>
      </w:r>
      <w:r>
        <w:rPr>
          <w:rFonts w:hint="eastAsia" w:ascii="仿宋" w:hAnsi="仿宋" w:eastAsia="仿宋" w:cstheme="minorBidi"/>
          <w:b w:val="0"/>
          <w:kern w:val="2"/>
          <w:sz w:val="28"/>
          <w:szCs w:val="28"/>
          <w:lang w:val="en-US" w:eastAsia="zh-CN" w:bidi="ar-SA"/>
        </w:rPr>
        <w:t>，增加造价共约309万元，</w:t>
      </w:r>
      <w:r>
        <w:rPr>
          <w:rFonts w:hint="default" w:ascii="仿宋" w:hAnsi="仿宋" w:eastAsia="仿宋" w:cstheme="minorBidi"/>
          <w:b w:val="0"/>
          <w:kern w:val="2"/>
          <w:sz w:val="28"/>
          <w:szCs w:val="28"/>
          <w:lang w:val="en-US" w:eastAsia="zh-CN" w:bidi="ar-SA"/>
        </w:rPr>
        <w:t>建设单位</w:t>
      </w:r>
      <w:r>
        <w:rPr>
          <w:rFonts w:hint="eastAsia" w:ascii="仿宋" w:hAnsi="仿宋" w:eastAsia="仿宋" w:cstheme="minorBidi"/>
          <w:b w:val="0"/>
          <w:kern w:val="2"/>
          <w:sz w:val="28"/>
          <w:szCs w:val="28"/>
          <w:lang w:val="en-US" w:eastAsia="zh-CN" w:bidi="ar-SA"/>
        </w:rPr>
        <w:t>未走变更程序</w:t>
      </w:r>
      <w:r>
        <w:rPr>
          <w:rFonts w:hint="default" w:ascii="仿宋" w:hAnsi="仿宋" w:eastAsia="仿宋" w:cstheme="minorBidi"/>
          <w:b w:val="0"/>
          <w:kern w:val="2"/>
          <w:sz w:val="28"/>
          <w:szCs w:val="28"/>
          <w:lang w:val="en-US" w:eastAsia="zh-CN" w:bidi="ar-SA"/>
        </w:rPr>
        <w:t>。</w:t>
      </w:r>
      <w:r>
        <w:rPr>
          <w:rFonts w:hint="eastAsia" w:ascii="仿宋" w:hAnsi="仿宋" w:eastAsia="仿宋" w:cstheme="minorBidi"/>
          <w:b w:val="0"/>
          <w:kern w:val="2"/>
          <w:sz w:val="28"/>
          <w:szCs w:val="28"/>
          <w:lang w:val="en-US" w:eastAsia="zh-CN" w:bidi="ar-SA"/>
        </w:rPr>
        <w:t>以上第二三项，建设方曾多次提出“工程变更造价需报财政”，如2018年11月2日项目监理例会就提出过，由于</w:t>
      </w:r>
      <w:r>
        <w:rPr>
          <w:rFonts w:hint="eastAsia" w:ascii="仿宋" w:hAnsi="仿宋" w:eastAsia="仿宋" w:cstheme="minorBidi"/>
          <w:b w:val="0"/>
          <w:kern w:val="2"/>
          <w:sz w:val="28"/>
          <w:szCs w:val="28"/>
          <w:u w:val="none"/>
          <w:lang w:val="en-US" w:eastAsia="zh-CN" w:bidi="ar-SA"/>
        </w:rPr>
        <w:t>未收到施工单位工程变更预算资料，建设方也未能出具工程变更的申请报告。</w:t>
      </w:r>
    </w:p>
    <w:p>
      <w:pPr>
        <w:keepNext w:val="0"/>
        <w:keepLines w:val="0"/>
        <w:pageBreakBefore w:val="0"/>
        <w:widowControl w:val="0"/>
        <w:numPr>
          <w:ilvl w:val="0"/>
          <w:numId w:val="0"/>
        </w:numPr>
        <w:kinsoku/>
        <w:wordWrap/>
        <w:overflowPunct/>
        <w:topLinePunct w:val="0"/>
        <w:autoSpaceDE/>
        <w:autoSpaceDN/>
        <w:bidi w:val="0"/>
        <w:adjustRightInd/>
        <w:snapToGrid/>
        <w:ind w:right="105" w:rightChars="0" w:firstLine="560" w:firstLineChars="200"/>
        <w:textAlignment w:val="auto"/>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 xml:space="preserve">根据建设单位提供的工程变更统计资料，工程变更明细详见下表： </w:t>
      </w:r>
    </w:p>
    <w:p>
      <w:pPr>
        <w:keepNext w:val="0"/>
        <w:keepLines w:val="0"/>
        <w:pageBreakBefore w:val="0"/>
        <w:widowControl w:val="0"/>
        <w:numPr>
          <w:ilvl w:val="0"/>
          <w:numId w:val="0"/>
        </w:numPr>
        <w:kinsoku/>
        <w:wordWrap/>
        <w:overflowPunct/>
        <w:topLinePunct w:val="0"/>
        <w:autoSpaceDE/>
        <w:autoSpaceDN/>
        <w:bidi w:val="0"/>
        <w:adjustRightInd/>
        <w:snapToGrid/>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表5-1：南岳分局业务用房及“12345”政府服务热线指挥调度中心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设计施工变更项目增加造价汇总表</w:t>
      </w:r>
    </w:p>
    <w:tbl>
      <w:tblPr>
        <w:tblStyle w:val="1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650"/>
        <w:gridCol w:w="4515"/>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616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项目名称</w:t>
            </w:r>
          </w:p>
        </w:tc>
        <w:tc>
          <w:tcPr>
            <w:tcW w:w="1980" w:type="dxa"/>
            <w:gridSpan w:val="2"/>
            <w:vAlign w:val="center"/>
          </w:tcPr>
          <w:p>
            <w:pPr>
              <w:keepNext w:val="0"/>
              <w:keepLines w:val="0"/>
              <w:pageBreakBefore w:val="0"/>
              <w:widowControl w:val="0"/>
              <w:numPr>
                <w:ilvl w:val="0"/>
                <w:numId w:val="0"/>
              </w:numPr>
              <w:tabs>
                <w:tab w:val="left" w:pos="1002"/>
              </w:tabs>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6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地下室扩建</w:t>
            </w: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增加地下室面积1834平方米和设计出图</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680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w:t>
            </w:r>
          </w:p>
        </w:tc>
        <w:tc>
          <w:tcPr>
            <w:tcW w:w="16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桩基础变更</w:t>
            </w: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增加钢护筒</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150</w:t>
            </w:r>
          </w:p>
        </w:tc>
        <w:tc>
          <w:tcPr>
            <w:tcW w:w="9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变更为冲击桩（36根）</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firstLine="560" w:firstLineChars="200"/>
              <w:jc w:val="center"/>
              <w:textAlignment w:val="auto"/>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w:t>
            </w:r>
          </w:p>
        </w:tc>
        <w:tc>
          <w:tcPr>
            <w:tcW w:w="16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室内平面功能布局变更</w:t>
            </w: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大会议室布局变更</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9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增加砌体及粉刷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水电变更</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消防变更</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增加屋面架构层</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增加地下室金刚砂地面</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增加厨房装修</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弱电机房装修</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室外台阶贴石材</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增加屋面百叶窗</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玻璃雨棚</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室内装修增加</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外墙干挂石材增加</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w:t>
            </w:r>
          </w:p>
        </w:tc>
        <w:tc>
          <w:tcPr>
            <w:tcW w:w="16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庭院园林绿化建设变更</w:t>
            </w: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室外土方外运增加造价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9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围墙及管网增加造价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园建减少造价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种植减少造价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门卫室及门牌增加造价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25</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16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升旗台及照壁基础增加造价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9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6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气体灭火系统变更</w:t>
            </w:r>
          </w:p>
        </w:tc>
        <w:tc>
          <w:tcPr>
            <w:tcW w:w="4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设计出图</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74</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firstLine="560" w:firstLineChars="200"/>
              <w:jc w:val="center"/>
              <w:textAlignment w:val="auto"/>
              <w:rPr>
                <w:rFonts w:hint="eastAsia" w:ascii="仿宋" w:hAnsi="仿宋" w:eastAsia="仿宋" w:cstheme="minorBidi"/>
                <w:b w:val="0"/>
                <w:kern w:val="2"/>
                <w:sz w:val="28"/>
                <w:szCs w:val="28"/>
                <w:lang w:val="en-US" w:eastAsia="zh-CN" w:bidi="ar-SA"/>
              </w:rPr>
            </w:pPr>
          </w:p>
        </w:tc>
        <w:tc>
          <w:tcPr>
            <w:tcW w:w="616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4"/>
                <w:szCs w:val="24"/>
                <w:lang w:val="en-US" w:eastAsia="zh-CN" w:bidi="ar-SA"/>
              </w:rPr>
              <w:t>合计</w:t>
            </w:r>
          </w:p>
        </w:tc>
        <w:tc>
          <w:tcPr>
            <w:tcW w:w="19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center"/>
              <w:textAlignment w:val="auto"/>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4"/>
                <w:szCs w:val="24"/>
                <w:lang w:val="en-US" w:eastAsia="zh-CN" w:bidi="ar-SA"/>
              </w:rPr>
              <w:t>1419</w:t>
            </w:r>
          </w:p>
        </w:tc>
      </w:tr>
    </w:tbl>
    <w:p>
      <w:pPr>
        <w:pStyle w:val="3"/>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240" w:lineRule="auto"/>
        <w:textAlignment w:val="auto"/>
        <w:rPr>
          <w:rFonts w:hint="eastAsia" w:ascii="楷体" w:hAnsi="楷体" w:eastAsia="楷体" w:cs="楷体"/>
          <w:sz w:val="28"/>
          <w:szCs w:val="28"/>
          <w:lang w:eastAsia="zh-CN"/>
        </w:rPr>
      </w:pPr>
      <w:bookmarkStart w:id="45" w:name="_Toc17163"/>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五）</w:t>
      </w:r>
      <w:r>
        <w:rPr>
          <w:rFonts w:hint="eastAsia" w:ascii="楷体" w:hAnsi="楷体" w:eastAsia="楷体" w:cs="楷体"/>
          <w:sz w:val="28"/>
          <w:szCs w:val="28"/>
          <w:lang w:eastAsia="zh-CN"/>
        </w:rPr>
        <w:t>项目财务管理制度</w:t>
      </w:r>
      <w:r>
        <w:rPr>
          <w:rFonts w:hint="eastAsia" w:ascii="楷体" w:hAnsi="楷体" w:eastAsia="楷体" w:cs="楷体"/>
          <w:sz w:val="28"/>
          <w:szCs w:val="28"/>
          <w:lang w:val="en-US" w:eastAsia="zh-CN"/>
        </w:rPr>
        <w:t>不健全</w:t>
      </w:r>
      <w:r>
        <w:rPr>
          <w:rFonts w:hint="eastAsia" w:ascii="楷体" w:hAnsi="楷体" w:eastAsia="楷体" w:cs="楷体"/>
          <w:sz w:val="28"/>
          <w:szCs w:val="28"/>
          <w:lang w:eastAsia="zh-CN"/>
        </w:rPr>
        <w:t>，资金使用不够合规</w:t>
      </w:r>
      <w:bookmarkEnd w:id="45"/>
    </w:p>
    <w:p>
      <w:pPr>
        <w:numPr>
          <w:ilvl w:val="0"/>
          <w:numId w:val="0"/>
        </w:numPr>
        <w:ind w:right="105" w:rightChars="0" w:firstLine="560" w:firstLineChars="200"/>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一是专项资金账务管理与核算不到位。2018年到2019年的记账凭证没有装订成册，不符合会计法的要求。会计核算没有按批复项目分别列账，如南岳区公安分局结转衡财建指（2012年#1号凭证2010）519号半山亭、大庙派出所维修资金65万元，2019年财政拨入半山亭80万元（没有记账凭证编号），列入到了本项目拨款基建账户（收入未分列、支出已经分列）。注：相关文件规定须开专户核算，但因人民银行和国库管理的规定不能另开银行账户，故只能将以上资金拨到此账户。</w:t>
      </w:r>
    </w:p>
    <w:p>
      <w:pPr>
        <w:numPr>
          <w:ilvl w:val="0"/>
          <w:numId w:val="0"/>
        </w:numPr>
        <w:ind w:right="105" w:rightChars="0" w:firstLine="560" w:firstLineChars="200"/>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二是备用金管理不规范。</w:t>
      </w:r>
      <w:r>
        <w:rPr>
          <w:rFonts w:hint="eastAsia" w:ascii="仿宋" w:hAnsi="仿宋" w:eastAsia="仿宋" w:cstheme="minorBidi"/>
          <w:b w:val="0"/>
          <w:kern w:val="2"/>
          <w:sz w:val="28"/>
          <w:szCs w:val="28"/>
          <w:u w:val="none"/>
          <w:lang w:val="en-US" w:eastAsia="zh-CN" w:bidi="ar-SA"/>
        </w:rPr>
        <w:t>按公安分局时任局长安排，因工作需要，</w:t>
      </w:r>
      <w:r>
        <w:rPr>
          <w:rFonts w:hint="eastAsia" w:ascii="仿宋" w:hAnsi="仿宋" w:eastAsia="仿宋" w:cstheme="minorBidi"/>
          <w:b w:val="0"/>
          <w:kern w:val="2"/>
          <w:sz w:val="28"/>
          <w:szCs w:val="28"/>
          <w:lang w:val="en-US" w:eastAsia="zh-CN" w:bidi="ar-SA"/>
        </w:rPr>
        <w:t>通过基建专户先后分3次共提取备用金40万元，先后分2次共归还备用金40万元，具体提取归还情况：2012年12月24日提取备用金5万元，2013年12月31日提取备用金5万元，2014年8月11日提取备用金20万元,2015年1月8日归还20万，2015年5月12日提取备用金10万元，2016年12月19日归还20万元。</w:t>
      </w:r>
    </w:p>
    <w:p>
      <w:pPr>
        <w:numPr>
          <w:ilvl w:val="0"/>
          <w:numId w:val="0"/>
        </w:numPr>
        <w:ind w:right="105" w:rightChars="0" w:firstLine="560" w:firstLineChars="200"/>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三是财政资金使用效率较低。在2012年-2017年期间，本项目财政资金结余情况比较严重，预算执行率较低；利用项目财政资金结余购买银行理财产品，违反了预算法第九十三条规定，以其他方式支配财政拨款资金。</w:t>
      </w:r>
      <w:r>
        <w:rPr>
          <w:rFonts w:hint="eastAsia" w:ascii="仿宋" w:hAnsi="仿宋" w:eastAsia="仿宋" w:cstheme="minorBidi"/>
          <w:b w:val="0"/>
          <w:kern w:val="2"/>
          <w:sz w:val="28"/>
          <w:szCs w:val="28"/>
          <w:u w:val="none"/>
          <w:lang w:val="en-US" w:eastAsia="zh-CN" w:bidi="ar-SA"/>
        </w:rPr>
        <w:t>由于时任局长错误决策，未经分局党委会研究，</w:t>
      </w:r>
      <w:r>
        <w:rPr>
          <w:rFonts w:hint="eastAsia" w:ascii="仿宋" w:hAnsi="仿宋" w:eastAsia="仿宋" w:cstheme="minorBidi"/>
          <w:b w:val="0"/>
          <w:kern w:val="2"/>
          <w:sz w:val="28"/>
          <w:szCs w:val="28"/>
          <w:lang w:val="en-US" w:eastAsia="zh-CN" w:bidi="ar-SA"/>
        </w:rPr>
        <w:t xml:space="preserve">2015年至2016年，通过基建专户先后申购及赎回理财产品各11次及9次，理财资金最大余额2900万元，累计申购及赎回理财产品金额各19200万元，理财资金未受到损失，理财资金已结清无余额，总体影响了财政宏观资金安排拨付。 </w:t>
      </w:r>
    </w:p>
    <w:p>
      <w:pPr>
        <w:numPr>
          <w:ilvl w:val="0"/>
          <w:numId w:val="0"/>
        </w:numPr>
        <w:ind w:right="105" w:rightChars="0" w:firstLine="560" w:firstLineChars="200"/>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四是2015年到2016年共计理财收益44.92万元,没有上缴财政（目前仍在基建专户），违反了预算法第五十六条“政府的全部收入应当上缴国库，任何部门、单位和个人不得截留、占用、挪用或者拖欠”的规定。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lang w:val="en-US" w:eastAsia="zh-CN"/>
        </w:rPr>
      </w:pPr>
      <w:bookmarkStart w:id="46" w:name="_Toc2538"/>
      <w:r>
        <w:rPr>
          <w:rFonts w:hint="eastAsia" w:ascii="楷体" w:hAnsi="楷体" w:eastAsia="楷体" w:cs="楷体"/>
          <w:sz w:val="28"/>
          <w:szCs w:val="28"/>
          <w:lang w:val="en-US" w:eastAsia="zh-CN"/>
        </w:rPr>
        <w:t>（六）项目主体工程进度款支付率过高</w:t>
      </w:r>
      <w:bookmarkEnd w:id="46"/>
    </w:p>
    <w:p>
      <w:pPr>
        <w:numPr>
          <w:ilvl w:val="0"/>
          <w:numId w:val="0"/>
        </w:numPr>
        <w:ind w:right="105" w:rightChars="0" w:firstLine="560" w:firstLineChars="200"/>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截止2020年8月，本项目主体工程合同金额4452万元，已支付4418.12万元，待付33.88万元，支付率99.24%。若按合同2017年6月竣工验收，2年后即2019年6月可以付清全款，但项目尚未竣工验收，也未经财政投资评审就基本付清，明显违规。如财政投资评审和审计局终审需要核减，则存在多付追不回的风险。尽管工程变更部分造价约1419万元（未考虑评审核减因素）也由同一施工方承担建设，但毕竟属于未审先建的违规变更项目，根据相关规定不得支付工程款（建设单位也基本上暂未支付工程变更部分工程款）。</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default" w:ascii="楷体" w:hAnsi="楷体" w:eastAsia="楷体" w:cs="楷体"/>
          <w:sz w:val="28"/>
          <w:szCs w:val="28"/>
          <w:lang w:val="en-US" w:eastAsia="zh-CN"/>
        </w:rPr>
      </w:pPr>
      <w:bookmarkStart w:id="47" w:name="_Toc27653"/>
      <w:r>
        <w:rPr>
          <w:rFonts w:hint="eastAsia" w:ascii="楷体" w:hAnsi="楷体" w:eastAsia="楷体" w:cs="楷体"/>
          <w:sz w:val="28"/>
          <w:szCs w:val="28"/>
          <w:lang w:val="en-US" w:eastAsia="zh-CN"/>
        </w:rPr>
        <w:t>（七）项目尚未竣工验收决算，也未送审</w:t>
      </w:r>
      <w:bookmarkEnd w:id="47"/>
    </w:p>
    <w:p>
      <w:pPr>
        <w:numPr>
          <w:ilvl w:val="0"/>
          <w:numId w:val="0"/>
        </w:numPr>
        <w:ind w:right="105" w:rightChars="0" w:firstLine="560" w:firstLineChars="200"/>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2020年1月，南岳分局已进驻办公，但项目目前依然没有验收，也未办理竣工决算。工程主体4452万元、工程变更约1419万元，共计5871万元，截止2020年8月，均未送交财政投资评审中心评审。</w:t>
      </w:r>
    </w:p>
    <w:p>
      <w:pPr>
        <w:pStyle w:val="2"/>
        <w:keepNext/>
        <w:keepLines/>
        <w:pageBreakBefore w:val="0"/>
        <w:widowControl w:val="0"/>
        <w:kinsoku/>
        <w:wordWrap/>
        <w:overflowPunct/>
        <w:topLinePunct w:val="0"/>
        <w:autoSpaceDE/>
        <w:autoSpaceDN/>
        <w:bidi w:val="0"/>
        <w:adjustRightInd/>
        <w:snapToGrid/>
        <w:spacing w:before="180" w:after="180" w:line="240" w:lineRule="auto"/>
        <w:textAlignment w:val="auto"/>
        <w:rPr>
          <w:rFonts w:hint="eastAsia"/>
          <w:sz w:val="28"/>
          <w:szCs w:val="28"/>
          <w:lang w:val="en-US" w:eastAsia="zh-CN"/>
        </w:rPr>
      </w:pPr>
      <w:bookmarkStart w:id="48" w:name="_Toc31807"/>
      <w:r>
        <w:rPr>
          <w:rFonts w:hint="eastAsia"/>
          <w:sz w:val="28"/>
          <w:szCs w:val="28"/>
          <w:lang w:val="en-US" w:eastAsia="zh-CN"/>
        </w:rPr>
        <w:t>六、相关工作建议</w:t>
      </w:r>
      <w:bookmarkEnd w:id="48"/>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lang w:val="en-US" w:eastAsia="zh-CN"/>
        </w:rPr>
      </w:pPr>
      <w:bookmarkStart w:id="49" w:name="_Toc22497"/>
      <w:bookmarkStart w:id="50" w:name="_Toc37343464"/>
      <w:r>
        <w:rPr>
          <w:rFonts w:hint="eastAsia" w:ascii="楷体" w:hAnsi="楷体" w:eastAsia="楷体" w:cs="楷体"/>
          <w:sz w:val="28"/>
          <w:szCs w:val="28"/>
          <w:lang w:eastAsia="zh-CN"/>
        </w:rPr>
        <w:t>（一）</w:t>
      </w:r>
      <w:r>
        <w:rPr>
          <w:rFonts w:hint="eastAsia" w:ascii="楷体" w:hAnsi="楷体" w:eastAsia="楷体" w:cs="楷体"/>
          <w:sz w:val="28"/>
          <w:szCs w:val="28"/>
          <w:lang w:val="en-US" w:eastAsia="zh-CN"/>
        </w:rPr>
        <w:t>加强项目科学决策，规范项目程序</w:t>
      </w:r>
      <w:bookmarkEnd w:id="49"/>
      <w:bookmarkStart w:id="51" w:name="_Toc1204"/>
      <w:bookmarkStart w:id="52" w:name="_Toc14004"/>
      <w:bookmarkStart w:id="53" w:name="_Toc3917"/>
      <w:bookmarkStart w:id="54" w:name="_Toc1799"/>
      <w:bookmarkStart w:id="55" w:name="_Toc26308"/>
      <w:bookmarkStart w:id="56" w:name="_Toc11030"/>
    </w:p>
    <w:p>
      <w:pPr>
        <w:numPr>
          <w:ilvl w:val="0"/>
          <w:numId w:val="0"/>
        </w:numPr>
        <w:ind w:firstLine="560" w:firstLineChars="200"/>
        <w:rPr>
          <w:rFonts w:hint="eastAsia" w:ascii="仿宋_GB2312" w:eastAsia="仿宋_GB2312" w:cstheme="minorBidi"/>
          <w:b w:val="0"/>
          <w:kern w:val="2"/>
          <w:sz w:val="28"/>
          <w:szCs w:val="28"/>
          <w:lang w:val="en-US" w:eastAsia="zh-CN" w:bidi="ar-SA"/>
        </w:rPr>
      </w:pPr>
      <w:bookmarkStart w:id="57" w:name="_Toc17023"/>
      <w:r>
        <w:rPr>
          <w:rFonts w:hint="eastAsia" w:ascii="仿宋_GB2312" w:eastAsia="仿宋_GB2312" w:hAnsiTheme="minorHAnsi" w:cstheme="minorBidi"/>
          <w:b w:val="0"/>
          <w:kern w:val="2"/>
          <w:sz w:val="28"/>
          <w:szCs w:val="28"/>
          <w:lang w:val="en-US" w:eastAsia="zh-CN" w:bidi="ar-SA"/>
        </w:rPr>
        <w:t>一是项目立项超过2年有效期后应重新向发改部门申请立项，建设方应根据新的建设需求变化进一步进行项目可行性论证，并考虑通货膨胀等经济因素的影响，根据最新的市场价格信息合理测算项目投资额，控制投资估算数的偏差在合理的范围内</w:t>
      </w:r>
      <w:r>
        <w:rPr>
          <w:rFonts w:hint="eastAsia" w:ascii="仿宋_GB2312" w:eastAsia="仿宋_GB2312" w:cstheme="minorBidi"/>
          <w:b w:val="0"/>
          <w:kern w:val="2"/>
          <w:sz w:val="28"/>
          <w:szCs w:val="28"/>
          <w:lang w:val="en-US" w:eastAsia="zh-CN" w:bidi="ar-SA"/>
        </w:rPr>
        <w:t>，做到概（预）算不漏项、每个子项概（预）算力求精准</w:t>
      </w:r>
      <w:r>
        <w:rPr>
          <w:rFonts w:hint="eastAsia" w:ascii="仿宋_GB2312" w:eastAsia="仿宋_GB2312" w:hAnsiTheme="minorHAnsi" w:cstheme="minorBidi"/>
          <w:b w:val="0"/>
          <w:kern w:val="2"/>
          <w:sz w:val="28"/>
          <w:szCs w:val="28"/>
          <w:lang w:val="en-US" w:eastAsia="zh-CN" w:bidi="ar-SA"/>
        </w:rPr>
        <w:t>。</w:t>
      </w:r>
      <w:bookmarkEnd w:id="51"/>
      <w:bookmarkEnd w:id="52"/>
      <w:bookmarkStart w:id="58" w:name="_Toc17286"/>
      <w:bookmarkStart w:id="59" w:name="_Toc23572"/>
      <w:r>
        <w:rPr>
          <w:rFonts w:hint="eastAsia" w:ascii="仿宋_GB2312" w:eastAsia="仿宋_GB2312" w:cstheme="minorBidi"/>
          <w:b w:val="0"/>
          <w:kern w:val="2"/>
          <w:sz w:val="28"/>
          <w:szCs w:val="28"/>
          <w:lang w:val="en-US" w:eastAsia="zh-CN" w:bidi="ar-SA"/>
        </w:rPr>
        <w:t>同时以后的工程管理中应杜绝因可行性认证不充分，造成变更过大过于频繁，乃至于一个项目重复设计变更造成财政资金浪费现象发生。</w:t>
      </w:r>
      <w:r>
        <w:rPr>
          <w:rFonts w:hint="eastAsia" w:ascii="仿宋_GB2312" w:eastAsia="仿宋_GB2312" w:hAnsiTheme="minorHAnsi" w:cstheme="minorBidi"/>
          <w:b w:val="0"/>
          <w:kern w:val="2"/>
          <w:sz w:val="28"/>
          <w:szCs w:val="28"/>
          <w:lang w:val="en-US" w:eastAsia="zh-CN" w:bidi="ar-SA"/>
        </w:rPr>
        <w:t>二是</w:t>
      </w:r>
      <w:bookmarkEnd w:id="53"/>
      <w:bookmarkEnd w:id="54"/>
      <w:bookmarkEnd w:id="55"/>
      <w:bookmarkEnd w:id="57"/>
      <w:bookmarkEnd w:id="58"/>
      <w:bookmarkEnd w:id="59"/>
      <w:bookmarkStart w:id="60" w:name="_Toc1679"/>
      <w:r>
        <w:rPr>
          <w:rFonts w:hint="eastAsia" w:ascii="仿宋_GB2312" w:eastAsia="仿宋_GB2312" w:hAnsiTheme="minorHAnsi" w:cstheme="minorBidi"/>
          <w:b w:val="0"/>
          <w:kern w:val="2"/>
          <w:sz w:val="28"/>
          <w:szCs w:val="28"/>
          <w:lang w:val="en-US" w:eastAsia="zh-CN" w:bidi="ar-SA"/>
        </w:rPr>
        <w:t>严格按照《南岳区工程变更管理暂行办法》（岳政发[2017]41号）及其他相关规定履行变更手续，</w:t>
      </w:r>
      <w:r>
        <w:rPr>
          <w:rFonts w:hint="eastAsia" w:ascii="仿宋_GB2312" w:eastAsia="仿宋_GB2312" w:cstheme="minorBidi"/>
          <w:b w:val="0"/>
          <w:kern w:val="2"/>
          <w:sz w:val="28"/>
          <w:szCs w:val="28"/>
          <w:lang w:val="en-US" w:eastAsia="zh-CN" w:bidi="ar-SA"/>
        </w:rPr>
        <w:t>否则，</w:t>
      </w:r>
      <w:r>
        <w:rPr>
          <w:rFonts w:hint="eastAsia" w:ascii="仿宋_GB2312" w:eastAsia="仿宋_GB2312" w:hAnsiTheme="minorHAnsi" w:cstheme="minorBidi"/>
          <w:b w:val="0"/>
          <w:kern w:val="2"/>
          <w:sz w:val="28"/>
          <w:szCs w:val="28"/>
          <w:lang w:val="en-US" w:eastAsia="zh-CN" w:bidi="ar-SA"/>
        </w:rPr>
        <w:t>违反规定增加的投资，财政不予认可。</w:t>
      </w:r>
      <w:r>
        <w:rPr>
          <w:rFonts w:hint="eastAsia" w:ascii="仿宋_GB2312" w:eastAsia="仿宋_GB2312" w:cstheme="minorBidi"/>
          <w:b w:val="0"/>
          <w:kern w:val="2"/>
          <w:sz w:val="28"/>
          <w:szCs w:val="28"/>
          <w:lang w:val="en-US" w:eastAsia="zh-CN" w:bidi="ar-SA"/>
        </w:rPr>
        <w:t>对于建设单位未经完整工程变更程序就实施变更施工这一做法，建议单位提请政府和人大常委会作为一特例专题研究，妥善解决这一遗留问题。</w:t>
      </w:r>
    </w:p>
    <w:p>
      <w:pPr>
        <w:pStyle w:val="3"/>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lang w:val="en-US" w:eastAsia="zh-CN"/>
        </w:rPr>
      </w:pPr>
      <w:bookmarkStart w:id="61" w:name="_Toc20543"/>
      <w:bookmarkStart w:id="62" w:name="_Toc20894"/>
      <w:r>
        <w:rPr>
          <w:rFonts w:hint="eastAsia" w:ascii="楷体" w:hAnsi="楷体" w:eastAsia="楷体" w:cs="楷体"/>
          <w:sz w:val="28"/>
          <w:szCs w:val="28"/>
          <w:lang w:val="en-US" w:eastAsia="zh-CN"/>
        </w:rPr>
        <w:t>严格工程管理，确保工程质量</w:t>
      </w:r>
      <w:bookmarkEnd w:id="61"/>
      <w:bookmarkStart w:id="63" w:name="_Toc28084"/>
      <w:bookmarkStart w:id="64" w:name="_Toc29923"/>
      <w:bookmarkStart w:id="65" w:name="_Toc6955"/>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1"/>
        <w:rPr>
          <w:rFonts w:hint="eastAsia" w:ascii="仿宋_GB2312" w:eastAsia="仿宋_GB2312" w:hAnsiTheme="minorHAnsi" w:cstheme="minorBidi"/>
          <w:b w:val="0"/>
          <w:kern w:val="2"/>
          <w:sz w:val="28"/>
          <w:szCs w:val="28"/>
          <w:lang w:val="en-US" w:eastAsia="zh-CN" w:bidi="ar-SA"/>
        </w:rPr>
      </w:pPr>
      <w:bookmarkStart w:id="66" w:name="_Toc413"/>
      <w:bookmarkStart w:id="67" w:name="_Toc27157"/>
      <w:bookmarkStart w:id="68" w:name="_Toc29894"/>
      <w:r>
        <w:rPr>
          <w:rFonts w:hint="eastAsia" w:ascii="仿宋_GB2312" w:eastAsia="仿宋_GB2312" w:hAnsiTheme="minorHAnsi" w:cstheme="minorBidi"/>
          <w:b w:val="0"/>
          <w:kern w:val="2"/>
          <w:sz w:val="28"/>
          <w:szCs w:val="28"/>
          <w:lang w:val="en-US" w:eastAsia="zh-CN" w:bidi="ar-SA"/>
        </w:rPr>
        <w:t>一是完善项目管理制度，严格规范项目施工管理，如每月的监理月报需要加盖监理方公章等。健全资料档案管理。</w:t>
      </w:r>
      <w:bookmarkEnd w:id="56"/>
      <w:bookmarkEnd w:id="60"/>
      <w:bookmarkEnd w:id="62"/>
      <w:bookmarkEnd w:id="63"/>
      <w:bookmarkEnd w:id="64"/>
      <w:bookmarkEnd w:id="65"/>
      <w:bookmarkEnd w:id="66"/>
      <w:bookmarkEnd w:id="67"/>
      <w:r>
        <w:rPr>
          <w:rFonts w:hint="eastAsia" w:ascii="仿宋_GB2312" w:eastAsia="仿宋_GB2312" w:hAnsiTheme="minorHAnsi" w:cstheme="minorBidi"/>
          <w:b w:val="0"/>
          <w:kern w:val="2"/>
          <w:sz w:val="28"/>
          <w:szCs w:val="28"/>
          <w:lang w:val="en-US" w:eastAsia="zh-CN" w:bidi="ar-SA"/>
        </w:rPr>
        <w:t>二是项目须经验收合格后方可投入使用，规避项目质量和安全隐患，减轻建设方项目维修支出负担。</w:t>
      </w:r>
      <w:bookmarkEnd w:id="68"/>
    </w:p>
    <w:p>
      <w:pPr>
        <w:pStyle w:val="3"/>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楷体" w:hAnsi="楷体" w:eastAsia="楷体" w:cs="楷体"/>
          <w:sz w:val="28"/>
          <w:szCs w:val="28"/>
          <w:lang w:val="en-US" w:eastAsia="zh-CN"/>
        </w:rPr>
      </w:pPr>
      <w:bookmarkStart w:id="69" w:name="_Toc4094"/>
      <w:r>
        <w:rPr>
          <w:rFonts w:hint="eastAsia" w:ascii="楷体" w:hAnsi="楷体" w:eastAsia="楷体" w:cs="楷体"/>
          <w:sz w:val="28"/>
          <w:szCs w:val="28"/>
          <w:lang w:val="en-US" w:eastAsia="zh-CN"/>
        </w:rPr>
        <w:t>加快决算评审</w:t>
      </w:r>
      <w:bookmarkEnd w:id="69"/>
    </w:p>
    <w:p>
      <w:pPr>
        <w:numPr>
          <w:ilvl w:val="0"/>
          <w:numId w:val="0"/>
        </w:numPr>
        <w:ind w:leftChars="0"/>
        <w:rPr>
          <w:rFonts w:hint="default" w:ascii="仿宋_GB2312" w:eastAsia="仿宋_GB2312" w:hAnsiTheme="minorHAnsi" w:cstheme="minorBidi"/>
          <w:b w:val="0"/>
          <w:kern w:val="2"/>
          <w:sz w:val="28"/>
          <w:szCs w:val="28"/>
          <w:lang w:val="en-US" w:eastAsia="zh-CN" w:bidi="ar-SA"/>
        </w:rPr>
      </w:pPr>
      <w:r>
        <w:rPr>
          <w:rFonts w:hint="eastAsia" w:ascii="仿宋_GB2312" w:eastAsia="仿宋_GB2312" w:hAnsiTheme="minorHAnsi" w:cstheme="minorBidi"/>
          <w:b w:val="0"/>
          <w:kern w:val="2"/>
          <w:sz w:val="28"/>
          <w:szCs w:val="28"/>
          <w:lang w:val="en-US" w:eastAsia="zh-CN" w:bidi="ar-SA"/>
        </w:rPr>
        <w:t xml:space="preserve">     建设</w:t>
      </w:r>
      <w:r>
        <w:rPr>
          <w:rFonts w:hint="eastAsia" w:ascii="仿宋_GB2312" w:eastAsia="仿宋_GB2312" w:cstheme="minorBidi"/>
          <w:b w:val="0"/>
          <w:kern w:val="2"/>
          <w:sz w:val="28"/>
          <w:szCs w:val="28"/>
          <w:lang w:val="en-US" w:eastAsia="zh-CN" w:bidi="ar-SA"/>
        </w:rPr>
        <w:t>单位应</w:t>
      </w:r>
      <w:r>
        <w:rPr>
          <w:rFonts w:hint="eastAsia" w:ascii="仿宋_GB2312" w:eastAsia="仿宋_GB2312" w:hAnsiTheme="minorHAnsi" w:cstheme="minorBidi"/>
          <w:b w:val="0"/>
          <w:kern w:val="2"/>
          <w:sz w:val="28"/>
          <w:szCs w:val="28"/>
          <w:lang w:val="en-US" w:eastAsia="zh-CN" w:bidi="ar-SA"/>
        </w:rPr>
        <w:t>尽快</w:t>
      </w:r>
      <w:r>
        <w:rPr>
          <w:rFonts w:hint="eastAsia" w:ascii="仿宋_GB2312" w:eastAsia="仿宋_GB2312" w:cstheme="minorBidi"/>
          <w:b w:val="0"/>
          <w:kern w:val="2"/>
          <w:sz w:val="28"/>
          <w:szCs w:val="28"/>
          <w:lang w:val="en-US" w:eastAsia="zh-CN" w:bidi="ar-SA"/>
        </w:rPr>
        <w:t>办理工程验收手续，</w:t>
      </w:r>
      <w:r>
        <w:rPr>
          <w:rFonts w:hint="eastAsia" w:ascii="仿宋_GB2312" w:eastAsia="仿宋_GB2312" w:hAnsiTheme="minorHAnsi" w:cstheme="minorBidi"/>
          <w:b w:val="0"/>
          <w:kern w:val="2"/>
          <w:sz w:val="28"/>
          <w:szCs w:val="28"/>
          <w:lang w:val="en-US" w:eastAsia="zh-CN" w:bidi="ar-SA"/>
        </w:rPr>
        <w:t>编制竣工决算报告，</w:t>
      </w:r>
      <w:r>
        <w:rPr>
          <w:rFonts w:hint="eastAsia" w:ascii="仿宋_GB2312" w:eastAsia="仿宋_GB2312" w:cstheme="minorBidi"/>
          <w:b w:val="0"/>
          <w:kern w:val="2"/>
          <w:sz w:val="28"/>
          <w:szCs w:val="28"/>
          <w:lang w:val="en-US" w:eastAsia="zh-CN" w:bidi="ar-SA"/>
        </w:rPr>
        <w:t>在按规定办理工程变更手续的前提下，报送财政投资评审机构评审。待竣工决算评审报告出来后，早日支付变更工程款及相关民工工资。</w:t>
      </w:r>
    </w:p>
    <w:bookmarkEnd w:id="50"/>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lang w:eastAsia="zh-CN"/>
        </w:rPr>
      </w:pPr>
      <w:bookmarkStart w:id="70" w:name="_Toc20189"/>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四）</w:t>
      </w:r>
      <w:bookmarkStart w:id="71" w:name="_Toc7917"/>
      <w:bookmarkStart w:id="72" w:name="_Toc31686_WPSOffice_Level2"/>
      <w:bookmarkStart w:id="73" w:name="_Toc28695_WPSOffice_Level2"/>
      <w:bookmarkStart w:id="74" w:name="_Toc29917_WPSOffice_Level2"/>
      <w:bookmarkStart w:id="75" w:name="_Toc30947"/>
      <w:r>
        <w:rPr>
          <w:rFonts w:hint="eastAsia" w:ascii="楷体" w:hAnsi="楷体" w:eastAsia="楷体" w:cs="楷体"/>
          <w:sz w:val="28"/>
          <w:szCs w:val="28"/>
          <w:lang w:eastAsia="zh-CN"/>
        </w:rPr>
        <w:t>加强</w:t>
      </w:r>
      <w:r>
        <w:rPr>
          <w:rFonts w:hint="eastAsia" w:ascii="楷体" w:hAnsi="楷体" w:eastAsia="楷体" w:cs="楷体"/>
          <w:sz w:val="28"/>
          <w:szCs w:val="28"/>
          <w:lang w:val="en-US" w:eastAsia="zh-CN"/>
        </w:rPr>
        <w:t>资金</w:t>
      </w:r>
      <w:r>
        <w:rPr>
          <w:rFonts w:hint="eastAsia" w:ascii="楷体" w:hAnsi="楷体" w:eastAsia="楷体" w:cs="楷体"/>
          <w:sz w:val="28"/>
          <w:szCs w:val="28"/>
          <w:lang w:eastAsia="zh-CN"/>
        </w:rPr>
        <w:t>管理，提升财政资金使用效率</w:t>
      </w:r>
      <w:bookmarkEnd w:id="70"/>
    </w:p>
    <w:bookmarkEnd w:id="71"/>
    <w:bookmarkEnd w:id="72"/>
    <w:bookmarkEnd w:id="73"/>
    <w:bookmarkEnd w:id="74"/>
    <w:bookmarkEnd w:id="75"/>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宋体"/>
          <w:sz w:val="28"/>
          <w:szCs w:val="28"/>
          <w:lang w:bidi="zh-CN"/>
        </w:rPr>
        <w:t>在编制</w:t>
      </w:r>
      <w:r>
        <w:rPr>
          <w:rFonts w:hint="eastAsia" w:ascii="仿宋" w:hAnsi="仿宋" w:eastAsia="仿宋" w:cs="宋体"/>
          <w:sz w:val="28"/>
          <w:szCs w:val="28"/>
          <w:lang w:val="en-US" w:bidi="zh-CN"/>
        </w:rPr>
        <w:t>项目</w:t>
      </w:r>
      <w:r>
        <w:rPr>
          <w:rFonts w:hint="eastAsia" w:ascii="仿宋" w:hAnsi="仿宋" w:eastAsia="仿宋" w:cs="宋体"/>
          <w:sz w:val="28"/>
          <w:szCs w:val="28"/>
          <w:lang w:bidi="zh-CN"/>
        </w:rPr>
        <w:t>资金年度预算时需要统筹考虑并合理测算</w:t>
      </w:r>
      <w:r>
        <w:rPr>
          <w:rFonts w:hint="eastAsia" w:ascii="仿宋" w:hAnsi="仿宋" w:eastAsia="仿宋" w:cs="宋体"/>
          <w:sz w:val="28"/>
          <w:szCs w:val="28"/>
          <w:lang w:val="en-US" w:bidi="zh-CN"/>
        </w:rPr>
        <w:t>当年项目</w:t>
      </w:r>
      <w:r>
        <w:rPr>
          <w:rFonts w:hint="eastAsia" w:ascii="仿宋" w:hAnsi="仿宋" w:eastAsia="仿宋" w:cs="宋体"/>
          <w:sz w:val="28"/>
          <w:szCs w:val="28"/>
          <w:lang w:bidi="zh-CN"/>
        </w:rPr>
        <w:t>资金</w:t>
      </w:r>
      <w:r>
        <w:rPr>
          <w:rFonts w:hint="eastAsia" w:ascii="仿宋" w:hAnsi="仿宋" w:eastAsia="仿宋" w:cs="宋体"/>
          <w:sz w:val="28"/>
          <w:szCs w:val="28"/>
          <w:lang w:val="en-US" w:bidi="zh-CN"/>
        </w:rPr>
        <w:t>的</w:t>
      </w:r>
      <w:r>
        <w:rPr>
          <w:rFonts w:hint="eastAsia" w:ascii="仿宋" w:hAnsi="仿宋" w:eastAsia="仿宋" w:cs="宋体"/>
          <w:sz w:val="28"/>
          <w:szCs w:val="28"/>
          <w:lang w:bidi="zh-CN"/>
        </w:rPr>
        <w:t>实际需求量，避免</w:t>
      </w:r>
      <w:r>
        <w:rPr>
          <w:rFonts w:hint="eastAsia" w:ascii="仿宋" w:hAnsi="仿宋" w:eastAsia="仿宋" w:cs="宋体"/>
          <w:sz w:val="28"/>
          <w:szCs w:val="28"/>
          <w:lang w:val="en-US" w:bidi="zh-CN"/>
        </w:rPr>
        <w:t>项目</w:t>
      </w:r>
      <w:r>
        <w:rPr>
          <w:rFonts w:hint="eastAsia" w:ascii="仿宋" w:hAnsi="仿宋" w:eastAsia="仿宋" w:cs="宋体"/>
          <w:sz w:val="28"/>
          <w:szCs w:val="28"/>
          <w:lang w:bidi="zh-CN"/>
        </w:rPr>
        <w:t>资金</w:t>
      </w:r>
      <w:r>
        <w:rPr>
          <w:rFonts w:hint="eastAsia" w:ascii="仿宋" w:hAnsi="仿宋" w:eastAsia="仿宋" w:cs="宋体"/>
          <w:sz w:val="28"/>
          <w:szCs w:val="28"/>
          <w:lang w:val="en-US" w:bidi="zh-CN"/>
        </w:rPr>
        <w:t>闲置</w:t>
      </w:r>
      <w:r>
        <w:rPr>
          <w:rFonts w:hint="eastAsia" w:ascii="仿宋" w:hAnsi="仿宋" w:eastAsia="仿宋" w:cs="宋体"/>
          <w:sz w:val="28"/>
          <w:szCs w:val="28"/>
          <w:lang w:bidi="zh-CN"/>
        </w:rPr>
        <w:t>情况，</w:t>
      </w:r>
      <w:r>
        <w:rPr>
          <w:rFonts w:hint="eastAsia" w:ascii="仿宋" w:hAnsi="仿宋" w:eastAsia="仿宋" w:cs="宋体"/>
          <w:sz w:val="28"/>
          <w:szCs w:val="28"/>
          <w:lang w:val="en-US" w:bidi="zh-CN"/>
        </w:rPr>
        <w:t>提高预算执行率</w:t>
      </w:r>
      <w:r>
        <w:rPr>
          <w:rFonts w:hint="eastAsia" w:ascii="仿宋" w:hAnsi="仿宋" w:eastAsia="仿宋" w:cs="宋体"/>
          <w:sz w:val="28"/>
          <w:szCs w:val="28"/>
          <w:lang w:bidi="zh-CN"/>
        </w:rPr>
        <w:t>；结合</w:t>
      </w:r>
      <w:r>
        <w:rPr>
          <w:rFonts w:hint="eastAsia" w:ascii="仿宋" w:hAnsi="仿宋" w:eastAsia="仿宋" w:cs="宋体"/>
          <w:sz w:val="28"/>
          <w:szCs w:val="28"/>
          <w:lang w:val="en-US" w:bidi="zh-CN"/>
        </w:rPr>
        <w:t>项目施工</w:t>
      </w:r>
      <w:r>
        <w:rPr>
          <w:rFonts w:hint="eastAsia" w:ascii="仿宋" w:hAnsi="仿宋" w:eastAsia="仿宋" w:cs="宋体"/>
          <w:sz w:val="28"/>
          <w:szCs w:val="28"/>
          <w:lang w:bidi="zh-CN"/>
        </w:rPr>
        <w:t>动态管理现状，做好预算框架优化工作，及时清理闲置的</w:t>
      </w:r>
      <w:r>
        <w:rPr>
          <w:rFonts w:hint="eastAsia" w:ascii="仿宋" w:hAnsi="仿宋" w:eastAsia="仿宋" w:cs="宋体"/>
          <w:sz w:val="28"/>
          <w:szCs w:val="28"/>
          <w:lang w:val="en-US" w:bidi="zh-CN"/>
        </w:rPr>
        <w:t>项目</w:t>
      </w:r>
      <w:r>
        <w:rPr>
          <w:rFonts w:hint="eastAsia" w:ascii="仿宋" w:hAnsi="仿宋" w:eastAsia="仿宋" w:cs="宋体"/>
          <w:sz w:val="28"/>
          <w:szCs w:val="28"/>
          <w:lang w:bidi="zh-CN"/>
        </w:rPr>
        <w:t>资金，</w:t>
      </w:r>
      <w:r>
        <w:rPr>
          <w:rFonts w:hint="eastAsia" w:ascii="仿宋" w:hAnsi="仿宋" w:eastAsia="仿宋" w:cs="宋体"/>
          <w:sz w:val="28"/>
          <w:szCs w:val="28"/>
          <w:lang w:val="en-US" w:bidi="zh-CN"/>
        </w:rPr>
        <w:t>全建设周期</w:t>
      </w:r>
      <w:r>
        <w:rPr>
          <w:rFonts w:hint="eastAsia" w:ascii="仿宋" w:hAnsi="仿宋" w:eastAsia="仿宋" w:cs="宋体"/>
          <w:sz w:val="28"/>
          <w:szCs w:val="28"/>
          <w:lang w:bidi="zh-CN"/>
        </w:rPr>
        <w:t>降低</w:t>
      </w:r>
      <w:r>
        <w:rPr>
          <w:rFonts w:hint="eastAsia" w:ascii="仿宋" w:hAnsi="仿宋" w:eastAsia="仿宋" w:cs="宋体"/>
          <w:sz w:val="28"/>
          <w:szCs w:val="28"/>
          <w:lang w:val="en-US" w:bidi="zh-CN"/>
        </w:rPr>
        <w:t>项目</w:t>
      </w:r>
      <w:r>
        <w:rPr>
          <w:rFonts w:hint="eastAsia" w:ascii="仿宋" w:hAnsi="仿宋" w:eastAsia="仿宋" w:cs="宋体"/>
          <w:sz w:val="28"/>
          <w:szCs w:val="28"/>
          <w:lang w:bidi="zh-CN"/>
        </w:rPr>
        <w:t>资金结余率，形成适度的</w:t>
      </w:r>
      <w:r>
        <w:rPr>
          <w:rFonts w:hint="eastAsia" w:ascii="仿宋" w:hAnsi="仿宋" w:eastAsia="仿宋" w:cs="宋体"/>
          <w:sz w:val="28"/>
          <w:szCs w:val="28"/>
          <w:lang w:val="en-US" w:bidi="zh-CN"/>
        </w:rPr>
        <w:t>项目</w:t>
      </w:r>
      <w:r>
        <w:rPr>
          <w:rFonts w:hint="eastAsia" w:ascii="仿宋" w:hAnsi="仿宋" w:eastAsia="仿宋" w:cs="宋体"/>
          <w:sz w:val="28"/>
          <w:szCs w:val="28"/>
          <w:lang w:bidi="zh-CN"/>
        </w:rPr>
        <w:t>资金使用规模；</w:t>
      </w:r>
      <w:r>
        <w:rPr>
          <w:rFonts w:hint="eastAsia" w:ascii="仿宋" w:hAnsi="仿宋" w:eastAsia="仿宋" w:cs="仿宋"/>
          <w:sz w:val="28"/>
          <w:szCs w:val="28"/>
          <w:lang w:val="en-US" w:eastAsia="zh-CN"/>
        </w:rPr>
        <w:t>财政部门也应加强项目单位资金的管理，防止过多结余闲置现象发生。</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default" w:ascii="楷体" w:hAnsi="楷体" w:eastAsia="楷体" w:cs="楷体"/>
          <w:sz w:val="28"/>
          <w:szCs w:val="28"/>
          <w:lang w:val="en-US" w:eastAsia="zh-CN"/>
        </w:rPr>
      </w:pPr>
      <w:bookmarkStart w:id="76" w:name="_Toc8156"/>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五）规范备用金管理</w:t>
      </w:r>
      <w:bookmarkEnd w:id="76"/>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_GB2312" w:hAnsi="宋体" w:eastAsia="仿宋_GB2312" w:cstheme="minorBidi"/>
          <w:b w:val="0"/>
          <w:kern w:val="2"/>
          <w:sz w:val="28"/>
          <w:szCs w:val="28"/>
          <w:lang w:val="en-US" w:eastAsia="zh-CN" w:bidi="ar-SA"/>
        </w:rPr>
      </w:pPr>
      <w:bookmarkStart w:id="77" w:name="_Toc19785"/>
      <w:bookmarkStart w:id="78" w:name="_Toc8672"/>
      <w:bookmarkStart w:id="79" w:name="_Toc1654"/>
      <w:r>
        <w:rPr>
          <w:rFonts w:hint="eastAsia" w:ascii="仿宋_GB2312" w:hAnsi="宋体" w:eastAsia="仿宋_GB2312" w:cstheme="minorBidi"/>
          <w:b w:val="0"/>
          <w:kern w:val="2"/>
          <w:sz w:val="28"/>
          <w:szCs w:val="28"/>
          <w:lang w:val="en-US" w:eastAsia="zh-CN" w:bidi="ar-SA"/>
        </w:rPr>
        <w:t>健全及严格执行备用金管理制度，按核定单位备用金额度，单位支出原则上用直接支付，如因临时支出确需使用备用金的，提取备用金时需注明用款用途并经单位领导签字同意后才能提取，在支出后应及时报账归还备用金，报销时需提供符合要求的报账凭证，按有关规定提取备用金时间最多不超过3个月，防止挤占、截留、挪用项目资金。</w:t>
      </w:r>
      <w:bookmarkEnd w:id="77"/>
      <w:bookmarkEnd w:id="78"/>
      <w:bookmarkEnd w:id="79"/>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sz w:val="28"/>
          <w:szCs w:val="28"/>
          <w:lang w:eastAsia="zh-CN"/>
        </w:rPr>
      </w:pPr>
      <w:bookmarkStart w:id="80" w:name="_Toc32404"/>
      <w:r>
        <w:rPr>
          <w:rFonts w:hint="eastAsia" w:ascii="楷体" w:hAnsi="楷体" w:eastAsia="楷体" w:cs="楷体"/>
          <w:sz w:val="28"/>
          <w:szCs w:val="28"/>
          <w:lang w:val="en-US" w:eastAsia="zh-CN"/>
        </w:rPr>
        <w:t>（六）规范专项资金账务管理与核算</w:t>
      </w:r>
      <w:bookmarkEnd w:id="80"/>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增强会计人员的业务素质，及时处理会计业务，按时装订会计凭证和打印装订会计账簿和报表，在基建账户中设置不同科目分别专项核算半山亭派出所维修和大庙派出所维修等资金的收支余情况。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default" w:ascii="楷体" w:hAnsi="楷体" w:eastAsia="楷体" w:cs="楷体"/>
          <w:sz w:val="28"/>
          <w:szCs w:val="28"/>
          <w:lang w:val="en-US" w:eastAsia="zh-CN"/>
        </w:rPr>
      </w:pPr>
      <w:bookmarkStart w:id="81" w:name="_Toc10340"/>
      <w:r>
        <w:rPr>
          <w:rFonts w:hint="eastAsia" w:ascii="楷体" w:hAnsi="楷体" w:eastAsia="楷体" w:cs="楷体"/>
          <w:sz w:val="28"/>
          <w:szCs w:val="28"/>
          <w:lang w:val="en-US" w:eastAsia="zh-CN"/>
        </w:rPr>
        <w:t>（七）理财收益足额</w:t>
      </w:r>
      <w:r>
        <w:rPr>
          <w:rFonts w:hint="eastAsia" w:ascii="仿宋_GB2312" w:hAnsi="宋体" w:eastAsia="仿宋_GB2312"/>
          <w:sz w:val="28"/>
          <w:szCs w:val="28"/>
        </w:rPr>
        <w:t>上缴财政</w:t>
      </w:r>
      <w:bookmarkEnd w:id="81"/>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用于</w:t>
      </w:r>
      <w:r>
        <w:rPr>
          <w:rFonts w:hint="eastAsia" w:ascii="仿宋_GB2312" w:eastAsia="仿宋_GB2312"/>
          <w:sz w:val="28"/>
          <w:szCs w:val="28"/>
        </w:rPr>
        <w:t>理财的</w:t>
      </w:r>
      <w:r>
        <w:rPr>
          <w:rFonts w:hint="eastAsia" w:ascii="仿宋_GB2312" w:hAnsi="宋体" w:eastAsia="仿宋_GB2312"/>
          <w:sz w:val="28"/>
          <w:szCs w:val="28"/>
        </w:rPr>
        <w:t>全部</w:t>
      </w:r>
      <w:r>
        <w:rPr>
          <w:rFonts w:hint="eastAsia" w:ascii="仿宋_GB2312" w:hAnsi="宋体" w:eastAsia="仿宋_GB2312"/>
          <w:sz w:val="28"/>
          <w:szCs w:val="28"/>
          <w:lang w:val="en-US" w:eastAsia="zh-CN"/>
        </w:rPr>
        <w:t>收益</w:t>
      </w:r>
      <w:r>
        <w:rPr>
          <w:rFonts w:hint="eastAsia" w:ascii="仿宋" w:hAnsi="仿宋" w:eastAsia="仿宋" w:cstheme="minorBidi"/>
          <w:b w:val="0"/>
          <w:kern w:val="2"/>
          <w:sz w:val="28"/>
          <w:szCs w:val="28"/>
          <w:lang w:val="en-US" w:eastAsia="zh-CN" w:bidi="ar-SA"/>
        </w:rPr>
        <w:t>44.92万元</w:t>
      </w:r>
      <w:r>
        <w:rPr>
          <w:rFonts w:hint="eastAsia" w:ascii="仿宋_GB2312" w:hAnsi="宋体" w:eastAsia="仿宋_GB2312"/>
          <w:sz w:val="28"/>
          <w:szCs w:val="28"/>
          <w:lang w:val="en-US" w:eastAsia="zh-CN"/>
        </w:rPr>
        <w:t>作为</w:t>
      </w:r>
      <w:r>
        <w:rPr>
          <w:rFonts w:hint="eastAsia" w:ascii="仿宋_GB2312" w:hAnsi="宋体" w:eastAsia="仿宋_GB2312"/>
          <w:sz w:val="28"/>
          <w:szCs w:val="28"/>
        </w:rPr>
        <w:t>非税收入</w:t>
      </w:r>
      <w:r>
        <w:rPr>
          <w:rFonts w:hint="eastAsia" w:ascii="仿宋_GB2312" w:hAnsi="宋体" w:eastAsia="仿宋_GB2312"/>
          <w:sz w:val="28"/>
          <w:szCs w:val="28"/>
          <w:lang w:val="en-US" w:eastAsia="zh-CN"/>
        </w:rPr>
        <w:t>全额</w:t>
      </w:r>
      <w:r>
        <w:rPr>
          <w:rFonts w:hint="eastAsia" w:ascii="仿宋_GB2312" w:hAnsi="宋体" w:eastAsia="仿宋_GB2312"/>
          <w:sz w:val="28"/>
          <w:szCs w:val="28"/>
        </w:rPr>
        <w:t>上缴财政。</w:t>
      </w:r>
    </w:p>
    <w:p>
      <w:pPr>
        <w:pStyle w:val="2"/>
        <w:keepNext/>
        <w:keepLines/>
        <w:pageBreakBefore w:val="0"/>
        <w:widowControl w:val="0"/>
        <w:kinsoku/>
        <w:wordWrap/>
        <w:overflowPunct/>
        <w:topLinePunct w:val="0"/>
        <w:autoSpaceDE/>
        <w:autoSpaceDN/>
        <w:bidi w:val="0"/>
        <w:adjustRightInd/>
        <w:snapToGrid/>
        <w:spacing w:before="180" w:after="180" w:line="240" w:lineRule="auto"/>
        <w:textAlignment w:val="auto"/>
        <w:rPr>
          <w:rFonts w:hint="default"/>
          <w:sz w:val="28"/>
          <w:szCs w:val="28"/>
          <w:lang w:val="en-US" w:eastAsia="zh-CN"/>
        </w:rPr>
      </w:pPr>
      <w:bookmarkStart w:id="82" w:name="_Toc29352"/>
      <w:bookmarkStart w:id="83" w:name="_Toc13159"/>
      <w:bookmarkStart w:id="84" w:name="_Toc25767"/>
      <w:bookmarkStart w:id="85" w:name="_Toc6482"/>
      <w:bookmarkStart w:id="86" w:name="_Toc30848"/>
      <w:r>
        <w:rPr>
          <w:rFonts w:hint="default"/>
          <w:sz w:val="28"/>
          <w:szCs w:val="28"/>
          <w:lang w:val="en-US" w:eastAsia="zh-CN"/>
        </w:rPr>
        <w:t>七、需说明的问题</w:t>
      </w:r>
      <w:bookmarkEnd w:id="82"/>
      <w:bookmarkEnd w:id="83"/>
      <w:bookmarkEnd w:id="84"/>
      <w:bookmarkEnd w:id="85"/>
    </w:p>
    <w:p>
      <w:pPr>
        <w:ind w:firstLine="560" w:firstLineChars="200"/>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本报告中的</w:t>
      </w:r>
      <w:r>
        <w:rPr>
          <w:rFonts w:hint="eastAsia" w:ascii="仿宋_GB2312" w:hAnsi="宋体" w:eastAsia="仿宋_GB2312"/>
          <w:sz w:val="28"/>
          <w:szCs w:val="28"/>
          <w:lang w:val="en-US" w:eastAsia="zh-CN"/>
        </w:rPr>
        <w:t>业务及</w:t>
      </w:r>
      <w:r>
        <w:rPr>
          <w:rFonts w:hint="default" w:ascii="仿宋_GB2312" w:hAnsi="宋体" w:eastAsia="仿宋_GB2312"/>
          <w:sz w:val="28"/>
          <w:szCs w:val="28"/>
          <w:lang w:val="en-US" w:eastAsia="zh-CN"/>
        </w:rPr>
        <w:t>财务数据</w:t>
      </w:r>
      <w:r>
        <w:rPr>
          <w:rFonts w:hint="eastAsia" w:ascii="仿宋_GB2312" w:hAnsi="宋体" w:eastAsia="仿宋_GB2312"/>
          <w:sz w:val="28"/>
          <w:szCs w:val="28"/>
          <w:lang w:val="en-US" w:eastAsia="zh-CN"/>
        </w:rPr>
        <w:t>、信息</w:t>
      </w:r>
      <w:r>
        <w:rPr>
          <w:rFonts w:hint="default" w:ascii="仿宋_GB2312" w:hAnsi="宋体" w:eastAsia="仿宋_GB2312"/>
          <w:sz w:val="28"/>
          <w:szCs w:val="28"/>
          <w:lang w:val="en-US" w:eastAsia="zh-CN"/>
        </w:rPr>
        <w:t>来源于</w:t>
      </w:r>
      <w:r>
        <w:rPr>
          <w:rFonts w:hint="eastAsia" w:ascii="仿宋_GB2312" w:hAnsi="宋体" w:eastAsia="仿宋_GB2312"/>
          <w:sz w:val="28"/>
          <w:szCs w:val="28"/>
          <w:lang w:val="en-US" w:eastAsia="zh-CN"/>
        </w:rPr>
        <w:t>南岳公安分局</w:t>
      </w:r>
      <w:r>
        <w:rPr>
          <w:rFonts w:hint="default" w:ascii="仿宋_GB2312" w:hAnsi="宋体" w:eastAsia="仿宋_GB2312"/>
          <w:sz w:val="28"/>
          <w:szCs w:val="28"/>
          <w:lang w:val="en-US" w:eastAsia="zh-CN"/>
        </w:rPr>
        <w:t>有关制度、</w:t>
      </w:r>
      <w:r>
        <w:rPr>
          <w:rFonts w:hint="eastAsia" w:ascii="仿宋_GB2312" w:hAnsi="宋体" w:eastAsia="仿宋_GB2312"/>
          <w:sz w:val="28"/>
          <w:szCs w:val="28"/>
          <w:lang w:val="en-US" w:eastAsia="zh-CN"/>
        </w:rPr>
        <w:t>项目资料、</w:t>
      </w:r>
      <w:r>
        <w:rPr>
          <w:rFonts w:hint="default" w:ascii="仿宋_GB2312" w:hAnsi="宋体" w:eastAsia="仿宋_GB2312"/>
          <w:sz w:val="28"/>
          <w:szCs w:val="28"/>
          <w:lang w:val="en-US" w:eastAsia="zh-CN"/>
        </w:rPr>
        <w:t>财物凭证等文件，评价结果的准确性受资料有限性影响。</w:t>
      </w:r>
    </w:p>
    <w:p>
      <w:pPr>
        <w:pageBreakBefore w:val="0"/>
        <w:tabs>
          <w:tab w:val="left" w:pos="1323"/>
        </w:tabs>
        <w:kinsoku/>
        <w:wordWrap/>
        <w:overflowPunct/>
        <w:topLinePunct w:val="0"/>
        <w:autoSpaceDE/>
        <w:autoSpaceDN/>
        <w:bidi w:val="0"/>
        <w:spacing w:line="640" w:lineRule="atLeast"/>
        <w:ind w:firstLine="562" w:firstLineChars="200"/>
        <w:outlineLvl w:val="0"/>
        <w:rPr>
          <w:rFonts w:hint="eastAsia" w:ascii="仿宋" w:hAnsi="仿宋" w:eastAsia="仿宋"/>
          <w:b/>
          <w:sz w:val="28"/>
          <w:szCs w:val="28"/>
        </w:rPr>
      </w:pPr>
    </w:p>
    <w:p>
      <w:pPr>
        <w:pageBreakBefore w:val="0"/>
        <w:tabs>
          <w:tab w:val="left" w:pos="1323"/>
        </w:tabs>
        <w:kinsoku/>
        <w:wordWrap/>
        <w:overflowPunct/>
        <w:topLinePunct w:val="0"/>
        <w:autoSpaceDE/>
        <w:autoSpaceDN/>
        <w:bidi w:val="0"/>
        <w:spacing w:line="640" w:lineRule="atLeast"/>
        <w:outlineLvl w:val="0"/>
        <w:rPr>
          <w:rFonts w:ascii="仿宋" w:hAnsi="仿宋" w:eastAsia="仿宋"/>
          <w:b/>
          <w:sz w:val="24"/>
          <w:szCs w:val="24"/>
        </w:rPr>
      </w:pPr>
      <w:bookmarkStart w:id="87" w:name="_Toc565"/>
      <w:r>
        <w:rPr>
          <w:rFonts w:hint="eastAsia" w:ascii="仿宋" w:hAnsi="仿宋" w:eastAsia="仿宋"/>
          <w:b/>
          <w:sz w:val="24"/>
          <w:szCs w:val="24"/>
        </w:rPr>
        <w:t>附件1：</w:t>
      </w:r>
      <w:r>
        <w:rPr>
          <w:rFonts w:hint="eastAsia" w:ascii="仿宋" w:hAnsi="仿宋" w:eastAsia="仿宋"/>
          <w:b/>
          <w:sz w:val="24"/>
          <w:szCs w:val="24"/>
          <w:lang w:val="en-US" w:eastAsia="zh-CN"/>
        </w:rPr>
        <w:t>南岳区公安分局2012-</w:t>
      </w:r>
      <w:r>
        <w:rPr>
          <w:rFonts w:hint="eastAsia" w:ascii="仿宋" w:hAnsi="仿宋" w:eastAsia="仿宋"/>
          <w:b/>
          <w:sz w:val="24"/>
          <w:szCs w:val="24"/>
        </w:rPr>
        <w:t>20</w:t>
      </w:r>
      <w:r>
        <w:rPr>
          <w:rFonts w:hint="eastAsia" w:ascii="仿宋" w:hAnsi="仿宋" w:eastAsia="仿宋"/>
          <w:b/>
          <w:sz w:val="24"/>
          <w:szCs w:val="24"/>
          <w:lang w:val="en-US" w:eastAsia="zh-CN"/>
        </w:rPr>
        <w:t>19</w:t>
      </w:r>
      <w:r>
        <w:rPr>
          <w:rFonts w:hint="eastAsia" w:ascii="仿宋" w:hAnsi="仿宋" w:eastAsia="仿宋"/>
          <w:b/>
          <w:sz w:val="24"/>
          <w:szCs w:val="24"/>
        </w:rPr>
        <w:t>年度</w:t>
      </w:r>
      <w:r>
        <w:rPr>
          <w:rFonts w:hint="eastAsia" w:ascii="仿宋" w:hAnsi="仿宋" w:eastAsia="仿宋"/>
          <w:b/>
          <w:sz w:val="24"/>
          <w:szCs w:val="24"/>
          <w:lang w:val="en-US" w:eastAsia="zh-CN"/>
        </w:rPr>
        <w:t>业务综合用房项目绩效评价</w:t>
      </w:r>
      <w:r>
        <w:rPr>
          <w:rFonts w:hint="eastAsia" w:ascii="仿宋" w:hAnsi="仿宋" w:eastAsia="仿宋"/>
          <w:b/>
          <w:sz w:val="24"/>
          <w:szCs w:val="24"/>
        </w:rPr>
        <w:t>指标及评分表</w:t>
      </w:r>
      <w:bookmarkEnd w:id="86"/>
      <w:bookmarkEnd w:id="87"/>
    </w:p>
    <w:p>
      <w:pPr>
        <w:keepNext w:val="0"/>
        <w:keepLines w:val="0"/>
        <w:pageBreakBefore w:val="0"/>
        <w:widowControl w:val="0"/>
        <w:tabs>
          <w:tab w:val="left" w:pos="1323"/>
        </w:tabs>
        <w:kinsoku/>
        <w:wordWrap/>
        <w:overflowPunct/>
        <w:topLinePunct w:val="0"/>
        <w:autoSpaceDE/>
        <w:autoSpaceDN/>
        <w:bidi w:val="0"/>
        <w:adjustRightInd w:val="0"/>
        <w:snapToGrid w:val="0"/>
        <w:spacing w:line="640" w:lineRule="atLeast"/>
        <w:jc w:val="center"/>
        <w:textAlignment w:val="auto"/>
        <w:rPr>
          <w:rFonts w:hint="eastAsia" w:ascii="仿宋" w:hAnsi="仿宋" w:eastAsia="仿宋"/>
          <w:sz w:val="24"/>
          <w:szCs w:val="24"/>
        </w:rPr>
        <w:sectPr>
          <w:footerReference r:id="rId5" w:type="default"/>
          <w:pgSz w:w="11906" w:h="16838"/>
          <w:pgMar w:top="1440" w:right="1474" w:bottom="1440" w:left="1587" w:header="851" w:footer="992" w:gutter="0"/>
          <w:pgNumType w:fmt="decimal" w:start="1"/>
          <w:cols w:space="425" w:num="1"/>
          <w:docGrid w:type="lines" w:linePitch="312" w:charSpace="0"/>
        </w:sectPr>
      </w:pPr>
    </w:p>
    <w:p>
      <w:pPr>
        <w:keepNext w:val="0"/>
        <w:keepLines w:val="0"/>
        <w:pageBreakBefore w:val="0"/>
        <w:widowControl w:val="0"/>
        <w:tabs>
          <w:tab w:val="left" w:pos="1323"/>
        </w:tabs>
        <w:kinsoku/>
        <w:wordWrap/>
        <w:overflowPunct/>
        <w:topLinePunct w:val="0"/>
        <w:autoSpaceDE/>
        <w:autoSpaceDN/>
        <w:bidi w:val="0"/>
        <w:adjustRightInd w:val="0"/>
        <w:snapToGrid w:val="0"/>
        <w:jc w:val="center"/>
        <w:textAlignment w:val="auto"/>
        <w:outlineLvl w:val="0"/>
        <w:rPr>
          <w:rFonts w:hint="eastAsia" w:ascii="仿宋" w:hAnsi="仿宋" w:eastAsia="仿宋"/>
          <w:b/>
          <w:sz w:val="24"/>
          <w:szCs w:val="24"/>
          <w:lang w:val="en-US" w:eastAsia="zh-CN"/>
        </w:rPr>
      </w:pPr>
      <w:bookmarkStart w:id="88" w:name="_Toc5290"/>
      <w:bookmarkStart w:id="89" w:name="_Toc13089"/>
      <w:bookmarkStart w:id="90" w:name="_Toc8097"/>
      <w:bookmarkStart w:id="91" w:name="_Toc10348"/>
      <w:bookmarkStart w:id="92" w:name="_Toc28120"/>
      <w:bookmarkStart w:id="93" w:name="_Toc30772"/>
      <w:bookmarkStart w:id="94" w:name="_Toc13816"/>
      <w:bookmarkStart w:id="95" w:name="_Toc28108"/>
      <w:bookmarkStart w:id="96" w:name="_Toc9928"/>
      <w:bookmarkStart w:id="97" w:name="_Toc22532"/>
      <w:bookmarkStart w:id="98" w:name="_Toc27913"/>
      <w:bookmarkStart w:id="99" w:name="_Toc20194"/>
      <w:bookmarkStart w:id="100" w:name="_Toc16004"/>
      <w:r>
        <w:rPr>
          <w:rFonts w:hint="eastAsia" w:ascii="仿宋" w:hAnsi="仿宋" w:eastAsia="仿宋"/>
          <w:b/>
          <w:bCs/>
          <w:sz w:val="24"/>
          <w:szCs w:val="24"/>
        </w:rPr>
        <w:t>附件1</w:t>
      </w:r>
      <w:r>
        <w:rPr>
          <w:rFonts w:hint="eastAsia" w:ascii="仿宋" w:hAnsi="仿宋" w:eastAsia="仿宋"/>
          <w:b/>
          <w:bCs/>
          <w:sz w:val="24"/>
          <w:szCs w:val="24"/>
          <w:lang w:eastAsia="zh-CN"/>
        </w:rPr>
        <w:t>：</w:t>
      </w:r>
      <w:bookmarkEnd w:id="88"/>
      <w:bookmarkEnd w:id="89"/>
      <w:bookmarkEnd w:id="90"/>
      <w:bookmarkEnd w:id="91"/>
      <w:bookmarkEnd w:id="92"/>
      <w:r>
        <w:rPr>
          <w:rFonts w:hint="eastAsia" w:ascii="仿宋" w:hAnsi="仿宋" w:eastAsia="仿宋"/>
          <w:b/>
          <w:sz w:val="24"/>
          <w:szCs w:val="24"/>
          <w:lang w:val="en-US" w:eastAsia="zh-CN"/>
        </w:rPr>
        <w:t>南岳区公安分局2012-</w:t>
      </w:r>
      <w:r>
        <w:rPr>
          <w:rFonts w:hint="eastAsia" w:ascii="仿宋" w:hAnsi="仿宋" w:eastAsia="仿宋"/>
          <w:b/>
          <w:sz w:val="24"/>
          <w:szCs w:val="24"/>
        </w:rPr>
        <w:t>20</w:t>
      </w:r>
      <w:r>
        <w:rPr>
          <w:rFonts w:hint="eastAsia" w:ascii="仿宋" w:hAnsi="仿宋" w:eastAsia="仿宋"/>
          <w:b/>
          <w:sz w:val="24"/>
          <w:szCs w:val="24"/>
          <w:lang w:val="en-US" w:eastAsia="zh-CN"/>
        </w:rPr>
        <w:t>19</w:t>
      </w:r>
      <w:r>
        <w:rPr>
          <w:rFonts w:hint="eastAsia" w:ascii="仿宋" w:hAnsi="仿宋" w:eastAsia="仿宋"/>
          <w:b/>
          <w:sz w:val="24"/>
          <w:szCs w:val="24"/>
        </w:rPr>
        <w:t>年度</w:t>
      </w:r>
      <w:r>
        <w:rPr>
          <w:rFonts w:hint="eastAsia" w:ascii="仿宋" w:hAnsi="仿宋" w:eastAsia="仿宋"/>
          <w:b/>
          <w:sz w:val="24"/>
          <w:szCs w:val="24"/>
          <w:lang w:val="en-US" w:eastAsia="zh-CN"/>
        </w:rPr>
        <w:t>业务综合用房项目</w:t>
      </w:r>
      <w:bookmarkEnd w:id="93"/>
    </w:p>
    <w:p>
      <w:pPr>
        <w:keepNext w:val="0"/>
        <w:keepLines w:val="0"/>
        <w:pageBreakBefore w:val="0"/>
        <w:widowControl w:val="0"/>
        <w:tabs>
          <w:tab w:val="left" w:pos="1323"/>
        </w:tabs>
        <w:kinsoku/>
        <w:wordWrap/>
        <w:overflowPunct/>
        <w:topLinePunct w:val="0"/>
        <w:autoSpaceDE/>
        <w:autoSpaceDN/>
        <w:bidi w:val="0"/>
        <w:adjustRightInd w:val="0"/>
        <w:snapToGrid w:val="0"/>
        <w:jc w:val="center"/>
        <w:textAlignment w:val="auto"/>
        <w:outlineLvl w:val="0"/>
        <w:rPr>
          <w:rFonts w:ascii="仿宋" w:hAnsi="仿宋" w:eastAsia="仿宋"/>
          <w:b/>
          <w:sz w:val="24"/>
          <w:szCs w:val="24"/>
        </w:rPr>
      </w:pPr>
      <w:bookmarkStart w:id="101" w:name="_Toc6450"/>
      <w:r>
        <w:rPr>
          <w:rFonts w:hint="eastAsia" w:ascii="仿宋" w:hAnsi="仿宋" w:eastAsia="仿宋"/>
          <w:b/>
          <w:sz w:val="24"/>
          <w:szCs w:val="24"/>
          <w:lang w:val="en-US" w:eastAsia="zh-CN"/>
        </w:rPr>
        <w:t>绩效评价</w:t>
      </w:r>
      <w:r>
        <w:rPr>
          <w:rFonts w:hint="eastAsia" w:ascii="仿宋" w:hAnsi="仿宋" w:eastAsia="仿宋"/>
          <w:b/>
          <w:sz w:val="24"/>
          <w:szCs w:val="24"/>
        </w:rPr>
        <w:t>指标及评分表</w:t>
      </w:r>
      <w:bookmarkEnd w:id="94"/>
      <w:bookmarkEnd w:id="95"/>
      <w:bookmarkEnd w:id="96"/>
      <w:bookmarkEnd w:id="97"/>
      <w:bookmarkEnd w:id="98"/>
      <w:bookmarkEnd w:id="99"/>
      <w:bookmarkEnd w:id="100"/>
      <w:bookmarkEnd w:id="101"/>
    </w:p>
    <w:tbl>
      <w:tblPr>
        <w:tblStyle w:val="9"/>
        <w:tblW w:w="6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443"/>
        <w:gridCol w:w="590"/>
        <w:gridCol w:w="389"/>
        <w:gridCol w:w="814"/>
        <w:gridCol w:w="615"/>
        <w:gridCol w:w="4440"/>
        <w:gridCol w:w="1545"/>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blHeader/>
          <w:jc w:val="center"/>
        </w:trPr>
        <w:tc>
          <w:tcPr>
            <w:tcW w:w="266" w:type="pct"/>
            <w:shd w:val="clear" w:color="auto" w:fill="FFFFFF"/>
            <w:tcMar>
              <w:top w:w="10" w:type="dxa"/>
              <w:left w:w="10" w:type="dxa"/>
              <w:bottom w:w="0" w:type="dxa"/>
              <w:right w:w="10" w:type="dxa"/>
            </w:tcMar>
            <w:vAlign w:val="center"/>
          </w:tcPr>
          <w:p>
            <w:pPr>
              <w:jc w:val="center"/>
              <w:rPr>
                <w:rFonts w:ascii="黑体" w:hAnsi="黑体" w:eastAsia="黑体" w:cs="Times New Roman"/>
                <w:bCs/>
                <w:sz w:val="24"/>
                <w:szCs w:val="24"/>
              </w:rPr>
            </w:pPr>
            <w:r>
              <w:rPr>
                <w:rFonts w:ascii="黑体" w:hAnsi="黑体" w:eastAsia="黑体" w:cs="Times New Roman"/>
                <w:bCs/>
                <w:sz w:val="24"/>
                <w:szCs w:val="24"/>
              </w:rPr>
              <w:t>一级</w:t>
            </w:r>
            <w:r>
              <w:rPr>
                <w:rFonts w:ascii="黑体" w:hAnsi="黑体" w:eastAsia="黑体" w:cs="Times New Roman"/>
                <w:bCs/>
                <w:sz w:val="24"/>
                <w:szCs w:val="24"/>
              </w:rPr>
              <w:br w:type="textWrapping"/>
            </w:r>
            <w:r>
              <w:rPr>
                <w:rFonts w:ascii="黑体" w:hAnsi="黑体" w:eastAsia="黑体" w:cs="Times New Roman"/>
                <w:bCs/>
                <w:sz w:val="24"/>
                <w:szCs w:val="24"/>
              </w:rPr>
              <w:t>指标</w:t>
            </w:r>
          </w:p>
        </w:tc>
        <w:tc>
          <w:tcPr>
            <w:tcW w:w="220" w:type="pct"/>
            <w:shd w:val="clear" w:color="auto" w:fill="FFFFFF"/>
            <w:tcMar>
              <w:top w:w="10" w:type="dxa"/>
              <w:left w:w="10" w:type="dxa"/>
              <w:bottom w:w="0" w:type="dxa"/>
              <w:right w:w="10" w:type="dxa"/>
            </w:tcMar>
            <w:vAlign w:val="center"/>
          </w:tcPr>
          <w:p>
            <w:pPr>
              <w:jc w:val="center"/>
              <w:rPr>
                <w:rFonts w:hint="eastAsia"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分值</w:t>
            </w:r>
          </w:p>
        </w:tc>
        <w:tc>
          <w:tcPr>
            <w:tcW w:w="293" w:type="pct"/>
            <w:shd w:val="clear" w:color="auto" w:fill="FFFFFF"/>
            <w:tcMar>
              <w:top w:w="10" w:type="dxa"/>
              <w:left w:w="10" w:type="dxa"/>
              <w:bottom w:w="0" w:type="dxa"/>
              <w:right w:w="10" w:type="dxa"/>
            </w:tcMar>
            <w:vAlign w:val="center"/>
          </w:tcPr>
          <w:p>
            <w:pPr>
              <w:jc w:val="center"/>
              <w:rPr>
                <w:rFonts w:ascii="黑体" w:hAnsi="黑体" w:eastAsia="黑体" w:cs="Times New Roman"/>
                <w:bCs/>
                <w:sz w:val="24"/>
                <w:szCs w:val="24"/>
              </w:rPr>
            </w:pPr>
            <w:r>
              <w:rPr>
                <w:rFonts w:ascii="黑体" w:hAnsi="黑体" w:eastAsia="黑体" w:cs="Times New Roman"/>
                <w:bCs/>
                <w:sz w:val="24"/>
                <w:szCs w:val="24"/>
              </w:rPr>
              <w:t>二级</w:t>
            </w:r>
            <w:r>
              <w:rPr>
                <w:rFonts w:ascii="黑体" w:hAnsi="黑体" w:eastAsia="黑体" w:cs="Times New Roman"/>
                <w:bCs/>
                <w:sz w:val="24"/>
                <w:szCs w:val="24"/>
              </w:rPr>
              <w:br w:type="textWrapping"/>
            </w:r>
            <w:r>
              <w:rPr>
                <w:rFonts w:ascii="黑体" w:hAnsi="黑体" w:eastAsia="黑体" w:cs="Times New Roman"/>
                <w:bCs/>
                <w:sz w:val="24"/>
                <w:szCs w:val="24"/>
              </w:rPr>
              <w:t>指标</w:t>
            </w:r>
          </w:p>
        </w:tc>
        <w:tc>
          <w:tcPr>
            <w:tcW w:w="193" w:type="pct"/>
            <w:shd w:val="clear" w:color="auto" w:fill="FFFFFF"/>
            <w:tcMar>
              <w:top w:w="10" w:type="dxa"/>
              <w:left w:w="10" w:type="dxa"/>
              <w:bottom w:w="0" w:type="dxa"/>
              <w:right w:w="10" w:type="dxa"/>
            </w:tcMar>
            <w:vAlign w:val="center"/>
          </w:tcPr>
          <w:p>
            <w:pPr>
              <w:jc w:val="center"/>
              <w:rPr>
                <w:rFonts w:hint="eastAsia"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分值</w:t>
            </w:r>
          </w:p>
        </w:tc>
        <w:tc>
          <w:tcPr>
            <w:tcW w:w="404" w:type="pct"/>
            <w:shd w:val="clear" w:color="auto" w:fill="FFFFFF"/>
            <w:tcMar>
              <w:top w:w="10" w:type="dxa"/>
              <w:left w:w="10" w:type="dxa"/>
              <w:bottom w:w="0" w:type="dxa"/>
              <w:right w:w="10" w:type="dxa"/>
            </w:tcMar>
            <w:vAlign w:val="center"/>
          </w:tcPr>
          <w:p>
            <w:pPr>
              <w:jc w:val="center"/>
              <w:rPr>
                <w:rFonts w:ascii="黑体" w:hAnsi="黑体" w:eastAsia="黑体" w:cs="Times New Roman"/>
                <w:bCs/>
                <w:sz w:val="24"/>
                <w:szCs w:val="24"/>
              </w:rPr>
            </w:pPr>
            <w:r>
              <w:rPr>
                <w:rFonts w:ascii="黑体" w:hAnsi="黑体" w:eastAsia="黑体" w:cs="Times New Roman"/>
                <w:bCs/>
                <w:sz w:val="24"/>
                <w:szCs w:val="24"/>
              </w:rPr>
              <w:t>三级指标</w:t>
            </w:r>
          </w:p>
        </w:tc>
        <w:tc>
          <w:tcPr>
            <w:tcW w:w="305" w:type="pct"/>
            <w:shd w:val="clear" w:color="auto" w:fill="FFFFFF"/>
            <w:tcMar>
              <w:top w:w="10" w:type="dxa"/>
              <w:left w:w="10" w:type="dxa"/>
              <w:bottom w:w="0" w:type="dxa"/>
              <w:right w:w="10" w:type="dxa"/>
            </w:tcMar>
            <w:vAlign w:val="center"/>
          </w:tcPr>
          <w:p>
            <w:pPr>
              <w:jc w:val="center"/>
              <w:rPr>
                <w:rFonts w:hint="eastAsia"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分值</w:t>
            </w:r>
          </w:p>
        </w:tc>
        <w:tc>
          <w:tcPr>
            <w:tcW w:w="2206" w:type="pct"/>
            <w:shd w:val="clear" w:color="auto" w:fill="FFFFFF"/>
            <w:tcMar>
              <w:top w:w="10" w:type="dxa"/>
              <w:left w:w="10" w:type="dxa"/>
              <w:bottom w:w="0" w:type="dxa"/>
              <w:right w:w="10" w:type="dxa"/>
            </w:tcMar>
            <w:vAlign w:val="center"/>
          </w:tcPr>
          <w:p>
            <w:pPr>
              <w:jc w:val="center"/>
              <w:rPr>
                <w:rFonts w:ascii="黑体" w:hAnsi="黑体" w:eastAsia="黑体" w:cs="Times New Roman"/>
                <w:bCs/>
                <w:sz w:val="24"/>
                <w:szCs w:val="24"/>
              </w:rPr>
            </w:pPr>
            <w:r>
              <w:rPr>
                <w:rFonts w:ascii="黑体" w:hAnsi="黑体" w:eastAsia="黑体" w:cs="Times New Roman"/>
                <w:bCs/>
                <w:sz w:val="24"/>
                <w:szCs w:val="24"/>
              </w:rPr>
              <w:t>指标说明</w:t>
            </w:r>
          </w:p>
        </w:tc>
        <w:tc>
          <w:tcPr>
            <w:tcW w:w="767" w:type="pct"/>
            <w:shd w:val="clear" w:color="auto" w:fill="FFFFFF"/>
            <w:tcMar>
              <w:top w:w="10" w:type="dxa"/>
              <w:left w:w="10" w:type="dxa"/>
              <w:bottom w:w="0" w:type="dxa"/>
              <w:right w:w="10" w:type="dxa"/>
            </w:tcMar>
            <w:vAlign w:val="center"/>
          </w:tcPr>
          <w:p>
            <w:pPr>
              <w:jc w:val="center"/>
              <w:rPr>
                <w:rFonts w:hint="default"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扣分原因</w:t>
            </w:r>
          </w:p>
        </w:tc>
        <w:tc>
          <w:tcPr>
            <w:tcW w:w="340" w:type="pct"/>
            <w:shd w:val="clear" w:color="auto" w:fill="FFFFFF"/>
            <w:tcMar>
              <w:top w:w="10" w:type="dxa"/>
              <w:left w:w="10" w:type="dxa"/>
              <w:bottom w:w="0" w:type="dxa"/>
              <w:right w:w="10" w:type="dxa"/>
            </w:tcMar>
            <w:vAlign w:val="center"/>
          </w:tcPr>
          <w:p>
            <w:pPr>
              <w:jc w:val="center"/>
              <w:rPr>
                <w:rFonts w:hint="eastAsia" w:ascii="黑体" w:hAnsi="黑体" w:eastAsia="黑体" w:cs="Times New Roman"/>
                <w:bCs/>
                <w:sz w:val="24"/>
                <w:szCs w:val="24"/>
                <w:lang w:val="en-US" w:eastAsia="zh-CN"/>
              </w:rPr>
            </w:pPr>
            <w:r>
              <w:rPr>
                <w:rFonts w:hint="eastAsia" w:ascii="黑体" w:hAnsi="黑体" w:eastAsia="黑体" w:cs="Times New Roman"/>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266" w:type="pct"/>
            <w:vMerge w:val="restart"/>
            <w:shd w:val="clear" w:color="auto" w:fill="FFFFFF"/>
            <w:noWrap/>
            <w:tcMar>
              <w:top w:w="10" w:type="dxa"/>
              <w:left w:w="10" w:type="dxa"/>
              <w:bottom w:w="0" w:type="dxa"/>
              <w:right w:w="10" w:type="dxa"/>
            </w:tcMar>
            <w:textDirection w:val="tbRlV"/>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决  策</w:t>
            </w:r>
          </w:p>
        </w:tc>
        <w:tc>
          <w:tcPr>
            <w:tcW w:w="220" w:type="pct"/>
            <w:vMerge w:val="restar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w:t>
            </w:r>
          </w:p>
        </w:tc>
        <w:tc>
          <w:tcPr>
            <w:tcW w:w="293" w:type="pct"/>
            <w:vMerge w:val="restar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预算支出决策（项目立项）</w:t>
            </w:r>
          </w:p>
        </w:tc>
        <w:tc>
          <w:tcPr>
            <w:tcW w:w="193" w:type="pct"/>
            <w:vMerge w:val="restart"/>
            <w:shd w:val="clear" w:color="auto" w:fill="FFFFFF"/>
            <w:tcMar>
              <w:top w:w="10" w:type="dxa"/>
              <w:left w:w="10" w:type="dxa"/>
              <w:bottom w:w="0" w:type="dxa"/>
              <w:right w:w="10" w:type="dxa"/>
            </w:tcMar>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预算支出决策（项目立项）依据充分性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r>
              <w:rPr>
                <w:rFonts w:ascii="Times New Roman" w:hAnsi="Times New Roman" w:eastAsia="仿宋_GB2312" w:cs="Times New Roman"/>
                <w:szCs w:val="21"/>
              </w:rPr>
              <w:br w:type="textWrapping"/>
            </w:r>
            <w:r>
              <w:rPr>
                <w:rFonts w:hint="eastAsia" w:ascii="宋体" w:hAnsi="宋体" w:eastAsia="宋体" w:cs="宋体"/>
                <w:szCs w:val="21"/>
              </w:rPr>
              <w:t>①</w:t>
            </w:r>
            <w:r>
              <w:rPr>
                <w:rFonts w:ascii="Times New Roman" w:hAnsi="Times New Roman" w:eastAsia="仿宋_GB2312" w:cs="Times New Roman"/>
                <w:szCs w:val="21"/>
              </w:rPr>
              <w:t>决策（立项）是否符合国家相关法律法规、国民经济发展规划和相关政策；</w:t>
            </w:r>
            <w:r>
              <w:rPr>
                <w:rFonts w:hint="eastAsia" w:ascii="宋体" w:hAnsi="宋体" w:eastAsia="宋体" w:cs="宋体"/>
                <w:szCs w:val="21"/>
              </w:rPr>
              <w:t>②</w:t>
            </w:r>
            <w:r>
              <w:rPr>
                <w:rFonts w:ascii="Times New Roman" w:hAnsi="Times New Roman" w:eastAsia="仿宋_GB2312" w:cs="Times New Roman"/>
                <w:szCs w:val="21"/>
              </w:rPr>
              <w:t>决策（立项）是否符合行业发展规划和政策要求；</w:t>
            </w:r>
            <w:r>
              <w:rPr>
                <w:rFonts w:hint="eastAsia" w:ascii="宋体" w:hAnsi="宋体" w:eastAsia="宋体" w:cs="宋体"/>
                <w:szCs w:val="21"/>
              </w:rPr>
              <w:t>③</w:t>
            </w:r>
            <w:r>
              <w:rPr>
                <w:rFonts w:ascii="Times New Roman" w:hAnsi="Times New Roman" w:eastAsia="仿宋_GB2312" w:cs="Times New Roman"/>
                <w:szCs w:val="21"/>
              </w:rPr>
              <w:t>决策（立项）是否与部门职责范围相符，属于部门履职所需；</w:t>
            </w:r>
            <w:r>
              <w:rPr>
                <w:rFonts w:hint="eastAsia" w:ascii="宋体" w:hAnsi="宋体" w:eastAsia="宋体" w:cs="宋体"/>
                <w:szCs w:val="21"/>
              </w:rPr>
              <w:t>④</w:t>
            </w:r>
            <w:r>
              <w:rPr>
                <w:rFonts w:ascii="Times New Roman" w:hAnsi="Times New Roman" w:eastAsia="仿宋_GB2312" w:cs="Times New Roman"/>
                <w:szCs w:val="21"/>
              </w:rPr>
              <w:t>预算支出是否属于公共财政支持范围，是否符合中央、地方事权支出责任划分原则；</w:t>
            </w:r>
            <w:r>
              <w:rPr>
                <w:rFonts w:hint="eastAsia" w:ascii="宋体" w:hAnsi="宋体" w:eastAsia="宋体" w:cs="宋体"/>
                <w:szCs w:val="21"/>
              </w:rPr>
              <w:t>⑤</w:t>
            </w:r>
            <w:r>
              <w:rPr>
                <w:rFonts w:ascii="Times New Roman" w:hAnsi="Times New Roman" w:eastAsia="仿宋_GB2312" w:cs="Times New Roman"/>
                <w:szCs w:val="21"/>
              </w:rPr>
              <w:t>预算支出是否与相关部门同类预算支出或部门内部相关预算支出重复。</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立项依据充分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宋体" w:hAnsi="宋体" w:eastAsia="宋体" w:cs="宋体"/>
                <w:szCs w:val="21"/>
              </w:rPr>
            </w:pPr>
            <w:r>
              <w:rPr>
                <w:rFonts w:hint="eastAsia" w:ascii="Times New Roman" w:hAnsi="Times New Roman" w:eastAsia="仿宋_GB2312"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266" w:type="pct"/>
            <w:vMerge w:val="continue"/>
            <w:shd w:val="clear" w:color="auto" w:fill="FFFFFF"/>
            <w:noWrap/>
            <w:tcMar>
              <w:top w:w="10" w:type="dxa"/>
              <w:left w:w="10" w:type="dxa"/>
              <w:bottom w:w="0" w:type="dxa"/>
              <w:right w:w="10" w:type="dxa"/>
            </w:tcMar>
            <w:textDirection w:val="tbRlV"/>
            <w:vAlign w:val="center"/>
          </w:tcPr>
          <w:p>
            <w:pPr>
              <w:jc w:val="center"/>
              <w:rPr>
                <w:rFonts w:ascii="Times New Roman" w:hAnsi="Times New Roman" w:eastAsia="仿宋_GB2312" w:cs="Times New Roman"/>
                <w:szCs w:val="21"/>
              </w:rPr>
            </w:pPr>
          </w:p>
        </w:tc>
        <w:tc>
          <w:tcPr>
            <w:tcW w:w="220" w:type="pct"/>
            <w:vMerge w:val="continue"/>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293" w:type="pct"/>
            <w:vMerge w:val="continue"/>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193" w:type="pct"/>
            <w:vMerge w:val="continue"/>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决策（立项）程序规范性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p>
          <w:p>
            <w:pPr>
              <w:spacing w:line="260" w:lineRule="exact"/>
              <w:ind w:left="105" w:leftChars="50"/>
              <w:rPr>
                <w:rFonts w:ascii="Times New Roman" w:hAnsi="Times New Roman" w:eastAsia="仿宋_GB2312" w:cs="Times New Roman"/>
                <w:szCs w:val="21"/>
              </w:rPr>
            </w:pPr>
            <w:r>
              <w:rPr>
                <w:rFonts w:hint="eastAsia" w:ascii="宋体" w:hAnsi="宋体" w:eastAsia="宋体" w:cs="宋体"/>
                <w:szCs w:val="21"/>
              </w:rPr>
              <w:t>①</w:t>
            </w:r>
            <w:r>
              <w:rPr>
                <w:rFonts w:ascii="Times New Roman" w:hAnsi="Times New Roman" w:eastAsia="仿宋_GB2312" w:cs="Times New Roman"/>
                <w:szCs w:val="21"/>
              </w:rPr>
              <w:t>预算支出是否按照规定的程序申请设立；</w:t>
            </w:r>
            <w:r>
              <w:rPr>
                <w:rFonts w:hint="eastAsia" w:ascii="宋体" w:hAnsi="宋体" w:eastAsia="宋体" w:cs="宋体"/>
                <w:szCs w:val="21"/>
              </w:rPr>
              <w:t>②</w:t>
            </w:r>
            <w:r>
              <w:rPr>
                <w:rFonts w:ascii="Times New Roman" w:hAnsi="Times New Roman" w:eastAsia="仿宋_GB2312" w:cs="Times New Roman"/>
                <w:szCs w:val="21"/>
              </w:rPr>
              <w:t>审批文件、材料是否符合相关要求；</w:t>
            </w:r>
            <w:r>
              <w:rPr>
                <w:rFonts w:hint="eastAsia" w:ascii="宋体" w:hAnsi="宋体" w:eastAsia="宋体" w:cs="宋体"/>
                <w:szCs w:val="21"/>
              </w:rPr>
              <w:t>③</w:t>
            </w:r>
            <w:r>
              <w:rPr>
                <w:rFonts w:ascii="Times New Roman" w:hAnsi="Times New Roman" w:eastAsia="仿宋_GB2312" w:cs="Times New Roman"/>
                <w:szCs w:val="21"/>
              </w:rPr>
              <w:t>事前是否已经过必要的可行性研究、专家论证、风险评估、绩效评估、集体决策。</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业务用房超过立项有效期未重新立项，投资测算不严谨，扣0.5分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宋体" w:hAnsi="宋体" w:eastAsia="宋体" w:cs="宋体"/>
                <w:szCs w:val="21"/>
                <w:lang w:val="en-US"/>
              </w:rPr>
            </w:pPr>
            <w:r>
              <w:rPr>
                <w:rFonts w:hint="eastAsia" w:ascii="Times New Roman" w:hAnsi="Times New Roman" w:eastAsia="仿宋_GB2312" w:cs="Times New Roman"/>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2" w:hRule="atLeast"/>
          <w:jc w:val="center"/>
        </w:trPr>
        <w:tc>
          <w:tcPr>
            <w:tcW w:w="266" w:type="pct"/>
            <w:vMerge w:val="continue"/>
            <w:shd w:val="clear" w:color="auto" w:fill="FFFFFF"/>
            <w:vAlign w:val="center"/>
          </w:tcPr>
          <w:p>
            <w:pPr>
              <w:rPr>
                <w:rFonts w:ascii="Times New Roman" w:hAnsi="Times New Roman" w:eastAsia="仿宋_GB2312" w:cs="Times New Roman"/>
                <w:szCs w:val="21"/>
              </w:rPr>
            </w:pPr>
          </w:p>
        </w:tc>
        <w:tc>
          <w:tcPr>
            <w:tcW w:w="220" w:type="pct"/>
            <w:vMerge w:val="continue"/>
            <w:shd w:val="clear" w:color="auto" w:fill="FFFFFF"/>
            <w:vAlign w:val="center"/>
          </w:tcPr>
          <w:p>
            <w:pPr>
              <w:rPr>
                <w:rFonts w:ascii="Times New Roman" w:hAnsi="Times New Roman" w:eastAsia="仿宋_GB2312" w:cs="Times New Roman"/>
                <w:szCs w:val="21"/>
              </w:rPr>
            </w:pPr>
          </w:p>
        </w:tc>
        <w:tc>
          <w:tcPr>
            <w:tcW w:w="293" w:type="pct"/>
            <w:vMerge w:val="restart"/>
            <w:shd w:val="clear" w:color="auto" w:fill="FFFFFF"/>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绩效</w:t>
            </w:r>
          </w:p>
          <w:p>
            <w:pPr>
              <w:jc w:val="center"/>
              <w:rPr>
                <w:rFonts w:ascii="Times New Roman" w:hAnsi="Times New Roman" w:eastAsia="仿宋_GB2312" w:cs="Times New Roman"/>
                <w:szCs w:val="21"/>
              </w:rPr>
            </w:pPr>
            <w:r>
              <w:rPr>
                <w:rFonts w:ascii="Times New Roman" w:hAnsi="Times New Roman" w:eastAsia="仿宋_GB2312" w:cs="Times New Roman"/>
                <w:szCs w:val="21"/>
              </w:rPr>
              <w:t>目标</w:t>
            </w:r>
          </w:p>
        </w:tc>
        <w:tc>
          <w:tcPr>
            <w:tcW w:w="193" w:type="pct"/>
            <w:shd w:val="clear" w:color="auto" w:fill="FFFFFF"/>
            <w:tcMar>
              <w:top w:w="10" w:type="dxa"/>
              <w:left w:w="10" w:type="dxa"/>
              <w:bottom w:w="0" w:type="dxa"/>
              <w:right w:w="10" w:type="dxa"/>
            </w:tcMar>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绩效目标合理性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p>
          <w:p>
            <w:pPr>
              <w:spacing w:line="260" w:lineRule="exact"/>
              <w:ind w:left="105" w:leftChars="50" w:right="105" w:rightChars="50"/>
              <w:rPr>
                <w:rFonts w:ascii="Times New Roman" w:hAnsi="Times New Roman" w:eastAsia="仿宋_GB2312" w:cs="Times New Roman"/>
                <w:szCs w:val="21"/>
              </w:rPr>
            </w:pPr>
            <w:r>
              <w:rPr>
                <w:rFonts w:hint="eastAsia" w:ascii="宋体" w:hAnsi="宋体" w:eastAsia="宋体" w:cs="宋体"/>
                <w:szCs w:val="21"/>
              </w:rPr>
              <w:t>①</w:t>
            </w:r>
            <w:r>
              <w:rPr>
                <w:rFonts w:ascii="Times New Roman" w:hAnsi="Times New Roman" w:eastAsia="仿宋_GB2312" w:cs="Times New Roman"/>
                <w:szCs w:val="21"/>
              </w:rPr>
              <w:t>预算支出是否有绩效目标；</w:t>
            </w:r>
            <w:r>
              <w:rPr>
                <w:rFonts w:hint="eastAsia" w:ascii="宋体" w:hAnsi="宋体" w:eastAsia="宋体" w:cs="宋体"/>
                <w:szCs w:val="21"/>
              </w:rPr>
              <w:t>②</w:t>
            </w:r>
            <w:r>
              <w:rPr>
                <w:rFonts w:ascii="Times New Roman" w:hAnsi="Times New Roman" w:eastAsia="仿宋_GB2312" w:cs="Times New Roman"/>
                <w:szCs w:val="21"/>
              </w:rPr>
              <w:t>预算支出绩效目标与实际工作内容是否具有相关性；</w:t>
            </w:r>
            <w:r>
              <w:rPr>
                <w:rFonts w:hint="eastAsia" w:ascii="宋体" w:hAnsi="宋体" w:eastAsia="宋体" w:cs="宋体"/>
                <w:szCs w:val="21"/>
              </w:rPr>
              <w:t>③</w:t>
            </w:r>
            <w:r>
              <w:rPr>
                <w:rFonts w:ascii="Times New Roman" w:hAnsi="Times New Roman" w:eastAsia="仿宋_GB2312" w:cs="Times New Roman"/>
                <w:szCs w:val="21"/>
              </w:rPr>
              <w:t>预算支出预期产出效益和效果是否符合正常的业绩水平；是否与预算确定的预算支出投资额或资金量相匹配。</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三个项目的绩效目标关联性不足，扣0.5分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宋体" w:hAnsi="宋体" w:eastAsia="宋体" w:cs="宋体"/>
                <w:szCs w:val="21"/>
                <w:lang w:val="en-US" w:eastAsia="zh-CN"/>
              </w:rPr>
            </w:pPr>
            <w:r>
              <w:rPr>
                <w:rFonts w:hint="eastAsia" w:ascii="Times New Roman" w:hAnsi="Times New Roman" w:eastAsia="仿宋_GB2312" w:cs="Times New Roman"/>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 w:hRule="atLeast"/>
          <w:jc w:val="center"/>
        </w:trPr>
        <w:tc>
          <w:tcPr>
            <w:tcW w:w="266" w:type="pct"/>
            <w:vMerge w:val="continue"/>
            <w:shd w:val="clear" w:color="auto" w:fill="FFFFFF"/>
            <w:vAlign w:val="center"/>
          </w:tcPr>
          <w:p>
            <w:pPr>
              <w:rPr>
                <w:rFonts w:ascii="Times New Roman" w:hAnsi="Times New Roman" w:eastAsia="仿宋_GB2312" w:cs="Times New Roman"/>
                <w:szCs w:val="21"/>
              </w:rPr>
            </w:pPr>
          </w:p>
        </w:tc>
        <w:tc>
          <w:tcPr>
            <w:tcW w:w="220" w:type="pct"/>
            <w:vMerge w:val="continue"/>
            <w:shd w:val="clear" w:color="auto" w:fill="FFFFFF"/>
            <w:vAlign w:val="center"/>
          </w:tcPr>
          <w:p>
            <w:pPr>
              <w:rPr>
                <w:rFonts w:ascii="Times New Roman" w:hAnsi="Times New Roman" w:eastAsia="仿宋_GB2312" w:cs="Times New Roman"/>
                <w:szCs w:val="21"/>
              </w:rPr>
            </w:pPr>
          </w:p>
        </w:tc>
        <w:tc>
          <w:tcPr>
            <w:tcW w:w="293" w:type="pct"/>
            <w:vMerge w:val="continue"/>
            <w:shd w:val="clear" w:color="auto" w:fill="FFFFFF"/>
            <w:vAlign w:val="center"/>
          </w:tcPr>
          <w:p>
            <w:pPr>
              <w:jc w:val="center"/>
              <w:rPr>
                <w:rFonts w:ascii="Times New Roman" w:hAnsi="Times New Roman" w:eastAsia="仿宋_GB2312" w:cs="Times New Roman"/>
                <w:szCs w:val="21"/>
              </w:rPr>
            </w:pPr>
          </w:p>
        </w:tc>
        <w:tc>
          <w:tcPr>
            <w:tcW w:w="193" w:type="pc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绩效指标明确性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r>
              <w:rPr>
                <w:rFonts w:ascii="Times New Roman" w:hAnsi="Times New Roman" w:eastAsia="仿宋_GB2312" w:cs="Times New Roman"/>
                <w:szCs w:val="21"/>
              </w:rPr>
              <w:br w:type="textWrapping"/>
            </w:r>
            <w:r>
              <w:rPr>
                <w:rFonts w:hint="eastAsia" w:ascii="宋体" w:hAnsi="宋体" w:eastAsia="宋体" w:cs="宋体"/>
                <w:szCs w:val="21"/>
              </w:rPr>
              <w:t>①</w:t>
            </w:r>
            <w:r>
              <w:rPr>
                <w:rFonts w:ascii="Times New Roman" w:hAnsi="Times New Roman" w:eastAsia="仿宋_GB2312" w:cs="Times New Roman"/>
                <w:szCs w:val="21"/>
              </w:rPr>
              <w:t>是否将预算支出绩效目标细化分解为具体的绩效指标；</w:t>
            </w:r>
            <w:r>
              <w:rPr>
                <w:rFonts w:hint="eastAsia" w:ascii="宋体" w:hAnsi="宋体" w:eastAsia="宋体" w:cs="宋体"/>
                <w:szCs w:val="21"/>
              </w:rPr>
              <w:t>②</w:t>
            </w:r>
            <w:r>
              <w:rPr>
                <w:rFonts w:ascii="Times New Roman" w:hAnsi="Times New Roman" w:eastAsia="仿宋_GB2312" w:cs="Times New Roman"/>
                <w:szCs w:val="21"/>
              </w:rPr>
              <w:t>是否通过清晰、可衡量的指标值予以体现；</w:t>
            </w:r>
            <w:r>
              <w:rPr>
                <w:rFonts w:hint="eastAsia" w:ascii="宋体" w:hAnsi="宋体" w:eastAsia="宋体" w:cs="宋体"/>
                <w:szCs w:val="21"/>
              </w:rPr>
              <w:t>③</w:t>
            </w:r>
            <w:r>
              <w:rPr>
                <w:rFonts w:ascii="Times New Roman" w:hAnsi="Times New Roman" w:eastAsia="仿宋_GB2312" w:cs="Times New Roman"/>
                <w:szCs w:val="21"/>
              </w:rPr>
              <w:t>是否与预算支出目标任务数或计划数相对应。</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绩效指标明确</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jc w:val="center"/>
        </w:trPr>
        <w:tc>
          <w:tcPr>
            <w:tcW w:w="266" w:type="pct"/>
            <w:vMerge w:val="continue"/>
            <w:shd w:val="clear" w:color="auto" w:fill="FFFFFF"/>
            <w:vAlign w:val="center"/>
          </w:tcPr>
          <w:p>
            <w:pPr>
              <w:rPr>
                <w:rFonts w:ascii="Times New Roman" w:hAnsi="Times New Roman" w:eastAsia="仿宋_GB2312" w:cs="Times New Roman"/>
                <w:szCs w:val="21"/>
              </w:rPr>
            </w:pPr>
          </w:p>
        </w:tc>
        <w:tc>
          <w:tcPr>
            <w:tcW w:w="220" w:type="pct"/>
            <w:vMerge w:val="continue"/>
            <w:shd w:val="clear" w:color="auto" w:fill="FFFFFF"/>
            <w:vAlign w:val="center"/>
          </w:tcPr>
          <w:p>
            <w:pPr>
              <w:rPr>
                <w:rFonts w:ascii="Times New Roman" w:hAnsi="Times New Roman" w:eastAsia="仿宋_GB2312" w:cs="Times New Roman"/>
                <w:szCs w:val="21"/>
              </w:rPr>
            </w:pPr>
          </w:p>
        </w:tc>
        <w:tc>
          <w:tcPr>
            <w:tcW w:w="293" w:type="pct"/>
            <w:vMerge w:val="restart"/>
            <w:shd w:val="clear" w:color="auto" w:fill="FFFFFF"/>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资金</w:t>
            </w:r>
          </w:p>
          <w:p>
            <w:pPr>
              <w:jc w:val="center"/>
              <w:rPr>
                <w:rFonts w:ascii="Times New Roman" w:hAnsi="Times New Roman" w:eastAsia="仿宋_GB2312" w:cs="Times New Roman"/>
                <w:szCs w:val="21"/>
              </w:rPr>
            </w:pPr>
            <w:r>
              <w:rPr>
                <w:rFonts w:ascii="Times New Roman" w:hAnsi="Times New Roman" w:eastAsia="仿宋_GB2312" w:cs="Times New Roman"/>
                <w:szCs w:val="21"/>
              </w:rPr>
              <w:t>投入</w:t>
            </w:r>
          </w:p>
        </w:tc>
        <w:tc>
          <w:tcPr>
            <w:tcW w:w="193" w:type="pct"/>
            <w:vMerge w:val="restar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预算编制科学性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p>
          <w:p>
            <w:pPr>
              <w:spacing w:line="260" w:lineRule="exact"/>
              <w:ind w:left="105" w:leftChars="50" w:right="105" w:rightChars="50"/>
              <w:rPr>
                <w:rFonts w:ascii="Times New Roman" w:hAnsi="Times New Roman" w:eastAsia="仿宋_GB2312" w:cs="Times New Roman"/>
                <w:szCs w:val="21"/>
              </w:rPr>
            </w:pPr>
            <w:r>
              <w:rPr>
                <w:rFonts w:hint="eastAsia" w:ascii="宋体" w:hAnsi="宋体" w:eastAsia="宋体" w:cs="宋体"/>
                <w:szCs w:val="21"/>
              </w:rPr>
              <w:t>①</w:t>
            </w:r>
            <w:r>
              <w:rPr>
                <w:rFonts w:ascii="Times New Roman" w:hAnsi="Times New Roman" w:eastAsia="仿宋_GB2312" w:cs="Times New Roman"/>
                <w:szCs w:val="21"/>
              </w:rPr>
              <w:t>预算编制是否经过科学论证；</w:t>
            </w:r>
            <w:r>
              <w:rPr>
                <w:rFonts w:hint="eastAsia" w:ascii="宋体" w:hAnsi="宋体" w:eastAsia="宋体" w:cs="宋体"/>
                <w:szCs w:val="21"/>
              </w:rPr>
              <w:t>②</w:t>
            </w:r>
            <w:r>
              <w:rPr>
                <w:rFonts w:ascii="Times New Roman" w:hAnsi="Times New Roman" w:eastAsia="仿宋_GB2312" w:cs="Times New Roman"/>
                <w:szCs w:val="21"/>
              </w:rPr>
              <w:t>预算内容与支出内容是否匹配；</w:t>
            </w:r>
            <w:r>
              <w:rPr>
                <w:rFonts w:hint="eastAsia" w:ascii="宋体" w:hAnsi="宋体" w:eastAsia="宋体" w:cs="宋体"/>
                <w:szCs w:val="21"/>
              </w:rPr>
              <w:t>③</w:t>
            </w:r>
            <w:r>
              <w:rPr>
                <w:rFonts w:ascii="Times New Roman" w:hAnsi="Times New Roman" w:eastAsia="仿宋_GB2312" w:cs="Times New Roman"/>
                <w:szCs w:val="21"/>
              </w:rPr>
              <w:t>预算额度测算依据是否充分，是否按照标准编制；</w:t>
            </w:r>
            <w:r>
              <w:rPr>
                <w:rFonts w:hint="eastAsia" w:ascii="宋体" w:hAnsi="宋体" w:eastAsia="宋体" w:cs="宋体"/>
                <w:szCs w:val="21"/>
              </w:rPr>
              <w:t>④</w:t>
            </w:r>
            <w:r>
              <w:rPr>
                <w:rFonts w:ascii="Times New Roman" w:hAnsi="Times New Roman" w:eastAsia="仿宋_GB2312" w:cs="Times New Roman"/>
                <w:szCs w:val="21"/>
              </w:rPr>
              <w:t>预算确定的预算支出投资额或资金量是否与工作任务相匹配。</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宋体" w:hAnsi="宋体" w:eastAsia="宋体" w:cs="宋体"/>
                <w:szCs w:val="21"/>
                <w:lang w:val="en-US" w:eastAsia="zh-CN"/>
              </w:rPr>
            </w:pPr>
            <w:r>
              <w:rPr>
                <w:rFonts w:hint="eastAsia" w:ascii="Times New Roman" w:hAnsi="Times New Roman" w:eastAsia="仿宋_GB2312" w:cs="Times New Roman"/>
                <w:szCs w:val="21"/>
                <w:lang w:val="en-US" w:eastAsia="zh-CN"/>
              </w:rPr>
              <w:t>“12345”政府服务热线项目、地下应急停车场项目预算测算依据不充分，扣1分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6" w:type="pct"/>
            <w:vMerge w:val="continue"/>
            <w:shd w:val="clear" w:color="auto" w:fill="FFFFFF"/>
            <w:vAlign w:val="center"/>
          </w:tcPr>
          <w:p>
            <w:pPr>
              <w:rPr>
                <w:rFonts w:ascii="Times New Roman" w:hAnsi="Times New Roman" w:eastAsia="仿宋_GB2312" w:cs="Times New Roman"/>
                <w:szCs w:val="21"/>
              </w:rPr>
            </w:pPr>
          </w:p>
        </w:tc>
        <w:tc>
          <w:tcPr>
            <w:tcW w:w="220" w:type="pct"/>
            <w:vMerge w:val="continue"/>
            <w:shd w:val="clear" w:color="auto" w:fill="FFFFFF"/>
            <w:vAlign w:val="center"/>
          </w:tcPr>
          <w:p>
            <w:pPr>
              <w:rPr>
                <w:rFonts w:ascii="Times New Roman" w:hAnsi="Times New Roman" w:eastAsia="仿宋_GB2312" w:cs="Times New Roman"/>
                <w:szCs w:val="21"/>
              </w:rPr>
            </w:pPr>
          </w:p>
        </w:tc>
        <w:tc>
          <w:tcPr>
            <w:tcW w:w="293" w:type="pct"/>
            <w:vMerge w:val="continue"/>
            <w:shd w:val="clear" w:color="auto" w:fill="FFFFFF"/>
            <w:vAlign w:val="center"/>
          </w:tcPr>
          <w:p>
            <w:pPr>
              <w:jc w:val="center"/>
              <w:rPr>
                <w:rFonts w:ascii="Times New Roman" w:hAnsi="Times New Roman" w:eastAsia="仿宋_GB2312" w:cs="Times New Roman"/>
                <w:szCs w:val="21"/>
              </w:rPr>
            </w:pPr>
          </w:p>
        </w:tc>
        <w:tc>
          <w:tcPr>
            <w:tcW w:w="193" w:type="pct"/>
            <w:vMerge w:val="continue"/>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资金分配合理性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p>
          <w:p>
            <w:pPr>
              <w:spacing w:line="260" w:lineRule="exact"/>
              <w:ind w:right="105" w:rightChars="50" w:firstLine="105" w:firstLineChars="50"/>
              <w:rPr>
                <w:rFonts w:ascii="Times New Roman" w:hAnsi="Times New Roman" w:eastAsia="仿宋_GB2312" w:cs="Times New Roman"/>
                <w:szCs w:val="21"/>
              </w:rPr>
            </w:pPr>
            <w:r>
              <w:rPr>
                <w:rFonts w:hint="eastAsia" w:ascii="宋体" w:hAnsi="宋体" w:eastAsia="宋体" w:cs="宋体"/>
                <w:szCs w:val="21"/>
              </w:rPr>
              <w:t>①</w:t>
            </w:r>
            <w:r>
              <w:rPr>
                <w:rFonts w:ascii="Times New Roman" w:hAnsi="Times New Roman" w:eastAsia="仿宋_GB2312" w:cs="Times New Roman"/>
                <w:szCs w:val="21"/>
              </w:rPr>
              <w:t>预算资金分配依据是否充分；</w:t>
            </w:r>
            <w:r>
              <w:rPr>
                <w:rFonts w:hint="eastAsia" w:ascii="宋体" w:hAnsi="宋体" w:eastAsia="宋体" w:cs="宋体"/>
                <w:szCs w:val="21"/>
              </w:rPr>
              <w:t>②</w:t>
            </w:r>
            <w:r>
              <w:rPr>
                <w:rFonts w:ascii="Times New Roman" w:hAnsi="Times New Roman" w:eastAsia="仿宋_GB2312" w:cs="Times New Roman"/>
                <w:szCs w:val="21"/>
              </w:rPr>
              <w:t>资金分配额度是否合理，与项目实施单位或地方实际是否相适应。</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宋体" w:hAnsi="宋体" w:eastAsia="仿宋_GB2312" w:cs="宋体"/>
                <w:szCs w:val="21"/>
                <w:lang w:val="en-US" w:eastAsia="zh-CN"/>
              </w:rPr>
            </w:pPr>
            <w:r>
              <w:rPr>
                <w:rFonts w:ascii="Times New Roman" w:hAnsi="Times New Roman" w:eastAsia="仿宋_GB2312" w:cs="Times New Roman"/>
                <w:szCs w:val="21"/>
              </w:rPr>
              <w:t>预算资金分配依据</w:t>
            </w:r>
            <w:r>
              <w:rPr>
                <w:rFonts w:hint="eastAsia" w:ascii="Times New Roman" w:hAnsi="Times New Roman" w:eastAsia="仿宋_GB2312" w:cs="Times New Roman"/>
                <w:szCs w:val="21"/>
                <w:lang w:val="en-US" w:eastAsia="zh-CN"/>
              </w:rPr>
              <w:t>不够充分，扣1分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atLeast"/>
          <w:jc w:val="center"/>
        </w:trPr>
        <w:tc>
          <w:tcPr>
            <w:tcW w:w="266" w:type="pct"/>
            <w:vMerge w:val="restart"/>
            <w:shd w:val="clear" w:color="auto" w:fill="FFFFFF"/>
            <w:vAlign w:val="center"/>
          </w:tcPr>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Cs w:val="21"/>
              </w:rPr>
            </w:pPr>
            <w:r>
              <w:rPr>
                <w:rFonts w:ascii="Times New Roman" w:hAnsi="Times New Roman" w:eastAsia="仿宋_GB2312" w:cs="Times New Roman"/>
                <w:szCs w:val="21"/>
              </w:rPr>
              <w:t>过</w:t>
            </w:r>
          </w:p>
          <w:p>
            <w:pPr>
              <w:jc w:val="center"/>
              <w:rPr>
                <w:rFonts w:ascii="Times New Roman" w:hAnsi="Times New Roman" w:eastAsia="仿宋_GB2312" w:cs="Times New Roman"/>
                <w:szCs w:val="21"/>
              </w:rPr>
            </w:pPr>
            <w:r>
              <w:rPr>
                <w:rFonts w:ascii="Times New Roman" w:hAnsi="Times New Roman" w:eastAsia="仿宋_GB2312" w:cs="Times New Roman"/>
                <w:szCs w:val="21"/>
              </w:rPr>
              <w:t>程</w:t>
            </w:r>
          </w:p>
        </w:tc>
        <w:tc>
          <w:tcPr>
            <w:tcW w:w="220" w:type="pc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293" w:type="pct"/>
            <w:vMerge w:val="restar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资金</w:t>
            </w:r>
            <w:r>
              <w:rPr>
                <w:rFonts w:ascii="Times New Roman" w:hAnsi="Times New Roman" w:eastAsia="仿宋_GB2312" w:cs="Times New Roman"/>
                <w:szCs w:val="21"/>
              </w:rPr>
              <w:br w:type="textWrapping"/>
            </w:r>
            <w:r>
              <w:rPr>
                <w:rFonts w:ascii="Times New Roman" w:hAnsi="Times New Roman" w:eastAsia="仿宋_GB2312" w:cs="Times New Roman"/>
                <w:szCs w:val="21"/>
              </w:rPr>
              <w:t>管理</w:t>
            </w:r>
          </w:p>
        </w:tc>
        <w:tc>
          <w:tcPr>
            <w:tcW w:w="193" w:type="pct"/>
            <w:vMerge w:val="restar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资金</w:t>
            </w:r>
          </w:p>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到位率</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资金到位率=（实际到位资金/预算资金）×100%。实际到位资金：一定时期（本年度或预算支出期）内落实到具体预算支出的资金。预算资金：一定时期（本年度或预算支出期）内预算安排到具体预算支出的资金。</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资金</w:t>
            </w:r>
          </w:p>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ascii="Times New Roman" w:hAnsi="Times New Roman" w:eastAsia="仿宋_GB2312" w:cs="Times New Roman"/>
                <w:szCs w:val="21"/>
              </w:rPr>
              <w:t>到位率</w:t>
            </w:r>
            <w:r>
              <w:rPr>
                <w:rFonts w:hint="eastAsia" w:ascii="Times New Roman" w:hAnsi="Times New Roman" w:eastAsia="仿宋_GB2312" w:cs="Times New Roman"/>
                <w:szCs w:val="21"/>
                <w:lang w:val="en-US" w:eastAsia="zh-CN"/>
              </w:rPr>
              <w:t>100%</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66" w:type="pct"/>
            <w:vMerge w:val="continue"/>
            <w:shd w:val="clear" w:color="auto" w:fill="FFFFFF"/>
            <w:vAlign w:val="center"/>
          </w:tcPr>
          <w:p>
            <w:pPr>
              <w:jc w:val="center"/>
              <w:rPr>
                <w:rFonts w:ascii="Times New Roman" w:hAnsi="Times New Roman" w:eastAsia="仿宋_GB2312" w:cs="Times New Roman"/>
                <w:szCs w:val="21"/>
              </w:rPr>
            </w:pPr>
          </w:p>
        </w:tc>
        <w:tc>
          <w:tcPr>
            <w:tcW w:w="220" w:type="pct"/>
            <w:vMerge w:val="restar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25</w:t>
            </w:r>
          </w:p>
        </w:tc>
        <w:tc>
          <w:tcPr>
            <w:tcW w:w="293" w:type="pct"/>
            <w:vMerge w:val="continue"/>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193" w:type="pct"/>
            <w:vMerge w:val="continue"/>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预算</w:t>
            </w:r>
          </w:p>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预算执行率=（实际支出资金/实际到位资金）×100%。实际支出资金：一定时期（本年度或预算支出期）内预算支出实际拨付的资金。</w:t>
            </w:r>
          </w:p>
        </w:tc>
        <w:tc>
          <w:tcPr>
            <w:tcW w:w="767" w:type="pct"/>
            <w:shd w:val="clear" w:color="auto" w:fill="FFFFFF"/>
            <w:tcMar>
              <w:top w:w="10" w:type="dxa"/>
              <w:left w:w="10" w:type="dxa"/>
              <w:bottom w:w="0" w:type="dxa"/>
              <w:right w:w="10" w:type="dxa"/>
            </w:tcMar>
            <w:vAlign w:val="center"/>
          </w:tcPr>
          <w:p>
            <w:pPr>
              <w:tabs>
                <w:tab w:val="left" w:pos="365"/>
              </w:tabs>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2012-2017年预算执行率均低于50%，扣3分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66" w:type="pct"/>
            <w:vMerge w:val="continue"/>
            <w:shd w:val="clear" w:color="auto" w:fill="FFFFFF"/>
            <w:vAlign w:val="center"/>
          </w:tcPr>
          <w:p>
            <w:pPr>
              <w:jc w:val="center"/>
              <w:rPr>
                <w:rFonts w:ascii="Times New Roman" w:hAnsi="Times New Roman" w:eastAsia="仿宋_GB2312" w:cs="Times New Roman"/>
                <w:szCs w:val="21"/>
              </w:rPr>
            </w:pPr>
          </w:p>
        </w:tc>
        <w:tc>
          <w:tcPr>
            <w:tcW w:w="220" w:type="pct"/>
            <w:vMerge w:val="continue"/>
            <w:vAlign w:val="center"/>
          </w:tcPr>
          <w:p>
            <w:pPr>
              <w:jc w:val="center"/>
              <w:rPr>
                <w:rFonts w:ascii="Times New Roman" w:hAnsi="Times New Roman" w:eastAsia="仿宋_GB2312" w:cs="Times New Roman"/>
                <w:szCs w:val="21"/>
              </w:rPr>
            </w:pPr>
          </w:p>
        </w:tc>
        <w:tc>
          <w:tcPr>
            <w:tcW w:w="293" w:type="pct"/>
            <w:vMerge w:val="continue"/>
            <w:vAlign w:val="center"/>
          </w:tcPr>
          <w:p>
            <w:pPr>
              <w:rPr>
                <w:rFonts w:ascii="Times New Roman" w:hAnsi="Times New Roman" w:eastAsia="仿宋_GB2312" w:cs="Times New Roman"/>
                <w:szCs w:val="21"/>
              </w:rPr>
            </w:pPr>
          </w:p>
        </w:tc>
        <w:tc>
          <w:tcPr>
            <w:tcW w:w="193" w:type="pct"/>
            <w:vMerge w:val="continue"/>
            <w:shd w:val="clear" w:color="auto" w:fill="FFFFFF"/>
            <w:tcMar>
              <w:top w:w="10" w:type="dxa"/>
              <w:left w:w="10" w:type="dxa"/>
              <w:bottom w:w="0" w:type="dxa"/>
              <w:right w:w="10" w:type="dxa"/>
            </w:tcMar>
            <w:vAlign w:val="center"/>
          </w:tcPr>
          <w:p>
            <w:pPr>
              <w:rPr>
                <w:rFonts w:ascii="Times New Roman" w:hAnsi="Times New Roman" w:eastAsia="仿宋_GB2312" w:cs="Times New Roman"/>
                <w:szCs w:val="21"/>
              </w:rPr>
            </w:pP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资金使用合规性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p>
          <w:p>
            <w:pPr>
              <w:spacing w:line="260" w:lineRule="exact"/>
              <w:ind w:left="105" w:leftChars="50" w:right="105" w:rightChars="50"/>
              <w:rPr>
                <w:rFonts w:ascii="Times New Roman" w:hAnsi="Times New Roman" w:eastAsia="仿宋_GB2312" w:cs="Times New Roman"/>
                <w:szCs w:val="21"/>
              </w:rPr>
            </w:pPr>
            <w:r>
              <w:rPr>
                <w:rFonts w:hint="eastAsia" w:ascii="宋体" w:hAnsi="宋体" w:eastAsia="宋体" w:cs="宋体"/>
                <w:szCs w:val="21"/>
              </w:rPr>
              <w:t>①</w:t>
            </w:r>
            <w:r>
              <w:rPr>
                <w:rFonts w:ascii="Times New Roman" w:hAnsi="Times New Roman" w:eastAsia="仿宋_GB2312" w:cs="Times New Roman"/>
                <w:szCs w:val="21"/>
              </w:rPr>
              <w:t>是否符合国家财经法规和财务管理制度以及有关专项资金管理办法的规定；</w:t>
            </w:r>
            <w:r>
              <w:rPr>
                <w:rFonts w:hint="eastAsia" w:ascii="宋体" w:hAnsi="宋体" w:eastAsia="宋体" w:cs="宋体"/>
                <w:szCs w:val="21"/>
              </w:rPr>
              <w:t>②</w:t>
            </w:r>
            <w:r>
              <w:rPr>
                <w:rFonts w:ascii="Times New Roman" w:hAnsi="Times New Roman" w:eastAsia="仿宋_GB2312" w:cs="Times New Roman"/>
                <w:szCs w:val="21"/>
              </w:rPr>
              <w:t>资金的拨付是否有完整的审批程序和手续；</w:t>
            </w:r>
            <w:r>
              <w:rPr>
                <w:rFonts w:hint="eastAsia" w:ascii="宋体" w:hAnsi="宋体" w:eastAsia="宋体" w:cs="宋体"/>
                <w:szCs w:val="21"/>
              </w:rPr>
              <w:t>③</w:t>
            </w:r>
            <w:r>
              <w:rPr>
                <w:rFonts w:ascii="Times New Roman" w:hAnsi="Times New Roman" w:eastAsia="仿宋_GB2312" w:cs="Times New Roman"/>
                <w:szCs w:val="21"/>
              </w:rPr>
              <w:t>是否符合预算支出预算批复或合同规定的用途；</w:t>
            </w:r>
            <w:r>
              <w:rPr>
                <w:rFonts w:hint="eastAsia" w:ascii="宋体" w:hAnsi="宋体" w:eastAsia="宋体" w:cs="宋体"/>
                <w:szCs w:val="21"/>
              </w:rPr>
              <w:t>④</w:t>
            </w:r>
            <w:r>
              <w:rPr>
                <w:rFonts w:ascii="Times New Roman" w:hAnsi="Times New Roman" w:eastAsia="仿宋_GB2312" w:cs="Times New Roman"/>
                <w:szCs w:val="21"/>
              </w:rPr>
              <w:t>是否存在截留、挤占、挪用、虐列支出等情况。</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购买理财产品、备用金使用不规范等，扣2分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jc w:val="center"/>
        </w:trPr>
        <w:tc>
          <w:tcPr>
            <w:tcW w:w="266" w:type="pct"/>
            <w:vMerge w:val="continue"/>
            <w:shd w:val="clear" w:color="auto" w:fill="FFFFFF"/>
            <w:noWrap/>
            <w:tcMar>
              <w:top w:w="10" w:type="dxa"/>
              <w:left w:w="10" w:type="dxa"/>
              <w:bottom w:w="0" w:type="dxa"/>
              <w:right w:w="10" w:type="dxa"/>
            </w:tcMar>
            <w:textDirection w:val="tbRlV"/>
            <w:vAlign w:val="center"/>
          </w:tcPr>
          <w:p>
            <w:pPr>
              <w:jc w:val="center"/>
              <w:rPr>
                <w:rFonts w:ascii="Times New Roman" w:hAnsi="Times New Roman" w:eastAsia="仿宋_GB2312" w:cs="Times New Roman"/>
                <w:szCs w:val="21"/>
              </w:rPr>
            </w:pPr>
          </w:p>
        </w:tc>
        <w:tc>
          <w:tcPr>
            <w:tcW w:w="220" w:type="pct"/>
            <w:vMerge w:val="continue"/>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293" w:type="pct"/>
            <w:vMerge w:val="restar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组织</w:t>
            </w:r>
          </w:p>
          <w:p>
            <w:pPr>
              <w:jc w:val="center"/>
              <w:rPr>
                <w:rFonts w:ascii="Times New Roman" w:hAnsi="Times New Roman" w:eastAsia="仿宋_GB2312" w:cs="Times New Roman"/>
                <w:szCs w:val="21"/>
              </w:rPr>
            </w:pPr>
            <w:r>
              <w:rPr>
                <w:rFonts w:ascii="Times New Roman" w:hAnsi="Times New Roman" w:eastAsia="仿宋_GB2312" w:cs="Times New Roman"/>
                <w:szCs w:val="21"/>
              </w:rPr>
              <w:t>实施</w:t>
            </w:r>
          </w:p>
        </w:tc>
        <w:tc>
          <w:tcPr>
            <w:tcW w:w="193" w:type="pct"/>
            <w:vMerge w:val="restar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管理制度健全性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r>
              <w:rPr>
                <w:rFonts w:ascii="Times New Roman" w:hAnsi="Times New Roman" w:eastAsia="仿宋_GB2312" w:cs="Times New Roman"/>
                <w:szCs w:val="21"/>
              </w:rPr>
              <w:br w:type="textWrapping"/>
            </w:r>
            <w:r>
              <w:rPr>
                <w:rFonts w:hint="eastAsia" w:ascii="宋体" w:hAnsi="宋体" w:eastAsia="宋体" w:cs="宋体"/>
                <w:szCs w:val="21"/>
              </w:rPr>
              <w:t>①</w:t>
            </w:r>
            <w:r>
              <w:rPr>
                <w:rFonts w:ascii="Times New Roman" w:hAnsi="Times New Roman" w:eastAsia="仿宋_GB2312" w:cs="Times New Roman"/>
                <w:szCs w:val="21"/>
              </w:rPr>
              <w:t>是否已制定或具有相应的业务管理制度；</w:t>
            </w:r>
            <w:r>
              <w:rPr>
                <w:rFonts w:ascii="Times New Roman" w:hAnsi="Times New Roman" w:eastAsia="仿宋_GB2312" w:cs="Times New Roman"/>
                <w:szCs w:val="21"/>
              </w:rPr>
              <w:br w:type="textWrapping"/>
            </w:r>
            <w:r>
              <w:rPr>
                <w:rFonts w:hint="eastAsia" w:ascii="宋体" w:hAnsi="宋体" w:eastAsia="宋体" w:cs="宋体"/>
                <w:szCs w:val="21"/>
              </w:rPr>
              <w:t>②</w:t>
            </w:r>
            <w:r>
              <w:rPr>
                <w:rFonts w:ascii="Times New Roman" w:hAnsi="Times New Roman" w:eastAsia="仿宋_GB2312" w:cs="Times New Roman"/>
                <w:szCs w:val="21"/>
              </w:rPr>
              <w:t>财务和业务管理制度是否合法、合规、完整。</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档案资料不完整等，扣1分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266" w:type="pct"/>
            <w:vMerge w:val="continue"/>
            <w:shd w:val="clear" w:color="auto" w:fill="FFFFFF"/>
            <w:vAlign w:val="center"/>
          </w:tcPr>
          <w:p>
            <w:pPr>
              <w:rPr>
                <w:rFonts w:ascii="Times New Roman" w:hAnsi="Times New Roman" w:eastAsia="仿宋_GB2312" w:cs="Times New Roman"/>
                <w:szCs w:val="21"/>
              </w:rPr>
            </w:pPr>
          </w:p>
        </w:tc>
        <w:tc>
          <w:tcPr>
            <w:tcW w:w="220" w:type="pct"/>
            <w:vMerge w:val="continue"/>
            <w:shd w:val="clear" w:color="auto" w:fill="FFFFFF"/>
            <w:vAlign w:val="center"/>
          </w:tcPr>
          <w:p>
            <w:pPr>
              <w:rPr>
                <w:rFonts w:ascii="Times New Roman" w:hAnsi="Times New Roman" w:eastAsia="仿宋_GB2312" w:cs="Times New Roman"/>
                <w:szCs w:val="21"/>
              </w:rPr>
            </w:pPr>
          </w:p>
        </w:tc>
        <w:tc>
          <w:tcPr>
            <w:tcW w:w="293" w:type="pct"/>
            <w:vMerge w:val="continue"/>
            <w:shd w:val="clear" w:color="auto" w:fill="FFFFFF"/>
            <w:vAlign w:val="center"/>
          </w:tcPr>
          <w:p>
            <w:pPr>
              <w:rPr>
                <w:rFonts w:ascii="Times New Roman" w:hAnsi="Times New Roman" w:eastAsia="仿宋_GB2312" w:cs="Times New Roman"/>
                <w:szCs w:val="21"/>
              </w:rPr>
            </w:pPr>
          </w:p>
        </w:tc>
        <w:tc>
          <w:tcPr>
            <w:tcW w:w="193" w:type="pct"/>
            <w:vMerge w:val="continue"/>
            <w:shd w:val="clear" w:color="auto" w:fill="FFFFFF"/>
            <w:tcMar>
              <w:top w:w="10" w:type="dxa"/>
              <w:left w:w="10" w:type="dxa"/>
              <w:bottom w:w="0" w:type="dxa"/>
              <w:right w:w="10" w:type="dxa"/>
            </w:tcMar>
            <w:vAlign w:val="center"/>
          </w:tcPr>
          <w:p>
            <w:pPr>
              <w:rPr>
                <w:rFonts w:ascii="Times New Roman" w:hAnsi="Times New Roman" w:eastAsia="仿宋_GB2312" w:cs="Times New Roman"/>
                <w:szCs w:val="21"/>
              </w:rPr>
            </w:pP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制度执行有效性</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评价要点：</w:t>
            </w:r>
            <w:r>
              <w:rPr>
                <w:rFonts w:ascii="Times New Roman" w:hAnsi="Times New Roman" w:eastAsia="仿宋_GB2312" w:cs="Times New Roman"/>
                <w:szCs w:val="21"/>
              </w:rPr>
              <w:br w:type="textWrapping"/>
            </w:r>
            <w:r>
              <w:rPr>
                <w:rFonts w:hint="eastAsia" w:ascii="宋体" w:hAnsi="宋体" w:eastAsia="宋体" w:cs="宋体"/>
                <w:szCs w:val="21"/>
              </w:rPr>
              <w:t>①</w:t>
            </w:r>
            <w:r>
              <w:rPr>
                <w:rFonts w:ascii="Times New Roman" w:hAnsi="Times New Roman" w:eastAsia="仿宋_GB2312" w:cs="Times New Roman"/>
                <w:szCs w:val="21"/>
              </w:rPr>
              <w:t>是否遵守相关法律法规和相关管理规定；</w:t>
            </w:r>
            <w:r>
              <w:rPr>
                <w:rFonts w:hint="eastAsia" w:ascii="宋体" w:hAnsi="宋体" w:eastAsia="宋体" w:cs="宋体"/>
                <w:szCs w:val="21"/>
              </w:rPr>
              <w:t>②</w:t>
            </w:r>
            <w:r>
              <w:rPr>
                <w:rFonts w:ascii="Times New Roman" w:hAnsi="Times New Roman" w:eastAsia="仿宋_GB2312" w:cs="Times New Roman"/>
                <w:szCs w:val="21"/>
              </w:rPr>
              <w:t>预算支出调整及支出调整手续是否完备；</w:t>
            </w:r>
            <w:r>
              <w:rPr>
                <w:rFonts w:hint="eastAsia" w:ascii="宋体" w:hAnsi="宋体" w:eastAsia="宋体" w:cs="宋体"/>
                <w:szCs w:val="21"/>
              </w:rPr>
              <w:t>③</w:t>
            </w:r>
            <w:r>
              <w:rPr>
                <w:rFonts w:ascii="Times New Roman" w:hAnsi="Times New Roman" w:eastAsia="仿宋_GB2312" w:cs="Times New Roman"/>
                <w:szCs w:val="21"/>
              </w:rPr>
              <w:t>预算支出合同书、验收报告、技术鉴定等资料是否齐全并及时归档；</w:t>
            </w:r>
            <w:r>
              <w:rPr>
                <w:rFonts w:hint="eastAsia" w:ascii="宋体" w:hAnsi="宋体" w:eastAsia="宋体" w:cs="宋体"/>
                <w:szCs w:val="21"/>
              </w:rPr>
              <w:t>④</w:t>
            </w:r>
            <w:r>
              <w:rPr>
                <w:rFonts w:ascii="Times New Roman" w:hAnsi="Times New Roman" w:eastAsia="仿宋_GB2312" w:cs="Times New Roman"/>
                <w:szCs w:val="21"/>
              </w:rPr>
              <w:t>预算支出实施的人员条件、场地设备、信息支撑等是否落实到位。</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监理方执行不规范等，扣1分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1" w:hRule="atLeast"/>
          <w:jc w:val="center"/>
        </w:trPr>
        <w:tc>
          <w:tcPr>
            <w:tcW w:w="266" w:type="pct"/>
            <w:vMerge w:val="restart"/>
            <w:shd w:val="clear" w:color="auto" w:fill="FFFFFF"/>
            <w:noWrap/>
            <w:tcMar>
              <w:top w:w="10" w:type="dxa"/>
              <w:left w:w="10" w:type="dxa"/>
              <w:bottom w:w="0" w:type="dxa"/>
              <w:right w:w="10" w:type="dxa"/>
            </w:tcMar>
            <w:textDirection w:val="tbRlV"/>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产   出</w:t>
            </w:r>
          </w:p>
        </w:tc>
        <w:tc>
          <w:tcPr>
            <w:tcW w:w="220" w:type="pct"/>
            <w:vMerge w:val="restar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25</w:t>
            </w:r>
          </w:p>
        </w:tc>
        <w:tc>
          <w:tcPr>
            <w:tcW w:w="293" w:type="pc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产出</w:t>
            </w:r>
          </w:p>
          <w:p>
            <w:pPr>
              <w:jc w:val="center"/>
              <w:rPr>
                <w:rFonts w:ascii="Times New Roman" w:hAnsi="Times New Roman" w:eastAsia="仿宋_GB2312" w:cs="Times New Roman"/>
                <w:szCs w:val="21"/>
              </w:rPr>
            </w:pPr>
            <w:r>
              <w:rPr>
                <w:rFonts w:ascii="Times New Roman" w:hAnsi="Times New Roman" w:eastAsia="仿宋_GB2312" w:cs="Times New Roman"/>
                <w:szCs w:val="21"/>
              </w:rPr>
              <w:t>数量</w:t>
            </w:r>
          </w:p>
        </w:tc>
        <w:tc>
          <w:tcPr>
            <w:tcW w:w="193" w:type="pct"/>
            <w:shd w:val="clear" w:color="auto" w:fill="FFFFFF"/>
            <w:tcMar>
              <w:top w:w="10" w:type="dxa"/>
              <w:left w:w="10" w:type="dxa"/>
              <w:bottom w:w="0" w:type="dxa"/>
              <w:right w:w="10" w:type="dxa"/>
            </w:tcMar>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实际</w:t>
            </w:r>
          </w:p>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完成率</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实际完成率=（实际产出数/计划产出数）×100%。</w:t>
            </w:r>
            <w:r>
              <w:rPr>
                <w:rFonts w:ascii="Times New Roman" w:hAnsi="Times New Roman" w:eastAsia="仿宋_GB2312" w:cs="Times New Roman"/>
                <w:szCs w:val="21"/>
              </w:rPr>
              <w:br w:type="textWrapping"/>
            </w:r>
            <w:r>
              <w:rPr>
                <w:rFonts w:ascii="Times New Roman" w:hAnsi="Times New Roman" w:eastAsia="仿宋_GB2312" w:cs="Times New Roman"/>
                <w:szCs w:val="21"/>
              </w:rPr>
              <w:t>实际产出数：一定时期（本年度或预算支出期）内预算支出实际产出的产品或提供的服务数量。</w:t>
            </w:r>
            <w:r>
              <w:rPr>
                <w:rFonts w:ascii="Times New Roman" w:hAnsi="Times New Roman" w:eastAsia="仿宋_GB2312" w:cs="Times New Roman"/>
                <w:szCs w:val="21"/>
              </w:rPr>
              <w:br w:type="textWrapping"/>
            </w:r>
            <w:r>
              <w:rPr>
                <w:rFonts w:ascii="Times New Roman" w:hAnsi="Times New Roman" w:eastAsia="仿宋_GB2312" w:cs="Times New Roman"/>
                <w:szCs w:val="21"/>
              </w:rPr>
              <w:t>计划产出数：预算支出绩效目标确定的在一定时期（本年度或预算支出期）内计划产出的产品或提供的服务数量。</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尚未竣工验收，产出数量指标尚不确定，扣1.2分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266" w:type="pct"/>
            <w:vMerge w:val="continue"/>
            <w:shd w:val="clear" w:color="auto" w:fill="FFFFFF"/>
            <w:noWrap/>
            <w:tcMar>
              <w:top w:w="10" w:type="dxa"/>
              <w:left w:w="10" w:type="dxa"/>
              <w:bottom w:w="0" w:type="dxa"/>
              <w:right w:w="10" w:type="dxa"/>
            </w:tcMar>
            <w:textDirection w:val="tbRlV"/>
            <w:vAlign w:val="center"/>
          </w:tcPr>
          <w:p>
            <w:pPr>
              <w:jc w:val="center"/>
              <w:rPr>
                <w:rFonts w:ascii="Times New Roman" w:hAnsi="Times New Roman" w:eastAsia="仿宋_GB2312" w:cs="Times New Roman"/>
                <w:szCs w:val="21"/>
              </w:rPr>
            </w:pPr>
          </w:p>
        </w:tc>
        <w:tc>
          <w:tcPr>
            <w:tcW w:w="220" w:type="pct"/>
            <w:vMerge w:val="continue"/>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p>
        </w:tc>
        <w:tc>
          <w:tcPr>
            <w:tcW w:w="293" w:type="pc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产出</w:t>
            </w:r>
          </w:p>
          <w:p>
            <w:pPr>
              <w:jc w:val="center"/>
              <w:rPr>
                <w:rFonts w:ascii="Times New Roman" w:hAnsi="Times New Roman" w:eastAsia="仿宋_GB2312" w:cs="Times New Roman"/>
                <w:szCs w:val="21"/>
              </w:rPr>
            </w:pPr>
            <w:r>
              <w:rPr>
                <w:rFonts w:ascii="Times New Roman" w:hAnsi="Times New Roman" w:eastAsia="仿宋_GB2312" w:cs="Times New Roman"/>
                <w:szCs w:val="21"/>
              </w:rPr>
              <w:t>质量</w:t>
            </w:r>
          </w:p>
        </w:tc>
        <w:tc>
          <w:tcPr>
            <w:tcW w:w="193" w:type="pct"/>
            <w:shd w:val="clear" w:color="auto" w:fill="FFFFFF"/>
            <w:tcMar>
              <w:top w:w="10" w:type="dxa"/>
              <w:left w:w="10" w:type="dxa"/>
              <w:bottom w:w="0" w:type="dxa"/>
              <w:right w:w="10" w:type="dxa"/>
            </w:tcMar>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7</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质量</w:t>
            </w:r>
          </w:p>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达标率</w:t>
            </w:r>
          </w:p>
        </w:tc>
        <w:tc>
          <w:tcPr>
            <w:tcW w:w="305" w:type="pc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7</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质量达标率=（质量达标产出数/实际产出数）×100%。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通过基础质量评估报告、主体结构工程实体检测报告，尚未竣工验收，扣0.7分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rPr>
            </w:pPr>
            <w:r>
              <w:rPr>
                <w:rFonts w:hint="eastAsia" w:ascii="Times New Roman" w:hAnsi="Times New Roman" w:eastAsia="仿宋_GB2312" w:cs="Times New Roman"/>
                <w:szCs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jc w:val="center"/>
        </w:trPr>
        <w:tc>
          <w:tcPr>
            <w:tcW w:w="266" w:type="pct"/>
            <w:vMerge w:val="continue"/>
            <w:vAlign w:val="center"/>
          </w:tcPr>
          <w:p>
            <w:pPr>
              <w:rPr>
                <w:rFonts w:ascii="Times New Roman" w:hAnsi="Times New Roman" w:eastAsia="仿宋_GB2312" w:cs="Times New Roman"/>
                <w:szCs w:val="21"/>
              </w:rPr>
            </w:pPr>
          </w:p>
        </w:tc>
        <w:tc>
          <w:tcPr>
            <w:tcW w:w="220" w:type="pct"/>
            <w:vMerge w:val="continue"/>
            <w:shd w:val="clear" w:color="auto" w:fill="FFFFFF"/>
            <w:vAlign w:val="center"/>
          </w:tcPr>
          <w:p>
            <w:pPr>
              <w:rPr>
                <w:rFonts w:ascii="Times New Roman" w:hAnsi="Times New Roman" w:eastAsia="仿宋_GB2312" w:cs="Times New Roman"/>
                <w:szCs w:val="21"/>
              </w:rPr>
            </w:pPr>
          </w:p>
        </w:tc>
        <w:tc>
          <w:tcPr>
            <w:tcW w:w="293" w:type="pct"/>
            <w:shd w:val="clear" w:color="auto" w:fill="FFFFFF"/>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产出</w:t>
            </w:r>
          </w:p>
          <w:p>
            <w:pPr>
              <w:jc w:val="center"/>
              <w:rPr>
                <w:rFonts w:ascii="Times New Roman" w:hAnsi="Times New Roman" w:eastAsia="仿宋_GB2312" w:cs="Times New Roman"/>
                <w:szCs w:val="21"/>
              </w:rPr>
            </w:pPr>
            <w:r>
              <w:rPr>
                <w:rFonts w:ascii="Times New Roman" w:hAnsi="Times New Roman" w:eastAsia="仿宋_GB2312" w:cs="Times New Roman"/>
                <w:szCs w:val="21"/>
              </w:rPr>
              <w:t>时效</w:t>
            </w:r>
          </w:p>
        </w:tc>
        <w:tc>
          <w:tcPr>
            <w:tcW w:w="193" w:type="pct"/>
            <w:shd w:val="clear" w:color="auto" w:fill="FFFFFF"/>
            <w:tcMar>
              <w:top w:w="10" w:type="dxa"/>
              <w:left w:w="10" w:type="dxa"/>
              <w:bottom w:w="0" w:type="dxa"/>
              <w:right w:w="10" w:type="dxa"/>
            </w:tcMar>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完成</w:t>
            </w:r>
          </w:p>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及时性</w:t>
            </w:r>
          </w:p>
        </w:tc>
        <w:tc>
          <w:tcPr>
            <w:tcW w:w="305" w:type="pc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5</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实际完成时间：预算支出实施单位完成该预算支出实际所耗用的时间。计划完成时间：按照预算支出实施计划或相关规定完成该预算支出所需的时间。</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项目延期交付，扣3分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266" w:type="pct"/>
            <w:vMerge w:val="continue"/>
            <w:vAlign w:val="center"/>
          </w:tcPr>
          <w:p>
            <w:pPr>
              <w:rPr>
                <w:rFonts w:ascii="Times New Roman" w:hAnsi="Times New Roman" w:eastAsia="仿宋_GB2312" w:cs="Times New Roman"/>
                <w:szCs w:val="21"/>
              </w:rPr>
            </w:pPr>
          </w:p>
        </w:tc>
        <w:tc>
          <w:tcPr>
            <w:tcW w:w="220" w:type="pct"/>
            <w:vMerge w:val="continue"/>
            <w:shd w:val="clear" w:color="auto" w:fill="FFFFFF"/>
            <w:vAlign w:val="center"/>
          </w:tcPr>
          <w:p>
            <w:pPr>
              <w:rPr>
                <w:rFonts w:ascii="Times New Roman" w:hAnsi="Times New Roman" w:eastAsia="仿宋_GB2312" w:cs="Times New Roman"/>
                <w:szCs w:val="21"/>
              </w:rPr>
            </w:pPr>
          </w:p>
        </w:tc>
        <w:tc>
          <w:tcPr>
            <w:tcW w:w="293" w:type="pct"/>
            <w:shd w:val="clear" w:color="auto" w:fill="FFFFFF"/>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产出</w:t>
            </w:r>
          </w:p>
          <w:p>
            <w:pPr>
              <w:jc w:val="center"/>
              <w:rPr>
                <w:rFonts w:ascii="Times New Roman" w:hAnsi="Times New Roman" w:eastAsia="仿宋_GB2312" w:cs="Times New Roman"/>
                <w:szCs w:val="21"/>
              </w:rPr>
            </w:pPr>
            <w:r>
              <w:rPr>
                <w:rFonts w:ascii="Times New Roman" w:hAnsi="Times New Roman" w:eastAsia="仿宋_GB2312" w:cs="Times New Roman"/>
                <w:szCs w:val="21"/>
              </w:rPr>
              <w:t>成本</w:t>
            </w:r>
          </w:p>
        </w:tc>
        <w:tc>
          <w:tcPr>
            <w:tcW w:w="193" w:type="pct"/>
            <w:shd w:val="clear" w:color="auto" w:fill="FFFFFF"/>
            <w:tcMar>
              <w:top w:w="10" w:type="dxa"/>
              <w:left w:w="10" w:type="dxa"/>
              <w:bottom w:w="0" w:type="dxa"/>
              <w:right w:w="10" w:type="dxa"/>
            </w:tcMar>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成本</w:t>
            </w:r>
          </w:p>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节约率</w:t>
            </w:r>
          </w:p>
        </w:tc>
        <w:tc>
          <w:tcPr>
            <w:tcW w:w="305" w:type="pc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5</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成本节约率=[（计划成本-实际成本）/计划成本]×100%。实际成本：预算支出实施单位如期、保质、保量完成既定工作目标实际所耗费的支出。计划成本：预算支出实施单位为完成工作目标计划安排的支出，一般以预算支出预算为参考。</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预计决算超预算大于10%以上，扣2分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rPr>
            </w:pPr>
            <w:r>
              <w:rPr>
                <w:rFonts w:hint="eastAsia" w:ascii="Times New Roman" w:hAnsi="Times New Roman" w:eastAsia="仿宋_GB2312" w:cs="Times New Roman"/>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266" w:type="pct"/>
            <w:vMerge w:val="restart"/>
            <w:shd w:val="clear" w:color="auto" w:fill="FFFFFF"/>
            <w:noWrap/>
            <w:tcMar>
              <w:top w:w="10" w:type="dxa"/>
              <w:left w:w="10" w:type="dxa"/>
              <w:bottom w:w="0" w:type="dxa"/>
              <w:right w:w="10" w:type="dxa"/>
            </w:tcMar>
            <w:textDirection w:val="tbRlV"/>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效   益</w:t>
            </w:r>
          </w:p>
        </w:tc>
        <w:tc>
          <w:tcPr>
            <w:tcW w:w="220" w:type="pct"/>
            <w:vMerge w:val="restar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30</w:t>
            </w:r>
          </w:p>
        </w:tc>
        <w:tc>
          <w:tcPr>
            <w:tcW w:w="293" w:type="pct"/>
            <w:vMerge w:val="restart"/>
            <w:shd w:val="clear" w:color="auto" w:fill="FFFFFF"/>
            <w:tcMar>
              <w:top w:w="10" w:type="dxa"/>
              <w:left w:w="10" w:type="dxa"/>
              <w:bottom w:w="0" w:type="dxa"/>
              <w:right w:w="10"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预算支出</w:t>
            </w:r>
            <w:r>
              <w:rPr>
                <w:rFonts w:ascii="Times New Roman" w:hAnsi="Times New Roman" w:eastAsia="仿宋_GB2312" w:cs="Times New Roman"/>
                <w:szCs w:val="21"/>
              </w:rPr>
              <w:br w:type="textWrapping"/>
            </w:r>
            <w:r>
              <w:rPr>
                <w:rFonts w:ascii="Times New Roman" w:hAnsi="Times New Roman" w:eastAsia="仿宋_GB2312" w:cs="Times New Roman"/>
                <w:szCs w:val="21"/>
              </w:rPr>
              <w:t>效益</w:t>
            </w:r>
          </w:p>
        </w:tc>
        <w:tc>
          <w:tcPr>
            <w:tcW w:w="193" w:type="pct"/>
            <w:vMerge w:val="restar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30</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实施效益</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预算支出实施所产生的社会效益、经济效益、生态效益、可持续影响等。可根据预算支出实际情况有选择地设置和细化。</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效益显著，有待进一步验证，扣2分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266" w:type="pct"/>
            <w:vMerge w:val="continue"/>
            <w:vAlign w:val="center"/>
          </w:tcPr>
          <w:p>
            <w:pPr>
              <w:rPr>
                <w:rFonts w:ascii="Times New Roman" w:hAnsi="Times New Roman" w:eastAsia="仿宋_GB2312" w:cs="Times New Roman"/>
                <w:szCs w:val="21"/>
              </w:rPr>
            </w:pPr>
          </w:p>
        </w:tc>
        <w:tc>
          <w:tcPr>
            <w:tcW w:w="220" w:type="pct"/>
            <w:vMerge w:val="continue"/>
            <w:vAlign w:val="center"/>
          </w:tcPr>
          <w:p>
            <w:pPr>
              <w:rPr>
                <w:rFonts w:ascii="Times New Roman" w:hAnsi="Times New Roman" w:eastAsia="仿宋_GB2312" w:cs="Times New Roman"/>
                <w:szCs w:val="21"/>
              </w:rPr>
            </w:pPr>
          </w:p>
        </w:tc>
        <w:tc>
          <w:tcPr>
            <w:tcW w:w="293" w:type="pct"/>
            <w:vMerge w:val="continue"/>
            <w:vAlign w:val="center"/>
          </w:tcPr>
          <w:p>
            <w:pPr>
              <w:rPr>
                <w:rFonts w:ascii="Times New Roman" w:hAnsi="Times New Roman" w:eastAsia="仿宋_GB2312" w:cs="Times New Roman"/>
                <w:szCs w:val="21"/>
              </w:rPr>
            </w:pPr>
          </w:p>
        </w:tc>
        <w:tc>
          <w:tcPr>
            <w:tcW w:w="193" w:type="pct"/>
            <w:vMerge w:val="continue"/>
            <w:shd w:val="clear" w:color="auto" w:fill="FFFFFF"/>
            <w:tcMar>
              <w:top w:w="10" w:type="dxa"/>
              <w:left w:w="10" w:type="dxa"/>
              <w:bottom w:w="0" w:type="dxa"/>
              <w:right w:w="10" w:type="dxa"/>
            </w:tcMar>
            <w:vAlign w:val="center"/>
          </w:tcPr>
          <w:p>
            <w:pPr>
              <w:rPr>
                <w:rFonts w:ascii="Times New Roman" w:hAnsi="Times New Roman" w:eastAsia="仿宋_GB2312" w:cs="Times New Roman"/>
                <w:szCs w:val="21"/>
              </w:rPr>
            </w:pP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r>
              <w:rPr>
                <w:rFonts w:ascii="Times New Roman" w:hAnsi="Times New Roman" w:eastAsia="仿宋_GB2312" w:cs="Times New Roman"/>
                <w:szCs w:val="21"/>
              </w:rPr>
              <w:t>服务对象满意度</w:t>
            </w: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r>
              <w:rPr>
                <w:rFonts w:ascii="Times New Roman" w:hAnsi="Times New Roman" w:eastAsia="仿宋_GB2312" w:cs="Times New Roman"/>
                <w:szCs w:val="21"/>
              </w:rPr>
              <w:t>社会公众或服务对象是指因该预算支出实施而受到影响的部门、群体或个人。一般采取社会调查的方式。</w:t>
            </w: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满意度90%以上，扣1分</w:t>
            </w: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66" w:type="pct"/>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合计</w:t>
            </w:r>
          </w:p>
        </w:tc>
        <w:tc>
          <w:tcPr>
            <w:tcW w:w="220" w:type="pct"/>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tc>
        <w:tc>
          <w:tcPr>
            <w:tcW w:w="293" w:type="pct"/>
            <w:vAlign w:val="center"/>
          </w:tcPr>
          <w:p>
            <w:pPr>
              <w:rPr>
                <w:rFonts w:ascii="Times New Roman" w:hAnsi="Times New Roman" w:eastAsia="仿宋_GB2312" w:cs="Times New Roman"/>
                <w:szCs w:val="21"/>
              </w:rPr>
            </w:pPr>
          </w:p>
        </w:tc>
        <w:tc>
          <w:tcPr>
            <w:tcW w:w="193" w:type="pct"/>
            <w:shd w:val="clear" w:color="auto" w:fill="FFFFFF"/>
            <w:tcMar>
              <w:top w:w="10" w:type="dxa"/>
              <w:left w:w="10" w:type="dxa"/>
              <w:bottom w:w="0" w:type="dxa"/>
              <w:right w:w="10" w:type="dxa"/>
            </w:tcMar>
            <w:vAlign w:val="center"/>
          </w:tcPr>
          <w:p>
            <w:pPr>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tc>
        <w:tc>
          <w:tcPr>
            <w:tcW w:w="404"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ascii="Times New Roman" w:hAnsi="Times New Roman" w:eastAsia="仿宋_GB2312" w:cs="Times New Roman"/>
                <w:szCs w:val="21"/>
              </w:rPr>
            </w:pPr>
          </w:p>
        </w:tc>
        <w:tc>
          <w:tcPr>
            <w:tcW w:w="305"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100</w:t>
            </w:r>
          </w:p>
        </w:tc>
        <w:tc>
          <w:tcPr>
            <w:tcW w:w="2206" w:type="pct"/>
            <w:shd w:val="clear" w:color="auto" w:fill="FFFFFF"/>
            <w:tcMar>
              <w:top w:w="10" w:type="dxa"/>
              <w:left w:w="10" w:type="dxa"/>
              <w:bottom w:w="0" w:type="dxa"/>
              <w:right w:w="10" w:type="dxa"/>
            </w:tcMar>
            <w:vAlign w:val="center"/>
          </w:tcPr>
          <w:p>
            <w:pPr>
              <w:spacing w:line="260" w:lineRule="exact"/>
              <w:ind w:left="105" w:leftChars="50" w:right="105" w:rightChars="50"/>
              <w:rPr>
                <w:rFonts w:ascii="Times New Roman" w:hAnsi="Times New Roman" w:eastAsia="仿宋_GB2312" w:cs="Times New Roman"/>
                <w:szCs w:val="21"/>
              </w:rPr>
            </w:pPr>
          </w:p>
        </w:tc>
        <w:tc>
          <w:tcPr>
            <w:tcW w:w="767" w:type="pct"/>
            <w:shd w:val="clear" w:color="auto" w:fill="FFFFFF"/>
            <w:tcMar>
              <w:top w:w="10" w:type="dxa"/>
              <w:left w:w="10" w:type="dxa"/>
              <w:bottom w:w="0" w:type="dxa"/>
              <w:right w:w="10" w:type="dxa"/>
            </w:tcMar>
            <w:vAlign w:val="center"/>
          </w:tcPr>
          <w:p>
            <w:pPr>
              <w:spacing w:line="260" w:lineRule="exact"/>
              <w:ind w:left="105" w:leftChars="50" w:right="105" w:rightChars="50"/>
              <w:rPr>
                <w:rFonts w:hint="eastAsia" w:ascii="Times New Roman" w:hAnsi="Times New Roman" w:eastAsia="仿宋_GB2312" w:cs="Times New Roman"/>
                <w:szCs w:val="21"/>
                <w:lang w:val="en-US" w:eastAsia="zh-CN"/>
              </w:rPr>
            </w:pPr>
          </w:p>
        </w:tc>
        <w:tc>
          <w:tcPr>
            <w:tcW w:w="340" w:type="pct"/>
            <w:shd w:val="clear" w:color="auto" w:fill="FFFFFF"/>
            <w:tcMar>
              <w:top w:w="10" w:type="dxa"/>
              <w:left w:w="10" w:type="dxa"/>
              <w:bottom w:w="0" w:type="dxa"/>
              <w:right w:w="10" w:type="dxa"/>
            </w:tcMar>
            <w:vAlign w:val="center"/>
          </w:tcPr>
          <w:p>
            <w:pPr>
              <w:spacing w:line="260" w:lineRule="exact"/>
              <w:ind w:left="105" w:leftChars="50" w:right="105" w:rightChars="5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80.1</w:t>
            </w:r>
          </w:p>
        </w:tc>
      </w:tr>
    </w:tbl>
    <w:p>
      <w:pPr>
        <w:rPr>
          <w:rFonts w:ascii="仿宋_GB2312" w:eastAsia="仿宋_GB2312"/>
          <w:sz w:val="28"/>
          <w:szCs w:val="28"/>
        </w:rPr>
      </w:pPr>
    </w:p>
    <w:sectPr>
      <w:footerReference r:id="rId6"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lUKcg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nJVC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05E2B"/>
    <w:multiLevelType w:val="singleLevel"/>
    <w:tmpl w:val="AF805E2B"/>
    <w:lvl w:ilvl="0" w:tentative="0">
      <w:start w:val="3"/>
      <w:numFmt w:val="decimal"/>
      <w:suff w:val="nothing"/>
      <w:lvlText w:val="（%1）"/>
      <w:lvlJc w:val="left"/>
    </w:lvl>
  </w:abstractNum>
  <w:abstractNum w:abstractNumId="1">
    <w:nsid w:val="1E9F18D2"/>
    <w:multiLevelType w:val="singleLevel"/>
    <w:tmpl w:val="1E9F18D2"/>
    <w:lvl w:ilvl="0" w:tentative="0">
      <w:start w:val="2"/>
      <w:numFmt w:val="chineseCounting"/>
      <w:suff w:val="nothing"/>
      <w:lvlText w:val="（%1）"/>
      <w:lvlJc w:val="left"/>
      <w:rPr>
        <w:rFonts w:hint="eastAsia"/>
      </w:rPr>
    </w:lvl>
  </w:abstractNum>
  <w:abstractNum w:abstractNumId="2">
    <w:nsid w:val="66C1B8E7"/>
    <w:multiLevelType w:val="singleLevel"/>
    <w:tmpl w:val="66C1B8E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1A"/>
    <w:rsid w:val="00002665"/>
    <w:rsid w:val="00020053"/>
    <w:rsid w:val="0004015C"/>
    <w:rsid w:val="000744DF"/>
    <w:rsid w:val="00085F94"/>
    <w:rsid w:val="00093901"/>
    <w:rsid w:val="000B7235"/>
    <w:rsid w:val="000C1183"/>
    <w:rsid w:val="000D2D01"/>
    <w:rsid w:val="000D3E0F"/>
    <w:rsid w:val="000E1BD1"/>
    <w:rsid w:val="000E3841"/>
    <w:rsid w:val="000F3920"/>
    <w:rsid w:val="00103407"/>
    <w:rsid w:val="00121B2F"/>
    <w:rsid w:val="00127EAB"/>
    <w:rsid w:val="0013446F"/>
    <w:rsid w:val="00147AA6"/>
    <w:rsid w:val="00185869"/>
    <w:rsid w:val="00193F86"/>
    <w:rsid w:val="001B2805"/>
    <w:rsid w:val="001B4D6A"/>
    <w:rsid w:val="00207E06"/>
    <w:rsid w:val="00213976"/>
    <w:rsid w:val="0024278C"/>
    <w:rsid w:val="00257A3F"/>
    <w:rsid w:val="0026221B"/>
    <w:rsid w:val="00283F67"/>
    <w:rsid w:val="002915CD"/>
    <w:rsid w:val="002C44AE"/>
    <w:rsid w:val="002C57D7"/>
    <w:rsid w:val="002F7285"/>
    <w:rsid w:val="00311491"/>
    <w:rsid w:val="003118E9"/>
    <w:rsid w:val="00386132"/>
    <w:rsid w:val="003B34EA"/>
    <w:rsid w:val="003D4BF5"/>
    <w:rsid w:val="003E2522"/>
    <w:rsid w:val="00400750"/>
    <w:rsid w:val="00401FFF"/>
    <w:rsid w:val="00407FB5"/>
    <w:rsid w:val="00421AAD"/>
    <w:rsid w:val="00434A03"/>
    <w:rsid w:val="00442D37"/>
    <w:rsid w:val="00444AFF"/>
    <w:rsid w:val="004748DE"/>
    <w:rsid w:val="00482147"/>
    <w:rsid w:val="00485A4A"/>
    <w:rsid w:val="004902EA"/>
    <w:rsid w:val="004C5C1A"/>
    <w:rsid w:val="004E3676"/>
    <w:rsid w:val="004E49D2"/>
    <w:rsid w:val="004E7C6A"/>
    <w:rsid w:val="004F0D64"/>
    <w:rsid w:val="0050284F"/>
    <w:rsid w:val="00503EE4"/>
    <w:rsid w:val="005074BF"/>
    <w:rsid w:val="00550DF8"/>
    <w:rsid w:val="005569C7"/>
    <w:rsid w:val="00561DF2"/>
    <w:rsid w:val="00570FB7"/>
    <w:rsid w:val="005A1675"/>
    <w:rsid w:val="005D3B50"/>
    <w:rsid w:val="006103DA"/>
    <w:rsid w:val="006205A4"/>
    <w:rsid w:val="00630999"/>
    <w:rsid w:val="006368A4"/>
    <w:rsid w:val="00646122"/>
    <w:rsid w:val="00646E38"/>
    <w:rsid w:val="00674A10"/>
    <w:rsid w:val="006766F4"/>
    <w:rsid w:val="00692EF4"/>
    <w:rsid w:val="006D11E4"/>
    <w:rsid w:val="006D641B"/>
    <w:rsid w:val="00731A25"/>
    <w:rsid w:val="0073528B"/>
    <w:rsid w:val="00736018"/>
    <w:rsid w:val="00740142"/>
    <w:rsid w:val="00750B18"/>
    <w:rsid w:val="00776423"/>
    <w:rsid w:val="00777E93"/>
    <w:rsid w:val="00793102"/>
    <w:rsid w:val="007C1C4D"/>
    <w:rsid w:val="007C77FF"/>
    <w:rsid w:val="007D3D8E"/>
    <w:rsid w:val="007D6CE7"/>
    <w:rsid w:val="007F225A"/>
    <w:rsid w:val="0081181B"/>
    <w:rsid w:val="0083482D"/>
    <w:rsid w:val="0086059C"/>
    <w:rsid w:val="00872655"/>
    <w:rsid w:val="0087433B"/>
    <w:rsid w:val="00874479"/>
    <w:rsid w:val="008C2E44"/>
    <w:rsid w:val="008D382F"/>
    <w:rsid w:val="008D3BE7"/>
    <w:rsid w:val="00906B38"/>
    <w:rsid w:val="00910355"/>
    <w:rsid w:val="00925400"/>
    <w:rsid w:val="00954B9F"/>
    <w:rsid w:val="00954E4D"/>
    <w:rsid w:val="0095723C"/>
    <w:rsid w:val="00970400"/>
    <w:rsid w:val="00976102"/>
    <w:rsid w:val="00986FF3"/>
    <w:rsid w:val="00997881"/>
    <w:rsid w:val="009E3B62"/>
    <w:rsid w:val="009F4E9C"/>
    <w:rsid w:val="00A03A21"/>
    <w:rsid w:val="00A12DEE"/>
    <w:rsid w:val="00A20A0F"/>
    <w:rsid w:val="00A22C8F"/>
    <w:rsid w:val="00A238CD"/>
    <w:rsid w:val="00A362E9"/>
    <w:rsid w:val="00A5117E"/>
    <w:rsid w:val="00A77152"/>
    <w:rsid w:val="00A91269"/>
    <w:rsid w:val="00AB226A"/>
    <w:rsid w:val="00AC6A25"/>
    <w:rsid w:val="00AD1793"/>
    <w:rsid w:val="00AE6FCA"/>
    <w:rsid w:val="00B25AAD"/>
    <w:rsid w:val="00B56362"/>
    <w:rsid w:val="00BA58C9"/>
    <w:rsid w:val="00BA675D"/>
    <w:rsid w:val="00BD14C0"/>
    <w:rsid w:val="00BD5950"/>
    <w:rsid w:val="00BF610F"/>
    <w:rsid w:val="00C1140B"/>
    <w:rsid w:val="00C13F70"/>
    <w:rsid w:val="00C360D0"/>
    <w:rsid w:val="00C65EDF"/>
    <w:rsid w:val="00C77F54"/>
    <w:rsid w:val="00C91DDD"/>
    <w:rsid w:val="00C94263"/>
    <w:rsid w:val="00CC0697"/>
    <w:rsid w:val="00CC16C7"/>
    <w:rsid w:val="00CF280A"/>
    <w:rsid w:val="00D12323"/>
    <w:rsid w:val="00D1386D"/>
    <w:rsid w:val="00D33040"/>
    <w:rsid w:val="00D42D24"/>
    <w:rsid w:val="00D44278"/>
    <w:rsid w:val="00D642B5"/>
    <w:rsid w:val="00D713DC"/>
    <w:rsid w:val="00D746F3"/>
    <w:rsid w:val="00D87C2B"/>
    <w:rsid w:val="00DA5F4A"/>
    <w:rsid w:val="00DB34F6"/>
    <w:rsid w:val="00DC6FA1"/>
    <w:rsid w:val="00E014DB"/>
    <w:rsid w:val="00E044B3"/>
    <w:rsid w:val="00E10460"/>
    <w:rsid w:val="00E473A9"/>
    <w:rsid w:val="00E5456E"/>
    <w:rsid w:val="00E63376"/>
    <w:rsid w:val="00E670C5"/>
    <w:rsid w:val="00E76D53"/>
    <w:rsid w:val="00E77593"/>
    <w:rsid w:val="00E80588"/>
    <w:rsid w:val="00EA1DAD"/>
    <w:rsid w:val="00EA2B12"/>
    <w:rsid w:val="00EA6715"/>
    <w:rsid w:val="00EC3353"/>
    <w:rsid w:val="00ED2E79"/>
    <w:rsid w:val="00EF65F4"/>
    <w:rsid w:val="00F016B7"/>
    <w:rsid w:val="00F0283B"/>
    <w:rsid w:val="00F02B25"/>
    <w:rsid w:val="00F05860"/>
    <w:rsid w:val="00F62195"/>
    <w:rsid w:val="00F80507"/>
    <w:rsid w:val="00F83853"/>
    <w:rsid w:val="00FB3B03"/>
    <w:rsid w:val="00FC2DC0"/>
    <w:rsid w:val="00FE262A"/>
    <w:rsid w:val="011179BA"/>
    <w:rsid w:val="02257F7A"/>
    <w:rsid w:val="02424195"/>
    <w:rsid w:val="027B6C52"/>
    <w:rsid w:val="02AA5640"/>
    <w:rsid w:val="030B50B2"/>
    <w:rsid w:val="031F5DFA"/>
    <w:rsid w:val="03A308D9"/>
    <w:rsid w:val="03FF3AF2"/>
    <w:rsid w:val="0407644C"/>
    <w:rsid w:val="04A27A58"/>
    <w:rsid w:val="05127FA3"/>
    <w:rsid w:val="0573665C"/>
    <w:rsid w:val="05BE0939"/>
    <w:rsid w:val="060032B6"/>
    <w:rsid w:val="06F455B7"/>
    <w:rsid w:val="07D7489F"/>
    <w:rsid w:val="07FB674F"/>
    <w:rsid w:val="08FD7379"/>
    <w:rsid w:val="09441311"/>
    <w:rsid w:val="09AE7C08"/>
    <w:rsid w:val="0A110A3D"/>
    <w:rsid w:val="0A217609"/>
    <w:rsid w:val="0A26540C"/>
    <w:rsid w:val="0A4D6A4E"/>
    <w:rsid w:val="0A5F6625"/>
    <w:rsid w:val="0ACE65B7"/>
    <w:rsid w:val="0AFB6856"/>
    <w:rsid w:val="0BD447E4"/>
    <w:rsid w:val="0BEC09B0"/>
    <w:rsid w:val="0C695588"/>
    <w:rsid w:val="0C9624FA"/>
    <w:rsid w:val="0CB11D85"/>
    <w:rsid w:val="0CE118E4"/>
    <w:rsid w:val="0CF05F8A"/>
    <w:rsid w:val="0D713449"/>
    <w:rsid w:val="0D750363"/>
    <w:rsid w:val="0D8914D1"/>
    <w:rsid w:val="0DE642E1"/>
    <w:rsid w:val="0DF61977"/>
    <w:rsid w:val="0E5E7E01"/>
    <w:rsid w:val="0E7E2012"/>
    <w:rsid w:val="0E9F0230"/>
    <w:rsid w:val="0EA932D8"/>
    <w:rsid w:val="0EB86B4E"/>
    <w:rsid w:val="0EC028C3"/>
    <w:rsid w:val="0EFB2BBE"/>
    <w:rsid w:val="0F3A75FB"/>
    <w:rsid w:val="10221855"/>
    <w:rsid w:val="10282C20"/>
    <w:rsid w:val="10440C25"/>
    <w:rsid w:val="108B5FBB"/>
    <w:rsid w:val="10EC2029"/>
    <w:rsid w:val="10ED49FA"/>
    <w:rsid w:val="1130678F"/>
    <w:rsid w:val="12384166"/>
    <w:rsid w:val="12693784"/>
    <w:rsid w:val="12696E81"/>
    <w:rsid w:val="12875758"/>
    <w:rsid w:val="12AF71E9"/>
    <w:rsid w:val="12B2506F"/>
    <w:rsid w:val="133C3804"/>
    <w:rsid w:val="14394F0B"/>
    <w:rsid w:val="14A8580F"/>
    <w:rsid w:val="150D7F66"/>
    <w:rsid w:val="152E306B"/>
    <w:rsid w:val="15486F7D"/>
    <w:rsid w:val="155F3823"/>
    <w:rsid w:val="15726F70"/>
    <w:rsid w:val="15AE793C"/>
    <w:rsid w:val="161407D5"/>
    <w:rsid w:val="16F5778D"/>
    <w:rsid w:val="17DF38BF"/>
    <w:rsid w:val="184755E2"/>
    <w:rsid w:val="196515D4"/>
    <w:rsid w:val="199E001D"/>
    <w:rsid w:val="19E74222"/>
    <w:rsid w:val="19F63907"/>
    <w:rsid w:val="1A9C5306"/>
    <w:rsid w:val="1B0A76F8"/>
    <w:rsid w:val="1BBE6FB3"/>
    <w:rsid w:val="1D66228B"/>
    <w:rsid w:val="1D666B29"/>
    <w:rsid w:val="1E9A1250"/>
    <w:rsid w:val="1EB144D6"/>
    <w:rsid w:val="1EB219C8"/>
    <w:rsid w:val="1ED42B2C"/>
    <w:rsid w:val="1F1E30E0"/>
    <w:rsid w:val="1F3B7184"/>
    <w:rsid w:val="1F8C07D5"/>
    <w:rsid w:val="1FA35F72"/>
    <w:rsid w:val="20174AF4"/>
    <w:rsid w:val="214E1530"/>
    <w:rsid w:val="218D4E03"/>
    <w:rsid w:val="21AF4554"/>
    <w:rsid w:val="21AF66C0"/>
    <w:rsid w:val="22434F89"/>
    <w:rsid w:val="22700F5A"/>
    <w:rsid w:val="22810F91"/>
    <w:rsid w:val="23666383"/>
    <w:rsid w:val="238C28A8"/>
    <w:rsid w:val="23B62AA4"/>
    <w:rsid w:val="24543255"/>
    <w:rsid w:val="24E47181"/>
    <w:rsid w:val="24FF026E"/>
    <w:rsid w:val="25071ACB"/>
    <w:rsid w:val="255F459F"/>
    <w:rsid w:val="258571D0"/>
    <w:rsid w:val="27A00815"/>
    <w:rsid w:val="27C10E06"/>
    <w:rsid w:val="285E11B4"/>
    <w:rsid w:val="28C9409B"/>
    <w:rsid w:val="29227054"/>
    <w:rsid w:val="299F2EEF"/>
    <w:rsid w:val="29A425D9"/>
    <w:rsid w:val="29A82972"/>
    <w:rsid w:val="29F7276F"/>
    <w:rsid w:val="2A252504"/>
    <w:rsid w:val="2A91315E"/>
    <w:rsid w:val="2AF05DE8"/>
    <w:rsid w:val="2B5044C3"/>
    <w:rsid w:val="2B8E429E"/>
    <w:rsid w:val="2B8F5B12"/>
    <w:rsid w:val="2BF14BA8"/>
    <w:rsid w:val="2C104C1D"/>
    <w:rsid w:val="2CD832F0"/>
    <w:rsid w:val="2D8A3B87"/>
    <w:rsid w:val="2DAE6B3B"/>
    <w:rsid w:val="2F745878"/>
    <w:rsid w:val="2F976D34"/>
    <w:rsid w:val="30897324"/>
    <w:rsid w:val="30FD2BEE"/>
    <w:rsid w:val="32095191"/>
    <w:rsid w:val="32227A3F"/>
    <w:rsid w:val="322E6D97"/>
    <w:rsid w:val="324077CE"/>
    <w:rsid w:val="32A843C5"/>
    <w:rsid w:val="33140CEE"/>
    <w:rsid w:val="337B0008"/>
    <w:rsid w:val="33A06FD1"/>
    <w:rsid w:val="343143BF"/>
    <w:rsid w:val="34565AA1"/>
    <w:rsid w:val="34C31DA2"/>
    <w:rsid w:val="34F36BAC"/>
    <w:rsid w:val="34FA7E49"/>
    <w:rsid w:val="352E7CF4"/>
    <w:rsid w:val="35A57594"/>
    <w:rsid w:val="35D51B59"/>
    <w:rsid w:val="35DB4B20"/>
    <w:rsid w:val="364B3A58"/>
    <w:rsid w:val="388369F6"/>
    <w:rsid w:val="38A050FF"/>
    <w:rsid w:val="39125487"/>
    <w:rsid w:val="3A4C4ECD"/>
    <w:rsid w:val="3A71685B"/>
    <w:rsid w:val="3AC672AD"/>
    <w:rsid w:val="3AF01361"/>
    <w:rsid w:val="3C1C69B9"/>
    <w:rsid w:val="3C220392"/>
    <w:rsid w:val="3C235438"/>
    <w:rsid w:val="3C7C399B"/>
    <w:rsid w:val="3CBC00A7"/>
    <w:rsid w:val="3CF24527"/>
    <w:rsid w:val="3D0D00F5"/>
    <w:rsid w:val="3D1C24D4"/>
    <w:rsid w:val="3D59053A"/>
    <w:rsid w:val="3D8F3CF1"/>
    <w:rsid w:val="3DBE4A79"/>
    <w:rsid w:val="3E335C77"/>
    <w:rsid w:val="3E836200"/>
    <w:rsid w:val="3EA133EF"/>
    <w:rsid w:val="3EFA6539"/>
    <w:rsid w:val="3FFB105F"/>
    <w:rsid w:val="401A2262"/>
    <w:rsid w:val="405D571A"/>
    <w:rsid w:val="406A516C"/>
    <w:rsid w:val="41BC7F2E"/>
    <w:rsid w:val="42586D7A"/>
    <w:rsid w:val="425A4313"/>
    <w:rsid w:val="429363B6"/>
    <w:rsid w:val="4337198B"/>
    <w:rsid w:val="435A5CAE"/>
    <w:rsid w:val="4366462A"/>
    <w:rsid w:val="44CD4D6D"/>
    <w:rsid w:val="450144A9"/>
    <w:rsid w:val="451E2963"/>
    <w:rsid w:val="457C43D6"/>
    <w:rsid w:val="46B512C5"/>
    <w:rsid w:val="46D0483C"/>
    <w:rsid w:val="470D1FF3"/>
    <w:rsid w:val="47AA744B"/>
    <w:rsid w:val="484E5A12"/>
    <w:rsid w:val="495A24AF"/>
    <w:rsid w:val="499A0787"/>
    <w:rsid w:val="4AE24FA3"/>
    <w:rsid w:val="4B1E5AC0"/>
    <w:rsid w:val="4B2E0A0E"/>
    <w:rsid w:val="4B4E2E61"/>
    <w:rsid w:val="4B960C65"/>
    <w:rsid w:val="4C5C5837"/>
    <w:rsid w:val="4D067402"/>
    <w:rsid w:val="4D763A61"/>
    <w:rsid w:val="4D925DF6"/>
    <w:rsid w:val="4E40750F"/>
    <w:rsid w:val="4E6C5553"/>
    <w:rsid w:val="4ED81EBE"/>
    <w:rsid w:val="4EF07874"/>
    <w:rsid w:val="4F697077"/>
    <w:rsid w:val="4F781CFD"/>
    <w:rsid w:val="4FC22E86"/>
    <w:rsid w:val="4FCC5537"/>
    <w:rsid w:val="50AC18F0"/>
    <w:rsid w:val="50D50624"/>
    <w:rsid w:val="51B33F45"/>
    <w:rsid w:val="51DE57A5"/>
    <w:rsid w:val="525160F5"/>
    <w:rsid w:val="52997CA1"/>
    <w:rsid w:val="52BD57A3"/>
    <w:rsid w:val="52C7765F"/>
    <w:rsid w:val="53063317"/>
    <w:rsid w:val="53065CA5"/>
    <w:rsid w:val="53A067F9"/>
    <w:rsid w:val="53E02B8F"/>
    <w:rsid w:val="547E37A4"/>
    <w:rsid w:val="55306DAC"/>
    <w:rsid w:val="55C16D7A"/>
    <w:rsid w:val="56565853"/>
    <w:rsid w:val="56D13344"/>
    <w:rsid w:val="56E71BBB"/>
    <w:rsid w:val="5747389E"/>
    <w:rsid w:val="57F81B83"/>
    <w:rsid w:val="58E25AEA"/>
    <w:rsid w:val="59063159"/>
    <w:rsid w:val="59B90D77"/>
    <w:rsid w:val="59D7675A"/>
    <w:rsid w:val="59E86862"/>
    <w:rsid w:val="5A92291E"/>
    <w:rsid w:val="5B4D77B6"/>
    <w:rsid w:val="5BBF37CD"/>
    <w:rsid w:val="5C712575"/>
    <w:rsid w:val="5CDA1950"/>
    <w:rsid w:val="5DBA7577"/>
    <w:rsid w:val="5DC35C9A"/>
    <w:rsid w:val="5E1C4136"/>
    <w:rsid w:val="5E691BD4"/>
    <w:rsid w:val="5EC33EA9"/>
    <w:rsid w:val="5F3A4697"/>
    <w:rsid w:val="5FBA4F1F"/>
    <w:rsid w:val="60403B05"/>
    <w:rsid w:val="606907E8"/>
    <w:rsid w:val="60712B98"/>
    <w:rsid w:val="608F305C"/>
    <w:rsid w:val="60FB1EEF"/>
    <w:rsid w:val="61057C82"/>
    <w:rsid w:val="6171389C"/>
    <w:rsid w:val="6211181D"/>
    <w:rsid w:val="62612843"/>
    <w:rsid w:val="62C62186"/>
    <w:rsid w:val="631E189E"/>
    <w:rsid w:val="63926508"/>
    <w:rsid w:val="639554F2"/>
    <w:rsid w:val="63AC510E"/>
    <w:rsid w:val="63B67C65"/>
    <w:rsid w:val="63BE1E35"/>
    <w:rsid w:val="63F3205F"/>
    <w:rsid w:val="64633107"/>
    <w:rsid w:val="646B1EF1"/>
    <w:rsid w:val="64E860EA"/>
    <w:rsid w:val="64F0060E"/>
    <w:rsid w:val="650C3324"/>
    <w:rsid w:val="65160EE9"/>
    <w:rsid w:val="652548C4"/>
    <w:rsid w:val="65870A6D"/>
    <w:rsid w:val="6629456B"/>
    <w:rsid w:val="66731FAA"/>
    <w:rsid w:val="66B62C09"/>
    <w:rsid w:val="66CE0047"/>
    <w:rsid w:val="6757306B"/>
    <w:rsid w:val="67A70E67"/>
    <w:rsid w:val="68073045"/>
    <w:rsid w:val="68A56119"/>
    <w:rsid w:val="68DE3711"/>
    <w:rsid w:val="690221E8"/>
    <w:rsid w:val="69090A70"/>
    <w:rsid w:val="696B4BE7"/>
    <w:rsid w:val="69B35CC7"/>
    <w:rsid w:val="6A1124DF"/>
    <w:rsid w:val="6B354DAE"/>
    <w:rsid w:val="6BE13670"/>
    <w:rsid w:val="6C326926"/>
    <w:rsid w:val="6CA075D3"/>
    <w:rsid w:val="6CCB5AF1"/>
    <w:rsid w:val="6D887744"/>
    <w:rsid w:val="6E0D7393"/>
    <w:rsid w:val="6E0F6045"/>
    <w:rsid w:val="6E124729"/>
    <w:rsid w:val="6EA137BF"/>
    <w:rsid w:val="6EAA360E"/>
    <w:rsid w:val="6EDD0704"/>
    <w:rsid w:val="6F1118BF"/>
    <w:rsid w:val="6F6437E7"/>
    <w:rsid w:val="6F6710C2"/>
    <w:rsid w:val="6F751597"/>
    <w:rsid w:val="71AC5C4A"/>
    <w:rsid w:val="72823FED"/>
    <w:rsid w:val="728F0A0E"/>
    <w:rsid w:val="72DA60FC"/>
    <w:rsid w:val="72FC3CF3"/>
    <w:rsid w:val="73B2741C"/>
    <w:rsid w:val="74C25E1C"/>
    <w:rsid w:val="759B12A2"/>
    <w:rsid w:val="75E743C9"/>
    <w:rsid w:val="75EE7295"/>
    <w:rsid w:val="76D02925"/>
    <w:rsid w:val="76EC7905"/>
    <w:rsid w:val="77AF2CBC"/>
    <w:rsid w:val="77B462AA"/>
    <w:rsid w:val="78901CA8"/>
    <w:rsid w:val="79635644"/>
    <w:rsid w:val="797C447E"/>
    <w:rsid w:val="79CE518F"/>
    <w:rsid w:val="79DD2445"/>
    <w:rsid w:val="7A017A01"/>
    <w:rsid w:val="7A2E5E5A"/>
    <w:rsid w:val="7A497F50"/>
    <w:rsid w:val="7A550AF0"/>
    <w:rsid w:val="7C641936"/>
    <w:rsid w:val="7D2E7F9F"/>
    <w:rsid w:val="7D8B2BD9"/>
    <w:rsid w:val="7E6305B1"/>
    <w:rsid w:val="7E6D36D4"/>
    <w:rsid w:val="7F062EC2"/>
    <w:rsid w:val="7F2B10DA"/>
    <w:rsid w:val="7F9C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5"/>
    <w:semiHidden/>
    <w:qFormat/>
    <w:uiPriority w:val="99"/>
    <w:rPr>
      <w:sz w:val="18"/>
      <w:szCs w:val="18"/>
    </w:rPr>
  </w:style>
  <w:style w:type="character" w:customStyle="1" w:styleId="14">
    <w:name w:val="页脚 Char"/>
    <w:basedOn w:val="11"/>
    <w:link w:val="4"/>
    <w:semiHidden/>
    <w:qFormat/>
    <w:uiPriority w:val="99"/>
    <w:rPr>
      <w:sz w:val="18"/>
      <w:szCs w:val="18"/>
    </w:rPr>
  </w:style>
  <w:style w:type="paragraph" w:styleId="15">
    <w:name w:val="List Paragraph"/>
    <w:basedOn w:val="1"/>
    <w:qFormat/>
    <w:uiPriority w:val="34"/>
    <w:pPr>
      <w:spacing w:after="120" w:line="276" w:lineRule="auto"/>
      <w:ind w:firstLine="420" w:firstLineChars="200"/>
    </w:pPr>
  </w:style>
  <w:style w:type="character" w:customStyle="1" w:styleId="16">
    <w:name w:val="apple-converted-space"/>
    <w:basedOn w:val="11"/>
    <w:qFormat/>
    <w:uiPriority w:val="0"/>
  </w:style>
  <w:style w:type="paragraph" w:customStyle="1" w:styleId="17">
    <w:name w:val="WPSOffice手动目录 1"/>
    <w:qFormat/>
    <w:uiPriority w:val="0"/>
    <w:pPr>
      <w:ind w:leftChars="0"/>
    </w:pPr>
    <w:rPr>
      <w:rFonts w:ascii="Calibri" w:hAnsi="Calibri" w:eastAsia="宋体" w:cs="Times New Roman"/>
      <w:sz w:val="20"/>
      <w:szCs w:val="20"/>
    </w:rPr>
  </w:style>
  <w:style w:type="paragraph" w:customStyle="1" w:styleId="18">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1185</Words>
  <Characters>6758</Characters>
  <Lines>56</Lines>
  <Paragraphs>15</Paragraphs>
  <TotalTime>125</TotalTime>
  <ScaleCrop>false</ScaleCrop>
  <LinksUpToDate>false</LinksUpToDate>
  <CharactersWithSpaces>7928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2020-08-30T03:06:00Z</dcterms:created>
  <dc:creator>Administrator</dc:creator>
  <cp:lastModifiedBy>丞相府</cp:lastModifiedBy>
  <cp:lastPrinted>2021-01-21T03:51:00Z</cp:lastPrinted>
  <dcterms:modified xsi:type="dcterms:W3CDTF">2021-01-25T02:46:44Z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