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432" w:lineRule="exact"/>
        <w:ind w:left="367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黑体" w:hAnsi="黑体" w:eastAsia="黑体"/>
          <w:spacing w:val="-27"/>
          <w:sz w:val="32"/>
        </w:rPr>
        <w:t xml:space="preserve">附件 </w:t>
      </w:r>
      <w:r>
        <w:rPr>
          <w:rFonts w:hint="eastAsia" w:ascii="Times New Roman" w:hAnsi="Times New Roman" w:eastAsia="宋体"/>
          <w:sz w:val="32"/>
          <w:lang w:val="en-US" w:eastAsia="zh-CN"/>
        </w:rPr>
        <w:t>2</w:t>
      </w:r>
    </w:p>
    <w:p>
      <w:pPr>
        <w:pStyle w:val="3"/>
        <w:kinsoku w:val="0"/>
        <w:overflowPunct w:val="0"/>
        <w:spacing w:before="5"/>
        <w:rPr>
          <w:rFonts w:hint="eastAsia"/>
          <w:sz w:val="24"/>
        </w:rPr>
      </w:pPr>
      <w:r>
        <w:rPr>
          <w:rFonts w:hint="eastAsia"/>
          <w:sz w:val="24"/>
        </w:rPr>
        <w:br w:type="column"/>
      </w:r>
    </w:p>
    <w:p>
      <w:pPr>
        <w:pStyle w:val="3"/>
        <w:kinsoku w:val="0"/>
        <w:overflowPunct w:val="0"/>
        <w:spacing w:before="5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 年安排的政府债务项目绩效目标表</w:t>
      </w:r>
    </w:p>
    <w:p>
      <w:pPr>
        <w:pStyle w:val="2"/>
        <w:kinsoku w:val="0"/>
        <w:overflowPunct w:val="0"/>
        <w:ind w:left="367"/>
        <w:rPr>
          <w:rFonts w:hint="eastAsia"/>
          <w:sz w:val="36"/>
        </w:rPr>
        <w:sectPr>
          <w:pgSz w:w="11900" w:h="16840"/>
          <w:pgMar w:top="1680" w:right="1200" w:bottom="2000" w:left="1220" w:header="0" w:footer="18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equalWidth="0" w:num="2">
            <w:col w:w="1248" w:space="596"/>
            <w:col w:w="7636"/>
          </w:cols>
        </w:sectPr>
      </w:pPr>
    </w:p>
    <w:p>
      <w:pPr>
        <w:pStyle w:val="3"/>
        <w:tabs>
          <w:tab w:val="left" w:pos="7399"/>
        </w:tabs>
        <w:kinsoku w:val="0"/>
        <w:overflowPunct w:val="0"/>
        <w:spacing w:before="130"/>
        <w:ind w:left="367"/>
        <w:rPr>
          <w:rFonts w:hint="eastAsia"/>
          <w:sz w:val="21"/>
        </w:rPr>
      </w:pPr>
      <w:r>
        <w:rPr>
          <w:rFonts w:hint="eastAsia"/>
          <w:sz w:val="21"/>
        </w:rPr>
        <w:t>填报单位：（盖章）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单位：万元</w:t>
      </w:r>
    </w:p>
    <w:tbl>
      <w:tblPr>
        <w:tblStyle w:val="5"/>
        <w:tblW w:w="0" w:type="auto"/>
        <w:tblInd w:w="-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42"/>
        <w:gridCol w:w="1573"/>
        <w:gridCol w:w="1701"/>
        <w:gridCol w:w="11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项目名称</w:t>
            </w: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华严湖护林点建设工程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17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主管部门及其编码</w:t>
            </w: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项目实施单位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南岳国有林场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237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项目负责人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唐国祥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90" w:rightChars="-79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13907475497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 w:line="259" w:lineRule="exact"/>
              <w:ind w:left="64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项目资金</w:t>
            </w:r>
          </w:p>
          <w:p>
            <w:pPr>
              <w:pStyle w:val="7"/>
              <w:kinsoku w:val="0"/>
              <w:overflowPunct w:val="0"/>
              <w:spacing w:line="259" w:lineRule="exact"/>
              <w:ind w:left="64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本项目总预计投入资金为374.3万元，实际以财政验收、审计结算为准。。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eastAsia"/>
                <w:sz w:val="24"/>
              </w:rPr>
            </w:pP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w w:val="110"/>
                <w:sz w:val="21"/>
              </w:rPr>
              <w:t>一、</w:t>
            </w:r>
            <w:r>
              <w:rPr>
                <w:rFonts w:hint="eastAsia"/>
                <w:w w:val="110"/>
                <w:sz w:val="21"/>
                <w:lang w:eastAsia="zh-CN"/>
              </w:rPr>
              <w:t>政府</w:t>
            </w:r>
            <w:r>
              <w:rPr>
                <w:rFonts w:hint="eastAsia"/>
                <w:w w:val="110"/>
                <w:sz w:val="21"/>
              </w:rPr>
              <w:t>债券资金：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310万元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eastAsia"/>
                <w:sz w:val="24"/>
              </w:rPr>
            </w:pP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</w:rPr>
              <w:t>二、其他资金：</w:t>
            </w:r>
            <w:r>
              <w:rPr>
                <w:rFonts w:hint="eastAsia"/>
                <w:sz w:val="21"/>
                <w:lang w:val="en-US" w:eastAsia="zh-CN"/>
              </w:rPr>
              <w:t>64.3万元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1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项目实施进度计划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335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项目实施内容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9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开始时间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80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802"/>
              <w:rPr>
                <w:rFonts w:hint="eastAsia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华严湖、广济寺护林点重建工程</w:t>
            </w: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2019.8.6-2020.8.2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802"/>
              <w:rPr>
                <w:rFonts w:hint="eastAsia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项目绩效目标</w:t>
            </w:r>
          </w:p>
        </w:tc>
        <w:tc>
          <w:tcPr>
            <w:tcW w:w="77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在华严湖、广济寺护林点修建约992平方米的二层砖混结构建筑屋，污水排放系统进行了全面改造，户内外水电和通讯设施重新配置。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7"/>
              <w:ind w:left="411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项目绩效指标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545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一级指标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235" w:right="2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二级指标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right="156"/>
              <w:jc w:val="both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指标值及</w:t>
            </w:r>
            <w:r>
              <w:rPr>
                <w:rFonts w:hint="eastAsia"/>
                <w:sz w:val="21"/>
                <w:lang w:eastAsia="zh-CN"/>
              </w:rPr>
              <w:t>单位</w:t>
            </w:r>
          </w:p>
          <w:p>
            <w:pPr>
              <w:pStyle w:val="7"/>
              <w:kinsoku w:val="0"/>
              <w:overflowPunct w:val="0"/>
              <w:spacing w:line="268" w:lineRule="exact"/>
              <w:ind w:left="169" w:right="15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绩效标准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187"/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54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产出指标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层砖混结构建筑屋约992平方米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两栋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 xml:space="preserve">污水排放系统改造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户内外水电和通讯设施配置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质量指标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项目验收合格率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时效指标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按施工计划完工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2020年8月2日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成本指标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992平方米的二层砖混结构建筑物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≤200万元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污水排放系统改造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≤100万元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户内外水电和通讯设施配置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≤74.3万元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54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效益指标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经济效益指标</w:t>
            </w:r>
          </w:p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单位造价合理性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社会效益指标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提高景点美化环</w:t>
            </w:r>
            <w:r>
              <w:rPr>
                <w:rFonts w:hint="eastAsia"/>
                <w:sz w:val="24"/>
                <w:szCs w:val="22"/>
                <w:lang w:eastAsia="zh-CN"/>
              </w:rPr>
              <w:t>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明显提高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生态效益指标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美</w:t>
            </w: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化景区环境，改善职工居住环境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明显改善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4" w:line="260" w:lineRule="exact"/>
              <w:ind w:right="239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工程使用年限是否符合工程设计和有关南侧范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社会公众或服</w:t>
            </w:r>
          </w:p>
          <w:p>
            <w:pPr>
              <w:pStyle w:val="7"/>
              <w:kinsoku w:val="0"/>
              <w:overflowPunct w:val="0"/>
              <w:spacing w:before="30" w:line="260" w:lineRule="exact"/>
              <w:ind w:right="134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务对象满意度指标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社会公众满意度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3"/>
        <w:tabs>
          <w:tab w:val="left" w:pos="2677"/>
          <w:tab w:val="left" w:pos="4823"/>
          <w:tab w:val="left" w:pos="7027"/>
        </w:tabs>
        <w:kinsoku w:val="0"/>
        <w:overflowPunct w:val="0"/>
        <w:ind w:left="367"/>
        <w:rPr>
          <w:rFonts w:hint="eastAsia" w:eastAsia="仿宋_GB2312"/>
          <w:sz w:val="21"/>
          <w:lang w:eastAsia="zh-CN"/>
        </w:rPr>
      </w:pPr>
      <w:r>
        <w:rPr>
          <w:rFonts w:hint="eastAsia"/>
          <w:sz w:val="21"/>
        </w:rPr>
        <w:t>填报人：</w:t>
      </w:r>
      <w:r>
        <w:rPr>
          <w:rFonts w:hint="eastAsia"/>
          <w:sz w:val="21"/>
          <w:lang w:eastAsia="zh-CN"/>
        </w:rPr>
        <w:t>何青华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>联系电话：</w:t>
      </w:r>
      <w:r>
        <w:rPr>
          <w:rFonts w:hint="eastAsia"/>
          <w:sz w:val="21"/>
          <w:lang w:val="en-US" w:eastAsia="zh-CN"/>
        </w:rPr>
        <w:t>18973440549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填报日期：</w:t>
      </w:r>
      <w:r>
        <w:rPr>
          <w:rFonts w:hint="eastAsia"/>
          <w:sz w:val="21"/>
          <w:lang w:val="en-US" w:eastAsia="zh-CN"/>
        </w:rPr>
        <w:t>2021.1.27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单位负责人签字：</w:t>
      </w:r>
      <w:r>
        <w:rPr>
          <w:rFonts w:hint="eastAsia"/>
          <w:sz w:val="21"/>
          <w:lang w:eastAsia="zh-CN"/>
        </w:rPr>
        <w:t>张安星</w:t>
      </w:r>
    </w:p>
    <w:p>
      <w:pPr>
        <w:pStyle w:val="3"/>
        <w:tabs>
          <w:tab w:val="left" w:pos="2677"/>
          <w:tab w:val="left" w:pos="4823"/>
          <w:tab w:val="left" w:pos="7027"/>
        </w:tabs>
        <w:kinsoku w:val="0"/>
        <w:overflowPunct w:val="0"/>
        <w:ind w:left="367"/>
        <w:rPr>
          <w:rFonts w:hint="eastAsia"/>
          <w:sz w:val="21"/>
        </w:rPr>
        <w:sectPr>
          <w:type w:val="continuous"/>
          <w:pgSz w:w="11900" w:h="16840"/>
          <w:pgMar w:top="1600" w:right="1200" w:bottom="2231" w:left="12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</w:p>
    <w:p>
      <w:pPr>
        <w:pStyle w:val="3"/>
        <w:kinsoku w:val="0"/>
        <w:overflowPunct w:val="0"/>
        <w:spacing w:before="78"/>
        <w:ind w:left="707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</w:rPr>
        <w:t xml:space="preserve">附件 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pStyle w:val="3"/>
        <w:kinsoku w:val="0"/>
        <w:overflowPunct w:val="0"/>
        <w:spacing w:before="5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 年安排的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政府债务项目绩效运行监控表</w:t>
      </w:r>
    </w:p>
    <w:p>
      <w:pPr>
        <w:pStyle w:val="3"/>
        <w:kinsoku w:val="0"/>
        <w:overflowPunct w:val="0"/>
        <w:spacing w:before="38"/>
        <w:ind w:left="793"/>
        <w:rPr>
          <w:rFonts w:hint="eastAsia" w:ascii="楷体_GB2312" w:hAnsi="楷体_GB2312" w:eastAsia="楷体_GB2312"/>
          <w:sz w:val="20"/>
        </w:rPr>
      </w:pPr>
      <w:r>
        <w:rPr>
          <w:rFonts w:hint="eastAsia" w:ascii="楷体_GB2312" w:hAnsi="楷体_GB2312" w:eastAsia="楷体_GB2312"/>
          <w:spacing w:val="1"/>
          <w:sz w:val="20"/>
        </w:rPr>
        <w:t>（</w:t>
      </w:r>
      <w:r>
        <w:rPr>
          <w:rFonts w:hint="default" w:ascii="Times New Roman" w:hAnsi="Times New Roman" w:eastAsia="Times New Roman"/>
          <w:spacing w:val="-89"/>
          <w:w w:val="177"/>
          <w:sz w:val="20"/>
        </w:rPr>
        <w:t>××</w:t>
      </w:r>
      <w:r>
        <w:rPr>
          <w:rFonts w:hint="eastAsia" w:ascii="楷体_GB2312" w:hAnsi="楷体_GB2312" w:eastAsia="楷体_GB2312"/>
          <w:sz w:val="20"/>
        </w:rPr>
        <w:t>年</w:t>
      </w:r>
      <w:r>
        <w:rPr>
          <w:rFonts w:hint="default" w:ascii="Times New Roman" w:hAnsi="Times New Roman" w:eastAsia="Times New Roman"/>
          <w:spacing w:val="-89"/>
          <w:w w:val="177"/>
          <w:sz w:val="20"/>
        </w:rPr>
        <w:t>×</w:t>
      </w:r>
      <w:r>
        <w:rPr>
          <w:rFonts w:hint="eastAsia" w:ascii="楷体_GB2312" w:hAnsi="楷体_GB2312" w:eastAsia="楷体_GB2312"/>
          <w:sz w:val="20"/>
        </w:rPr>
        <w:t>月</w:t>
      </w:r>
      <w:r>
        <w:rPr>
          <w:rFonts w:hint="default" w:ascii="Times New Roman" w:hAnsi="Times New Roman" w:eastAsia="Times New Roman"/>
          <w:sz w:val="20"/>
        </w:rPr>
        <w:t>-</w:t>
      </w:r>
      <w:r>
        <w:rPr>
          <w:rFonts w:hint="default" w:ascii="Times New Roman" w:hAnsi="Times New Roman" w:eastAsia="Times New Roman"/>
          <w:spacing w:val="-89"/>
          <w:w w:val="177"/>
          <w:sz w:val="20"/>
        </w:rPr>
        <w:t>×</w:t>
      </w:r>
      <w:r>
        <w:rPr>
          <w:rFonts w:hint="eastAsia" w:ascii="楷体_GB2312" w:hAnsi="楷体_GB2312" w:eastAsia="楷体_GB2312"/>
          <w:sz w:val="20"/>
        </w:rPr>
        <w:t>月）</w:t>
      </w:r>
    </w:p>
    <w:tbl>
      <w:tblPr>
        <w:tblStyle w:val="5"/>
        <w:tblW w:w="0" w:type="auto"/>
        <w:tblInd w:w="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45"/>
        <w:gridCol w:w="427"/>
        <w:gridCol w:w="428"/>
        <w:gridCol w:w="934"/>
        <w:gridCol w:w="996"/>
        <w:gridCol w:w="852"/>
        <w:gridCol w:w="1014"/>
        <w:gridCol w:w="1104"/>
        <w:gridCol w:w="1278"/>
        <w:gridCol w:w="818"/>
        <w:gridCol w:w="862"/>
        <w:gridCol w:w="92"/>
        <w:gridCol w:w="750"/>
        <w:gridCol w:w="900"/>
        <w:gridCol w:w="988"/>
        <w:gridCol w:w="990"/>
        <w:gridCol w:w="824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exact"/>
        </w:trPr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72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项目名称</w:t>
            </w: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577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主管部门名称</w:t>
            </w:r>
          </w:p>
        </w:tc>
        <w:tc>
          <w:tcPr>
            <w:tcW w:w="70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32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项目资金（万元）</w:t>
            </w: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10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年度资金总额：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679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年初预算数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312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pacing w:val="-88"/>
                <w:w w:val="177"/>
                <w:sz w:val="20"/>
              </w:rPr>
              <w:t>×</w:t>
            </w: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  <w:r>
              <w:rPr>
                <w:rFonts w:hint="default" w:ascii="Times New Roman" w:hAnsi="Times New Roman" w:eastAsia="Times New Roman"/>
                <w:spacing w:val="-89"/>
                <w:w w:val="177"/>
                <w:sz w:val="20"/>
              </w:rPr>
              <w:t>×</w:t>
            </w:r>
            <w:r>
              <w:rPr>
                <w:rFonts w:hint="eastAsia"/>
                <w:sz w:val="20"/>
              </w:rPr>
              <w:t>月执行数</w:t>
            </w:r>
          </w:p>
        </w:tc>
        <w:tc>
          <w:tcPr>
            <w:tcW w:w="5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1911" w:right="19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全年预计执行数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1911" w:right="1912"/>
              <w:jc w:val="left"/>
              <w:rPr>
                <w:rFonts w:hint="eastAsia"/>
                <w:sz w:val="24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0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其中：</w:t>
            </w:r>
            <w:r>
              <w:rPr>
                <w:rFonts w:hint="default" w:ascii="Times New Roman" w:hAnsi="Times New Roman" w:eastAsia="Times New Roman"/>
                <w:spacing w:val="-89"/>
                <w:w w:val="177"/>
                <w:sz w:val="20"/>
              </w:rPr>
              <w:t>××</w:t>
            </w:r>
            <w:r>
              <w:rPr>
                <w:rFonts w:hint="eastAsia"/>
                <w:spacing w:val="-1"/>
                <w:sz w:val="20"/>
              </w:rPr>
              <w:t>债券资金：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2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1" w:lineRule="exact"/>
              <w:ind w:left="10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其他资金：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98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" w:line="247" w:lineRule="auto"/>
              <w:ind w:left="29" w:right="28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年度总体目标</w:t>
            </w:r>
          </w:p>
        </w:tc>
        <w:tc>
          <w:tcPr>
            <w:tcW w:w="14926" w:type="dxa"/>
            <w:gridSpan w:val="1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40" w:leftChars="100" w:right="2162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绩效指标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6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一级指标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7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二级指标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298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三级指标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7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年度指标值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2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绩效标准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97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本期计划数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4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本期实际完成情况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8" w:lineRule="exact"/>
              <w:ind w:right="112"/>
              <w:jc w:val="both"/>
              <w:rPr>
                <w:rFonts w:hint="default" w:ascii="Times New Roman" w:hAnsi="Times New Roman" w:eastAsia="Times New Roman"/>
                <w:sz w:val="20"/>
              </w:rPr>
            </w:pPr>
            <w:r>
              <w:rPr>
                <w:rFonts w:hint="eastAsia"/>
                <w:sz w:val="20"/>
              </w:rPr>
              <w:t xml:space="preserve">是否偏离 </w:t>
            </w:r>
            <w:r>
              <w:rPr>
                <w:rFonts w:hint="default" w:ascii="Times New Roman" w:hAnsi="Times New Roman" w:eastAsia="Times New Roman"/>
                <w:sz w:val="20"/>
              </w:rPr>
              <w:t>/</w:t>
            </w:r>
          </w:p>
          <w:p>
            <w:pPr>
              <w:pStyle w:val="7"/>
              <w:kinsoku w:val="0"/>
              <w:overflowPunct w:val="0"/>
              <w:spacing w:line="253" w:lineRule="exact"/>
              <w:ind w:left="155" w:right="1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偏离度</w:t>
            </w:r>
          </w:p>
        </w:tc>
        <w:tc>
          <w:tcPr>
            <w:tcW w:w="3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1125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偏差原因分析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693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完成目标可能性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pStyle w:val="7"/>
              <w:kinsoku w:val="0"/>
              <w:overflowPunct w:val="0"/>
              <w:ind w:left="205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5"/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7" w:line="260" w:lineRule="exact"/>
              <w:ind w:right="16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经费保障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7" w:line="260" w:lineRule="exact"/>
              <w:ind w:right="205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制度保障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其他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7" w:line="260" w:lineRule="exact"/>
              <w:ind w:right="153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原因说明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确定能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有可能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29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完全</w:t>
            </w:r>
          </w:p>
          <w:p>
            <w:pPr>
              <w:pStyle w:val="7"/>
              <w:kinsoku w:val="0"/>
              <w:overflowPunct w:val="0"/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不可能</w:t>
            </w: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left="10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left="101"/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60" w:lineRule="exact"/>
              <w:ind w:right="164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产出指标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69" w:line="260" w:lineRule="exact"/>
              <w:ind w:right="16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效益指标</w:t>
            </w: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8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绩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效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指</w:t>
            </w:r>
            <w:r>
              <w:rPr>
                <w:rFonts w:hint="eastAsia"/>
                <w:sz w:val="20"/>
                <w:lang w:val="en-US" w:eastAsia="zh-CN"/>
              </w:rPr>
              <w:t xml:space="preserve">  标</w:t>
            </w:r>
          </w:p>
          <w:p>
            <w:pPr>
              <w:pStyle w:val="7"/>
              <w:kinsoku w:val="0"/>
              <w:overflowPunct w:val="0"/>
              <w:spacing w:before="78"/>
              <w:ind w:left="244"/>
              <w:jc w:val="left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6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0"/>
              </w:rPr>
              <w:t>满意</w:t>
            </w:r>
            <w:r>
              <w:rPr>
                <w:rFonts w:hint="eastAsia"/>
                <w:sz w:val="20"/>
                <w:lang w:val="en-US" w:eastAsia="zh-CN"/>
              </w:rPr>
              <w:t>度指 标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130"/>
        <w:ind w:left="793"/>
        <w:rPr>
          <w:rFonts w:hint="default" w:ascii="Times New Roman" w:hAnsi="Times New Roman" w:eastAsia="Times New Roman"/>
          <w:sz w:val="28"/>
        </w:rPr>
        <w:sectPr>
          <w:footerReference r:id="rId3" w:type="default"/>
          <w:type w:val="continuous"/>
          <w:pgSz w:w="16840" w:h="11900" w:orient="landscape"/>
          <w:pgMar w:top="1600" w:right="340" w:bottom="200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</w:p>
    <w:p>
      <w:pPr>
        <w:pStyle w:val="3"/>
        <w:tabs>
          <w:tab w:val="left" w:pos="6818"/>
          <w:tab w:val="left" w:pos="8931"/>
          <w:tab w:val="left" w:pos="11902"/>
        </w:tabs>
        <w:kinsoku w:val="0"/>
        <w:overflowPunct w:val="0"/>
        <w:spacing w:line="251" w:lineRule="exact"/>
        <w:ind w:left="3549"/>
        <w:rPr>
          <w:rFonts w:hint="eastAsia"/>
          <w:w w:val="95"/>
          <w:sz w:val="22"/>
        </w:rPr>
      </w:pPr>
      <w:r>
        <w:rPr>
          <w:rFonts w:hint="eastAsia"/>
          <w:sz w:val="22"/>
        </w:rPr>
        <w:t>填报人：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联系电话：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填报日期：</w:t>
      </w:r>
      <w:r>
        <w:rPr>
          <w:rFonts w:hint="eastAsia"/>
          <w:sz w:val="22"/>
        </w:rPr>
        <w:tab/>
      </w:r>
      <w:r>
        <w:rPr>
          <w:rFonts w:hint="eastAsia"/>
          <w:w w:val="95"/>
          <w:sz w:val="22"/>
        </w:rPr>
        <w:t>单位负责人签字：</w:t>
      </w:r>
    </w:p>
    <w:p>
      <w:pPr>
        <w:pStyle w:val="3"/>
        <w:kinsoku w:val="0"/>
        <w:overflowPunct w:val="0"/>
        <w:spacing w:before="1" w:line="284" w:lineRule="exact"/>
        <w:ind w:left="1901" w:right="1817" w:hanging="1108"/>
        <w:rPr>
          <w:rFonts w:hint="eastAsia"/>
          <w:w w:val="95"/>
          <w:sz w:val="22"/>
        </w:rPr>
      </w:pPr>
      <w:r>
        <w:rPr>
          <w:rFonts w:hint="eastAsia"/>
          <w:sz w:val="22"/>
        </w:rPr>
        <w:t>注：</w:t>
      </w:r>
      <w:r>
        <w:rPr>
          <w:rFonts w:hint="default" w:ascii="Times New Roman" w:hAnsi="Times New Roman" w:eastAsia="Times New Roman"/>
          <w:sz w:val="22"/>
        </w:rPr>
        <w:t>1</w:t>
      </w:r>
      <w:r>
        <w:rPr>
          <w:rFonts w:hint="eastAsia"/>
          <w:sz w:val="22"/>
        </w:rPr>
        <w:t xml:space="preserve">．偏差原因分析：针对与预期目标产生偏差的指标值，分别从经费保障、制度保障、人员保障、硬件条件保障等方面进行判断和分析， </w:t>
      </w:r>
      <w:r>
        <w:rPr>
          <w:rFonts w:hint="eastAsia"/>
          <w:w w:val="95"/>
          <w:sz w:val="22"/>
        </w:rPr>
        <w:t>并说明原因。</w:t>
      </w:r>
    </w:p>
    <w:p>
      <w:pPr>
        <w:pStyle w:val="3"/>
        <w:kinsoku w:val="0"/>
        <w:overflowPunct w:val="0"/>
        <w:spacing w:line="267" w:lineRule="exact"/>
        <w:ind w:left="1241"/>
        <w:rPr>
          <w:rFonts w:hint="eastAsia"/>
          <w:w w:val="95"/>
          <w:sz w:val="22"/>
        </w:rPr>
      </w:pPr>
      <w:r>
        <w:rPr>
          <w:rFonts w:hint="default" w:ascii="Times New Roman" w:hAnsi="Times New Roman" w:eastAsia="Times New Roman"/>
          <w:w w:val="95"/>
          <w:sz w:val="22"/>
        </w:rPr>
        <w:t>2</w:t>
      </w:r>
      <w:r>
        <w:rPr>
          <w:rFonts w:hint="eastAsia"/>
          <w:w w:val="95"/>
          <w:sz w:val="22"/>
        </w:rPr>
        <w:t>．完成目标可能性：对应所设定的实现绩效目标的路径，分确定能、有可能、完全不可能三级综合判断完成的可能性</w:t>
      </w:r>
    </w:p>
    <w:p>
      <w:pPr>
        <w:pStyle w:val="3"/>
        <w:kinsoku w:val="0"/>
        <w:overflowPunct w:val="0"/>
        <w:spacing w:line="295" w:lineRule="exact"/>
        <w:ind w:left="1241"/>
        <w:rPr>
          <w:rFonts w:hint="default" w:ascii="Times New Roman" w:hAnsi="Times New Roman" w:eastAsia="Times New Roman"/>
          <w:sz w:val="28"/>
        </w:rPr>
        <w:sectPr>
          <w:footerReference r:id="rId4" w:type="default"/>
          <w:type w:val="continuous"/>
          <w:pgSz w:w="16840" w:h="11900" w:orient="landscape"/>
          <w:pgMar w:top="1600" w:right="340" w:bottom="2000" w:left="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  <w:r>
        <w:rPr>
          <w:rFonts w:hint="default" w:ascii="Times New Roman" w:hAnsi="Times New Roman" w:eastAsia="Times New Roman"/>
          <w:w w:val="95"/>
          <w:sz w:val="22"/>
        </w:rPr>
        <w:t>3</w:t>
      </w:r>
      <w:r>
        <w:rPr>
          <w:rFonts w:hint="eastAsia"/>
          <w:w w:val="95"/>
          <w:sz w:val="22"/>
        </w:rPr>
        <w:t>．备注：说明预计到年底不能完成目标的原因及拟采取的措施。</w:t>
      </w:r>
    </w:p>
    <w:p>
      <w:pPr>
        <w:pStyle w:val="3"/>
        <w:kinsoku w:val="0"/>
        <w:overflowPunct w:val="0"/>
        <w:spacing w:before="78"/>
        <w:ind w:left="707"/>
        <w:rPr>
          <w:rFonts w:hint="default" w:ascii="Times New Roman" w:hAnsi="Times New Roman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 xml:space="preserve">附件 </w:t>
      </w:r>
      <w:r>
        <w:rPr>
          <w:rFonts w:hint="eastAsia" w:ascii="Times New Roman" w:hAnsi="Times New Roman" w:eastAsia="宋体"/>
          <w:sz w:val="32"/>
          <w:lang w:val="en-US" w:eastAsia="zh-CN"/>
        </w:rPr>
        <w:t>4</w:t>
      </w:r>
    </w:p>
    <w:p>
      <w:pPr>
        <w:pStyle w:val="3"/>
        <w:kinsoku w:val="0"/>
        <w:overflowPunct w:val="0"/>
        <w:spacing w:before="236"/>
        <w:ind w:left="707"/>
        <w:rPr>
          <w:rFonts w:hint="eastAsia"/>
          <w:sz w:val="20"/>
        </w:rPr>
      </w:pPr>
      <w:r>
        <w:rPr>
          <w:rFonts w:hint="eastAsia"/>
          <w:sz w:val="20"/>
        </w:rPr>
        <w:t>填报单位（盖章）：</w:t>
      </w:r>
    </w:p>
    <w:p>
      <w:pPr>
        <w:pStyle w:val="3"/>
        <w:kinsoku w:val="0"/>
        <w:overflowPunct w:val="0"/>
        <w:spacing w:before="4"/>
        <w:rPr>
          <w:rFonts w:hint="eastAsia"/>
          <w:sz w:val="35"/>
        </w:rPr>
      </w:pPr>
      <w:r>
        <w:rPr>
          <w:rFonts w:hint="eastAsia"/>
          <w:sz w:val="24"/>
        </w:rPr>
        <w:br w:type="column"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 年安排的政府债务项目绩效自评表</w:t>
      </w:r>
    </w:p>
    <w:p>
      <w:pPr>
        <w:pStyle w:val="2"/>
        <w:kinsoku w:val="0"/>
        <w:overflowPunct w:val="0"/>
        <w:ind w:left="88"/>
        <w:rPr>
          <w:rFonts w:hint="eastAsia"/>
          <w:sz w:val="36"/>
        </w:rPr>
        <w:sectPr>
          <w:footerReference r:id="rId5" w:type="default"/>
          <w:pgSz w:w="11900" w:h="16840"/>
          <w:pgMar w:top="1600" w:right="700" w:bottom="280" w:left="8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 w:start="1"/>
          <w:cols w:equalWidth="0" w:num="2">
            <w:col w:w="2510" w:space="40"/>
            <w:col w:w="7770"/>
          </w:cols>
        </w:sectPr>
      </w:pPr>
    </w:p>
    <w:tbl>
      <w:tblPr>
        <w:tblStyle w:val="5"/>
        <w:tblW w:w="0" w:type="auto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5"/>
        <w:gridCol w:w="685"/>
        <w:gridCol w:w="1174"/>
        <w:gridCol w:w="409"/>
        <w:gridCol w:w="1418"/>
        <w:gridCol w:w="850"/>
        <w:gridCol w:w="850"/>
        <w:gridCol w:w="426"/>
        <w:gridCol w:w="291"/>
        <w:gridCol w:w="701"/>
        <w:gridCol w:w="142"/>
        <w:gridCol w:w="1094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6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项目名称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6"/>
              <w:ind w:left="657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实施期限</w:t>
            </w:r>
          </w:p>
        </w:tc>
        <w:tc>
          <w:tcPr>
            <w:tcW w:w="3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115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1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主管部门</w:t>
            </w:r>
          </w:p>
        </w:tc>
        <w:tc>
          <w:tcPr>
            <w:tcW w:w="3686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1" w:lineRule="exact"/>
              <w:ind w:left="657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实施单位</w:t>
            </w:r>
          </w:p>
        </w:tc>
        <w:tc>
          <w:tcPr>
            <w:tcW w:w="3118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1" w:lineRule="exact"/>
              <w:ind w:left="17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项目资金</w:t>
            </w:r>
          </w:p>
          <w:p>
            <w:pPr>
              <w:pStyle w:val="7"/>
              <w:kinsoku w:val="0"/>
              <w:overflowPunct w:val="0"/>
              <w:spacing w:line="251" w:lineRule="exact"/>
              <w:ind w:left="17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left="404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预算数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right="737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执行数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left="29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分值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left="403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执行率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left="130" w:right="1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/>
              <w:ind w:left="130" w:right="12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0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年度资金总额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ind w:left="371" w:right="37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ind w:right="22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ind w:right="2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8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其中：</w:t>
            </w:r>
            <w:r>
              <w:rPr>
                <w:rFonts w:hint="default" w:ascii="Times New Roman" w:hAnsi="Times New Roman" w:eastAsia="Times New Roman"/>
                <w:spacing w:val="-89"/>
                <w:w w:val="177"/>
                <w:sz w:val="20"/>
              </w:rPr>
              <w:t>××</w:t>
            </w:r>
            <w:r>
              <w:rPr>
                <w:rFonts w:hint="eastAsia"/>
                <w:spacing w:val="-1"/>
                <w:sz w:val="20"/>
              </w:rPr>
              <w:t>债券资金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5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5"/>
              <w:ind w:left="2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5"/>
              <w:ind w:left="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0" w:lineRule="exact"/>
              <w:ind w:left="8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其他资金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ind w:left="2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5"/>
              <w:ind w:left="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2" w:line="240" w:lineRule="exact"/>
              <w:ind w:left="158" w:right="15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项目总体目标</w:t>
            </w:r>
          </w:p>
        </w:tc>
        <w:tc>
          <w:tcPr>
            <w:tcW w:w="9345" w:type="dxa"/>
            <w:gridSpan w:val="1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3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pStyle w:val="7"/>
              <w:kinsoku w:val="0"/>
              <w:overflowPunct w:val="0"/>
              <w:spacing w:before="131"/>
              <w:ind w:left="3530" w:right="35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绩效指标</w:t>
            </w:r>
          </w:p>
        </w:tc>
        <w:tc>
          <w:tcPr>
            <w:tcW w:w="1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left="221" w:right="2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一级指标</w:t>
            </w:r>
          </w:p>
        </w:tc>
        <w:tc>
          <w:tcPr>
            <w:tcW w:w="11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79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二级指标</w:t>
            </w: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9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三级指标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right="1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项目指标值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right="1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实际完成值</w:t>
            </w: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9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分值</w:t>
            </w: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9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right="368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left="486" w:right="368" w:hanging="100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left="221" w:right="2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产出指标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数量指标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质量指标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时效指标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成本指标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0" w:lineRule="exact"/>
              <w:ind w:left="221" w:right="2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效益指标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60" w:line="240" w:lineRule="exact"/>
              <w:ind w:right="143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经济效益指标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exact"/>
              <w:ind w:right="143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社会效益指标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60" w:line="240" w:lineRule="exact"/>
              <w:ind w:right="143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生态效益指标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58" w:line="240" w:lineRule="exact"/>
              <w:ind w:right="143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可持续影响指标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5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61" w:line="285" w:lineRule="auto"/>
              <w:ind w:left="221" w:right="102" w:hanging="101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满意度指标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5" w:line="285" w:lineRule="auto"/>
              <w:ind w:right="118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服务对象满意度指标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1: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72" w:lineRule="exact"/>
              <w:ind w:left="10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指标 </w:t>
            </w:r>
            <w:r>
              <w:rPr>
                <w:rFonts w:hint="default" w:ascii="Times New Roman" w:hAnsi="Times New Roman" w:eastAsia="Times New Roman"/>
                <w:sz w:val="20"/>
              </w:rPr>
              <w:t>2: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73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textDirection w:val="tbRl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65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right="3041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   分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0"/>
              <w:ind w:left="103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sz w:val="20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3"/>
        <w:tabs>
          <w:tab w:val="left" w:pos="2907"/>
          <w:tab w:val="left" w:pos="5107"/>
          <w:tab w:val="left" w:pos="7407"/>
        </w:tabs>
        <w:kinsoku w:val="0"/>
        <w:overflowPunct w:val="0"/>
        <w:spacing w:line="256" w:lineRule="exact"/>
        <w:ind w:left="707"/>
        <w:rPr>
          <w:rFonts w:hint="eastAsia" w:ascii="Times New Roman" w:hAnsi="Times New Roman" w:eastAsia="仿宋_GB2312"/>
          <w:sz w:val="28"/>
          <w:lang w:eastAsia="zh-CN"/>
        </w:rPr>
        <w:sectPr>
          <w:type w:val="continuous"/>
          <w:pgSz w:w="11900" w:h="16840"/>
          <w:pgMar w:top="1600" w:right="700" w:bottom="2000" w:left="8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  <w:r>
        <w:rPr>
          <w:rFonts w:hint="eastAsia"/>
          <w:sz w:val="20"/>
        </w:rPr>
        <w:t>填报人：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联系电话：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填报日期：</w:t>
      </w:r>
      <w:r>
        <w:rPr>
          <w:rFonts w:hint="eastAsia"/>
          <w:sz w:val="20"/>
        </w:rPr>
        <w:tab/>
      </w:r>
      <w:r>
        <w:rPr>
          <w:rFonts w:hint="eastAsia"/>
          <w:spacing w:val="-1"/>
          <w:sz w:val="20"/>
        </w:rPr>
        <w:t>单</w:t>
      </w:r>
      <w:r>
        <w:rPr>
          <w:rFonts w:hint="eastAsia"/>
          <w:sz w:val="20"/>
        </w:rPr>
        <w:t>位负责人签字</w:t>
      </w:r>
      <w:r>
        <w:rPr>
          <w:rFonts w:hint="eastAsia"/>
          <w:sz w:val="20"/>
          <w:lang w:eastAsia="zh-CN"/>
        </w:rPr>
        <w:t>：</w:t>
      </w:r>
    </w:p>
    <w:p>
      <w:pPr>
        <w:rPr>
          <w:rFonts w:hint="default" w:eastAsia="仿宋_GB2312"/>
          <w:lang w:val="en-US" w:eastAsia="zh-CN"/>
        </w:rPr>
      </w:pPr>
    </w:p>
    <w:p/>
    <w:sectPr>
      <w:footerReference r:id="rId6" w:type="default"/>
      <w:footerReference r:id="rId7" w:type="even"/>
      <w:pgSz w:w="11900" w:h="16840"/>
      <w:pgMar w:top="1480" w:right="1320" w:bottom="280" w:left="14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245B"/>
    <w:rsid w:val="004D1E2C"/>
    <w:rsid w:val="06BA021A"/>
    <w:rsid w:val="26A304F7"/>
    <w:rsid w:val="2752799D"/>
    <w:rsid w:val="2C0736B2"/>
    <w:rsid w:val="2DE53F46"/>
    <w:rsid w:val="418D3CCE"/>
    <w:rsid w:val="4B1F2314"/>
    <w:rsid w:val="57D0245B"/>
    <w:rsid w:val="73D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_GBK" w:hAnsi="方正小标宋_GBK" w:eastAsia="方正小标宋_GBK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2021-01-08T12:06:00Z</dcterms:created>
  <dc:creator>丞相府</dc:creator>
  <cp:lastModifiedBy>Administrator</cp:lastModifiedBy>
  <cp:lastPrinted>2021-01-28T01:06:39Z</cp:lastPrinted>
  <dcterms:modified xsi:type="dcterms:W3CDTF">2021-01-28T01:08:26Z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