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bookmarkStart w:id="0" w:name="_GoBack"/>
      <w:r>
        <w:rPr>
          <w:rStyle w:val="4"/>
          <w:rFonts w:ascii="微软雅黑" w:hAnsi="微软雅黑" w:eastAsia="微软雅黑" w:cs="微软雅黑"/>
          <w:b/>
          <w:i w:val="0"/>
          <w:caps w:val="0"/>
          <w:color w:val="000000"/>
          <w:spacing w:val="30"/>
          <w:sz w:val="36"/>
          <w:szCs w:val="36"/>
        </w:rPr>
        <w:t>2019年南岳区第一中学部门整体支出绩效评</w:t>
      </w:r>
      <w:bookmarkEnd w:id="0"/>
      <w:r>
        <w:rPr>
          <w:rStyle w:val="4"/>
          <w:rFonts w:ascii="微软雅黑" w:hAnsi="微软雅黑" w:eastAsia="微软雅黑" w:cs="微软雅黑"/>
          <w:b/>
          <w:i w:val="0"/>
          <w:caps w:val="0"/>
          <w:color w:val="000000"/>
          <w:spacing w:val="30"/>
          <w:sz w:val="36"/>
          <w:szCs w:val="36"/>
        </w:rPr>
        <w:t>价报告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根据上级财政部门对预算公开和预算绩效管理的要求，我单位对2019年度部门整体支出绩效进行了全面综合评价，现将有关情况报告如下：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（一）学校主要职责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1、宣传贯彻执行党和国家的教育方针、政策、法律法规等，坚持依法治教、依法治学。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2、研究拟定学校发展规划和年度计划，组织实施教育体制和办学体制改革。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3、管理学校教育经费，执行财务管理制度，负责学校财务和基建管理，筹措资金，改善办学条件。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4、组织开展本校的教育教学研究和教育教学改革，负责对本校教育教学业务的具体管理，负责教育教学管理及教研教改工作，全力推进素质教育实施。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（二）部门组织机构及人员情况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1、机构设置情况：我单位内设办公室、教导处、政教处、总务处</w:t>
      </w:r>
      <w:r>
        <w:rPr>
          <w:rFonts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个内设机构。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2、人员情况：截止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年末，我单位共有在职人员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84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人，退休人员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44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3、车辆情况：我校拥有小车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台，牌照为湘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D96540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，已纳入车改暂未处理。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二、部门整体支出管理和使用情况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（一）2019年部门预算情况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经区八届人大四次会议审议通过的区本级部门预算批复，2019年收入预算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1309.56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万元，其中经费拨款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1217.79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万元，转移支付拨款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21.77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万元，财政专户管理的非税收入拨款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支出预算总计1309.56万元，其中：基本支出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992.24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万元（工资福利支出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933.59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万元，一般商品和服务支出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29.77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万元，对个人和家庭的补助支出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28.88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万元），项目支出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317.32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（二）2019年部门决算情况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2019年收入为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2082.93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万元。其中：财政拨款收入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1859.62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万元，事业收入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129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万元，上级补助收入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84.31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万元，其他收入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2019年总支出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2310.82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万元。其中：基本支出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1746.71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万元，占总支出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75.59%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，项目支出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564.11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万元，占总支出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24.41%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（三）2019年支出分类情况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1、基本支出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基本支出系保障我单位机构正常运转、完成日常工作任务而发生的各项支出，包括用于在职人员基本工资、津贴补贴等人员经费以及办公费、印刷费、水电费、办公设备购置等日常公用经费。2019年基本支出1746.71万元，较上年减少。包括：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工资福利支出1339.72万元，占基本支出的76.7%。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商品和服务支出190.83万元，占基本支出的10.92%。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对个人和家庭补助支出216.16万元，占基本支出的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12.38%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2、项目支出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项目支出是我单位为完成运动场建设及标准化考点建设等支出，2019年项目支出总计564.11万元。其中：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运动场项目支出431.8万元，到本年底已累计投资1314万元，工程完工已提交投资评审；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标准化考点建设项目支出13.2万元，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30"/>
          <w:sz w:val="24"/>
          <w:szCs w:val="24"/>
        </w:rPr>
        <w:t>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智慧黑板一体机25.44万元，</w:t>
      </w:r>
      <w:r>
        <w:rPr>
          <w:rFonts w:ascii="新宋体" w:hAnsi="新宋体" w:eastAsia="新宋体" w:cs="新宋体"/>
          <w:b w:val="0"/>
          <w:i w:val="0"/>
          <w:caps w:val="0"/>
          <w:color w:val="000000"/>
          <w:spacing w:val="30"/>
          <w:sz w:val="24"/>
          <w:szCs w:val="24"/>
        </w:rPr>
        <w:t>④省运会比赛场地设备添置费9.63万元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（四）“三公”经费情况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2019年“三公”经费本年预算5万元，实际支出3.98万元，其原因是单位全面贯彻落实八项规定及厉行节约的相关要求，从严控制接待标准及陪同人数，降低并缩减了“三公”经费比例。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三、部门整体支出绩效指标评价情况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我单位从预算编制、预算配置、预算执行和管理等方面对2019年部门整体支出绩效开展了评价，具体情况如下：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（一）预算配置指标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编制数85人，在职人员84人，在编制控制范围内。三公经费本年预算数5万元。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（二）预算执行指标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2019年支出决算为1746.11万元，2019年年末结余为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47.88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万元。“三公经费”控制在预算以内。2019年年初预算1309.56万元，年中追加预算436.55万元，包括：事业单位基本工资提标、增人增资14.49万元，目标管理考核奖269.83万元，标准化考点建设拨款13.2万元等，未列入年初部门预算，而年底决算列入了，因此超过预算较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（三）预算管理指标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2019年我单位预算管理各项指标控制较好。政府采购预算数25万元，实际政府采购金额399.73万元，政府采购执行率98.98%。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9年我单位主要从以下几个方面加强预算管理。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一是进一步规范财务管理。今年，根据中央八项规定有关精神以及财务管理方面的法律、法规和审计等部门的意见，我单位对财务管理制度进一步进行了完善。同时，在财务开支把关方面认真执行相关文件并严格财务开支审批程序，加强对差旅费、会议费、接待费、培训费审核审批程序，做到一事一公涵，一事一审批，一事一结账。重点保障学校正常运转及重点工作的需要，大力压缩一般性支出，提高财政资金使用效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二是依法依规公开部门预决算。根据全区部门预决算公开工作统一安排部署，我单位分别于2019年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日公开了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年部门预算和“三公”经费预算，于2020年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号公开了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年部门决算和“三公”经费决算，圆满完成了“三公”经费预决算公开工作。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三是进一步加强固定资产管理。按照全区资产清查工作的统一部署，对单位的资产清查工作进行全盘安排部署，对所属资产进行了较为全面的清查，并进一步规范了资产报废审批程序，加强国有资产管理，确保账账、账实相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（四）主要效益指标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1、规范办学行为，有依有据合理收费，杜绝乱发行教辅资料或强行收费等损害学生切身利益行为。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2、在教育教学质量方面，我校取得了优异的成绩。2019年高考，本科上线率34.8% ，继续保持衡阳市县区同类学校前列。2019年学业水平考试一次性合格率为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91.81%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，较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年提高</w:t>
      </w: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30"/>
          <w:sz w:val="24"/>
          <w:szCs w:val="24"/>
        </w:rPr>
        <w:t>2.24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个百分点，达到省级示范性高中学校水平。高、学考成绩均位居衡阳市同类学校第一，超过多所市级示范性高中，被誉为衡阳薄弱学校教育的奇迹，多次被衡阳市教科院领导向市主管教育领导进行重点推介</w:t>
      </w:r>
      <w:r>
        <w:rPr>
          <w:rFonts w:ascii="仿宋" w:hAnsi="仿宋" w:eastAsia="仿宋" w:cs="仿宋"/>
          <w:b w:val="0"/>
          <w:i w:val="0"/>
          <w:caps w:val="0"/>
          <w:color w:val="000000"/>
          <w:spacing w:val="3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四、存在的主要问题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从单位预算收支情况看：年初预算与部门决算仍存在偏差，在预算执行过程中，由于各种客观原因存在指标没有专款专用的现象，内部控制制度还有待于进一步完善。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五、改进的措施和建议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针对上述存在的问题及单位整体支出管理工作的需要，拟实施的改进措施如下：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一）进一步建立健全财务制度，规范财务管理，细化预算编制工作，加强单位内部机构各股室的预算管理意识，优先保障固定性的、相对刚性的费用支出项目，尽量压缩变动性的、有控制空间的费用项目，提高预算编制的科学性、严谨性和可控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（二）强化绩效管理意识，进一步强化绩效理念，将绩效管理理念贯穿于资金分配到资金使用全过程，加大资金整合力度，强化专项资金管理，把有限的资金用在刀刃上，提高财政资金使用效益。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4"/>
          <w:szCs w:val="24"/>
        </w:rPr>
        <w:t>（三）规范教育教学行为，提高教育教学质量，加强校园文化建设，加强学校廉政建设。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841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2021-05-27T01:44:52Z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