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85" w:lineRule="atLeast"/>
        <w:ind w:left="0" w:right="0" w:firstLine="645"/>
        <w:rPr>
          <w:rFonts w:hint="eastAsia" w:ascii="方正楷体简体" w:hAnsi="方正楷体简体" w:eastAsia="方正楷体简体" w:cs="方正楷体简体"/>
          <w:color w:val="666666"/>
          <w:sz w:val="31"/>
          <w:szCs w:val="3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666666"/>
          <w:sz w:val="31"/>
          <w:szCs w:val="31"/>
          <w:lang w:val="en-US" w:eastAsia="zh-CN"/>
        </w:rPr>
        <w:t>2019年南岳区人民政府预算绩效开展情况说明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85" w:lineRule="atLeast"/>
        <w:ind w:left="0" w:right="0" w:firstLine="645"/>
      </w:pP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2019年，我区各预算单位对10万元以上部门预算专项、50万元以上的全区性专项预算资金进行绩效目标申报并公开，所有单位对部门整体支出均进行绩效目标申报并公开。区财政对以上预算绩效目标予以批复。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我们按照绩效目标管理、绩效运行监控、绩效自评、评价结果应用全过程全方位全覆盖对预算资金进行绩效管理，做到花钱必问效、无效必问责。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2019年区财政局选定商务局的创客空间、人社局的业务用房建设、养老保险基金共三个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领导和社会公众广泛关注的民生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项目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预算额2.46亿元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委托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会计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事务所进行财政重点绩效评价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，发现问题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将督促有关部门限时整改，并将评价结果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公开，与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以后年度预算安排和资金管理</w:t>
      </w:r>
      <w:r>
        <w:rPr>
          <w:rFonts w:hint="eastAsia" w:ascii="方正仿宋简体" w:hAnsi="方正仿宋简体" w:eastAsia="方正仿宋简体" w:cs="方正仿宋简体"/>
          <w:color w:val="666666"/>
          <w:sz w:val="31"/>
          <w:szCs w:val="31"/>
          <w:lang w:eastAsia="zh-CN"/>
        </w:rPr>
        <w:t>相挂钩</w:t>
      </w:r>
      <w:r>
        <w:rPr>
          <w:rFonts w:hint="default" w:ascii="方正仿宋简体" w:hAnsi="方正仿宋简体" w:eastAsia="方正仿宋简体" w:cs="方正仿宋简体"/>
          <w:color w:val="666666"/>
          <w:sz w:val="31"/>
          <w:szCs w:val="31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5E9B"/>
    <w:rsid w:val="1B7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2021-06-16T02:32:00Z</dcterms:created>
  <dc:creator>丞相府</dc:creator>
  <cp:lastModifiedBy>丞相府</cp:lastModifiedBy>
  <dcterms:modified xsi:type="dcterms:W3CDTF">2021-06-16T02:40:49Z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