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09" w:firstLineChars="500"/>
        <w:jc w:val="both"/>
        <w:rPr>
          <w:rFonts w:hint="eastAsia" w:ascii="黑体" w:hAnsi="宋体" w:eastAsia="黑体" w:cs="黑体"/>
          <w:b/>
          <w:bCs/>
          <w:color w:val="000000"/>
          <w:sz w:val="44"/>
          <w:szCs w:val="44"/>
          <w:lang w:val="en-US" w:eastAsia="zh-CN"/>
        </w:rPr>
      </w:pPr>
    </w:p>
    <w:p>
      <w:pPr>
        <w:spacing w:line="360" w:lineRule="auto"/>
        <w:ind w:firstLine="2209" w:firstLineChars="500"/>
        <w:jc w:val="both"/>
        <w:rPr>
          <w:rFonts w:ascii="黑体" w:hAnsi="Times New Roman" w:eastAsia="黑体" w:cs="Times New Roman"/>
          <w:b/>
          <w:bCs/>
          <w:color w:val="000000"/>
          <w:sz w:val="44"/>
          <w:szCs w:val="44"/>
          <w:lang w:eastAsia="zh-CN"/>
        </w:rPr>
      </w:pPr>
      <w:r>
        <w:rPr>
          <w:rFonts w:hint="eastAsia" w:ascii="黑体" w:hAnsi="宋体" w:eastAsia="黑体" w:cs="黑体"/>
          <w:b/>
          <w:bCs/>
          <w:color w:val="000000"/>
          <w:sz w:val="44"/>
          <w:szCs w:val="44"/>
          <w:lang w:val="en-US" w:eastAsia="zh-CN"/>
        </w:rPr>
        <w:t>2019年专项</w:t>
      </w:r>
      <w:r>
        <w:rPr>
          <w:rFonts w:hint="eastAsia" w:ascii="黑体" w:hAnsi="宋体" w:eastAsia="黑体" w:cs="黑体"/>
          <w:b/>
          <w:bCs/>
          <w:color w:val="000000"/>
          <w:sz w:val="44"/>
          <w:szCs w:val="44"/>
          <w:lang w:eastAsia="zh-CN"/>
        </w:rPr>
        <w:t>绩效评价报告</w:t>
      </w:r>
    </w:p>
    <w:p>
      <w:pPr>
        <w:spacing w:line="240" w:lineRule="exact"/>
        <w:jc w:val="center"/>
        <w:rPr>
          <w:rFonts w:ascii="仿宋_GB2312" w:eastAsia="仿宋_GB2312" w:cs="仿宋_GB2312"/>
          <w:sz w:val="21"/>
          <w:szCs w:val="21"/>
          <w:lang w:eastAsia="zh-CN"/>
        </w:rPr>
      </w:pPr>
    </w:p>
    <w:p>
      <w:pPr>
        <w:spacing w:line="360" w:lineRule="auto"/>
        <w:ind w:firstLine="640" w:firstLineChars="200"/>
        <w:jc w:val="both"/>
        <w:rPr>
          <w:rFonts w:ascii="仿宋_GB2312" w:hAnsi="Times New Roman" w:eastAsia="仿宋_GB2312" w:cs="Times New Roman"/>
          <w:sz w:val="32"/>
          <w:szCs w:val="32"/>
          <w:lang w:val="zh-CN" w:eastAsia="zh-CN"/>
        </w:rPr>
      </w:pPr>
      <w:r>
        <w:rPr>
          <w:rFonts w:hint="eastAsia" w:ascii="仿宋_GB2312" w:hAnsi="仿宋" w:eastAsia="仿宋_GB2312" w:cs="仿宋_GB2312"/>
          <w:sz w:val="32"/>
          <w:szCs w:val="32"/>
          <w:lang w:val="zh-CN" w:eastAsia="zh-CN"/>
        </w:rPr>
        <w:t>为加强财政支出管理，提高财政资金使用效益，根据根据《南岳区人民政府关于全面推进预算绩效管理的实施意见》（岳政办发【2015】17号）文件精神，预算绩效管理工作已纳入政府对各单位年度工作责任考核体系。我们采用座谈、查阅资料、实地查看项目完成情况、定量和定性分析等方法，对项目的预算编制、执行、监督，资金分配、使用、监管以及财务会计信息、项目组织管理、项目绩效完成等方面进行综合评价。现将绩效评价情况报告如下：</w:t>
      </w:r>
    </w:p>
    <w:p>
      <w:pPr>
        <w:adjustRightInd w:val="0"/>
        <w:spacing w:line="360" w:lineRule="auto"/>
        <w:ind w:firstLine="200"/>
        <w:jc w:val="both"/>
        <w:rPr>
          <w:rFonts w:hint="eastAsia" w:ascii="Times New Roman" w:hAnsi="黑体" w:eastAsia="黑体" w:cs="黑体"/>
          <w:b/>
          <w:sz w:val="32"/>
          <w:szCs w:val="32"/>
          <w:lang w:eastAsia="zh-CN"/>
        </w:rPr>
      </w:pPr>
      <w:r>
        <w:rPr>
          <w:rFonts w:ascii="Times New Roman" w:hAnsi="Times New Roman" w:eastAsia="仿宋" w:cs="Times New Roman"/>
          <w:b/>
          <w:bCs/>
          <w:sz w:val="32"/>
          <w:szCs w:val="32"/>
          <w:lang w:eastAsia="zh-CN"/>
        </w:rPr>
        <w:t xml:space="preserve">   </w:t>
      </w:r>
      <w:r>
        <w:rPr>
          <w:rFonts w:hint="eastAsia" w:ascii="Times New Roman" w:hAnsi="黑体" w:eastAsia="黑体" w:cs="黑体"/>
          <w:b/>
          <w:sz w:val="32"/>
          <w:szCs w:val="32"/>
          <w:lang w:eastAsia="zh-CN"/>
        </w:rPr>
        <w:t>一、绩效评价工作情况</w:t>
      </w:r>
      <w:bookmarkStart w:id="0" w:name="_Toc382993472"/>
      <w:bookmarkStart w:id="1" w:name="_Toc390357455"/>
      <w:bookmarkStart w:id="2" w:name="_Toc381340330"/>
    </w:p>
    <w:p>
      <w:pPr>
        <w:spacing w:line="360" w:lineRule="auto"/>
        <w:ind w:firstLine="640" w:firstLineChars="200"/>
        <w:jc w:val="both"/>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本次绩效评价工作是对</w:t>
      </w:r>
      <w:r>
        <w:rPr>
          <w:rFonts w:hint="eastAsia" w:ascii="仿宋_GB2312" w:hAnsi="仿宋" w:eastAsia="仿宋_GB2312" w:cs="仿宋_GB2312"/>
          <w:sz w:val="32"/>
          <w:szCs w:val="32"/>
          <w:lang w:val="en-US" w:eastAsia="zh-CN"/>
        </w:rPr>
        <w:t>2019年度</w:t>
      </w:r>
      <w:r>
        <w:rPr>
          <w:rFonts w:hint="eastAsia" w:ascii="仿宋_GB2312" w:hAnsi="仿宋" w:eastAsia="仿宋_GB2312" w:cs="仿宋_GB2312"/>
          <w:sz w:val="32"/>
          <w:szCs w:val="32"/>
          <w:lang w:val="zh-CN" w:eastAsia="zh-CN"/>
        </w:rPr>
        <w:t>南岳区交通局白龙潭停车场建设项目资金的使用及效果进行绩效评价。采集项目资金相关数据和绩效信息并进行汇总分析，对绩效目标实现情况进行评价，发现存在的问题并提出相关建议，促进预算管理不断完善，保证财政资金有效、合理使用。</w:t>
      </w:r>
    </w:p>
    <w:bookmarkEnd w:id="0"/>
    <w:bookmarkEnd w:id="1"/>
    <w:bookmarkEnd w:id="2"/>
    <w:p>
      <w:pPr>
        <w:numPr>
          <w:ilvl w:val="0"/>
          <w:numId w:val="1"/>
        </w:numPr>
        <w:adjustRightInd w:val="0"/>
        <w:spacing w:line="360" w:lineRule="auto"/>
        <w:ind w:firstLine="643" w:firstLineChars="200"/>
        <w:jc w:val="both"/>
        <w:rPr>
          <w:rFonts w:hint="eastAsia" w:ascii="黑体" w:hAnsi="宋体" w:eastAsia="黑体" w:cs="宋体"/>
          <w:b/>
          <w:bCs/>
          <w:sz w:val="32"/>
          <w:szCs w:val="32"/>
          <w:lang w:eastAsia="zh-CN"/>
        </w:rPr>
      </w:pPr>
      <w:r>
        <w:rPr>
          <w:rFonts w:hint="eastAsia" w:ascii="黑体" w:hAnsi="宋体" w:eastAsia="黑体" w:cs="宋体"/>
          <w:b/>
          <w:bCs/>
          <w:sz w:val="32"/>
          <w:szCs w:val="32"/>
          <w:lang w:eastAsia="zh-CN"/>
        </w:rPr>
        <w:t>项目基本情况</w:t>
      </w:r>
    </w:p>
    <w:p>
      <w:pPr>
        <w:spacing w:line="360" w:lineRule="auto"/>
        <w:ind w:firstLine="640" w:firstLineChars="200"/>
        <w:jc w:val="both"/>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白龙潭停车场建设项目为</w:t>
      </w:r>
      <w:r>
        <w:rPr>
          <w:rFonts w:hint="eastAsia" w:ascii="仿宋_GB2312" w:hAnsi="仿宋" w:eastAsia="仿宋_GB2312" w:cs="仿宋_GB2312"/>
          <w:sz w:val="32"/>
          <w:szCs w:val="32"/>
          <w:lang w:val="en-US" w:eastAsia="zh-CN"/>
        </w:rPr>
        <w:t>2017年区重点项目，该项目</w:t>
      </w:r>
      <w:r>
        <w:rPr>
          <w:rFonts w:hint="eastAsia" w:ascii="仿宋_GB2312" w:hAnsi="仿宋" w:eastAsia="仿宋_GB2312" w:cs="仿宋_GB2312"/>
          <w:sz w:val="32"/>
          <w:szCs w:val="32"/>
          <w:lang w:val="zh-CN" w:eastAsia="zh-CN"/>
        </w:rPr>
        <w:t>于</w:t>
      </w:r>
      <w:r>
        <w:rPr>
          <w:rFonts w:hint="eastAsia" w:ascii="仿宋_GB2312" w:hAnsi="仿宋" w:eastAsia="仿宋_GB2312" w:cs="仿宋_GB2312"/>
          <w:sz w:val="32"/>
          <w:szCs w:val="32"/>
          <w:lang w:val="en-US" w:eastAsia="zh-CN"/>
        </w:rPr>
        <w:t>2016年8月经区发改委立项实施，估算资金17460万元，资金来源为区政府全额投资，项目占地面积6120平方，总建筑面积1498平方，包括游客服务咨询中心、售票大厅、管理人员办公室、景观长廊、绿化、设54个停车位的停车场等设施。2016年12月经公开招投标开工建设，2018年4月完工并投入试运行，2019年4月通过竣工验收，工程质量合格，工程结算已送财政评审。</w:t>
      </w:r>
    </w:p>
    <w:p>
      <w:pPr>
        <w:spacing w:line="360" w:lineRule="auto"/>
        <w:ind w:firstLine="643" w:firstLineChars="200"/>
        <w:jc w:val="both"/>
        <w:rPr>
          <w:rFonts w:ascii="Times New Roman" w:hAnsi="黑体" w:eastAsia="黑体" w:cs="黑体"/>
          <w:b/>
          <w:sz w:val="32"/>
          <w:szCs w:val="32"/>
          <w:lang w:val="zh-CN" w:eastAsia="zh-CN"/>
        </w:rPr>
      </w:pPr>
      <w:r>
        <w:rPr>
          <w:rFonts w:hint="eastAsia" w:ascii="Times New Roman" w:hAnsi="黑体" w:eastAsia="黑体" w:cs="黑体"/>
          <w:b/>
          <w:sz w:val="32"/>
          <w:szCs w:val="32"/>
          <w:lang w:val="zh-CN" w:eastAsia="zh-CN"/>
        </w:rPr>
        <w:t>三、资金使用情况</w:t>
      </w:r>
    </w:p>
    <w:p>
      <w:pPr>
        <w:spacing w:line="360" w:lineRule="auto"/>
        <w:ind w:firstLine="643" w:firstLineChars="200"/>
        <w:jc w:val="both"/>
        <w:rPr>
          <w:rFonts w:hint="eastAsia" w:ascii="楷体_GB2312" w:hAnsi="宋体" w:eastAsia="楷体_GB2312" w:cs="宋体"/>
          <w:b/>
          <w:sz w:val="32"/>
          <w:szCs w:val="32"/>
          <w:lang w:eastAsia="zh-CN"/>
        </w:rPr>
      </w:pPr>
      <w:r>
        <w:rPr>
          <w:rFonts w:hint="eastAsia" w:ascii="楷体_GB2312" w:hAnsi="宋体" w:eastAsia="楷体_GB2312" w:cs="宋体"/>
          <w:b/>
          <w:sz w:val="32"/>
          <w:szCs w:val="32"/>
          <w:lang w:eastAsia="zh-CN"/>
        </w:rPr>
        <w:t>（一）项目资金拨付情况</w:t>
      </w:r>
    </w:p>
    <w:p>
      <w:pPr>
        <w:spacing w:line="360" w:lineRule="exact"/>
        <w:ind w:firstLine="640" w:firstLineChars="200"/>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本次财政拨付建设资金</w:t>
      </w:r>
      <w:r>
        <w:rPr>
          <w:rFonts w:hint="eastAsia" w:ascii="Times New Roman" w:hAnsi="Times New Roman" w:cs="Times New Roman"/>
          <w:sz w:val="32"/>
          <w:szCs w:val="32"/>
          <w:lang w:val="en-US" w:eastAsia="zh-CN"/>
        </w:rPr>
        <w:t>100万元</w:t>
      </w:r>
    </w:p>
    <w:p>
      <w:pPr>
        <w:spacing w:line="360" w:lineRule="auto"/>
        <w:ind w:firstLine="643" w:firstLineChars="200"/>
        <w:jc w:val="both"/>
        <w:rPr>
          <w:rFonts w:hint="eastAsia" w:ascii="楷体_GB2312" w:hAnsi="宋体" w:eastAsia="楷体_GB2312" w:cs="宋体"/>
          <w:b/>
          <w:sz w:val="32"/>
          <w:szCs w:val="32"/>
          <w:lang w:eastAsia="zh-CN"/>
        </w:rPr>
      </w:pPr>
      <w:r>
        <w:rPr>
          <w:rFonts w:hint="eastAsia" w:ascii="楷体_GB2312" w:hAnsi="宋体" w:eastAsia="楷体_GB2312" w:cs="宋体"/>
          <w:b/>
          <w:sz w:val="32"/>
          <w:szCs w:val="32"/>
          <w:lang w:eastAsia="zh-CN"/>
        </w:rPr>
        <w:t>（二）专项资金使用情况</w:t>
      </w:r>
    </w:p>
    <w:p>
      <w:pPr>
        <w:spacing w:line="360" w:lineRule="exact"/>
        <w:ind w:firstLine="640" w:firstLineChars="200"/>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本次拨付给施工单位工程款</w:t>
      </w:r>
      <w:r>
        <w:rPr>
          <w:rFonts w:hint="eastAsia" w:ascii="Times New Roman" w:hAnsi="Times New Roman" w:cs="Times New Roman"/>
          <w:sz w:val="32"/>
          <w:szCs w:val="32"/>
          <w:lang w:val="en-US" w:eastAsia="zh-CN"/>
        </w:rPr>
        <w:t>100万元</w:t>
      </w:r>
    </w:p>
    <w:p>
      <w:pPr>
        <w:spacing w:before="100" w:beforeAutospacing="1"/>
        <w:rPr>
          <w:rFonts w:ascii="宋体" w:cs="Arial"/>
          <w:b/>
          <w:sz w:val="32"/>
          <w:szCs w:val="32"/>
          <w:lang w:eastAsia="zh-CN"/>
        </w:rPr>
      </w:pPr>
      <w:bookmarkStart w:id="3" w:name="_Toc382993473"/>
      <w:bookmarkStart w:id="4" w:name="_Toc381340331"/>
      <w:r>
        <w:rPr>
          <w:rFonts w:hint="eastAsia" w:ascii="宋体" w:hAnsi="宋体" w:cs="Arial"/>
          <w:b/>
          <w:sz w:val="32"/>
          <w:szCs w:val="32"/>
          <w:lang w:eastAsia="zh-CN"/>
        </w:rPr>
        <w:t>四、项目主要绩效及综合评价结果</w:t>
      </w:r>
    </w:p>
    <w:p>
      <w:pPr>
        <w:autoSpaceDE w:val="0"/>
        <w:autoSpaceDN w:val="0"/>
        <w:adjustRightInd w:val="0"/>
        <w:spacing w:line="360" w:lineRule="auto"/>
        <w:ind w:firstLine="643" w:firstLineChars="200"/>
        <w:jc w:val="both"/>
        <w:rPr>
          <w:rFonts w:hint="eastAsia" w:ascii="Times New Roman" w:hAnsi="黑体" w:eastAsia="黑体" w:cs="黑体"/>
          <w:b/>
          <w:sz w:val="32"/>
          <w:szCs w:val="32"/>
          <w:lang w:val="zh-CN" w:eastAsia="zh-CN"/>
        </w:rPr>
      </w:pPr>
      <w:r>
        <w:rPr>
          <w:rFonts w:hint="eastAsia" w:ascii="Times New Roman" w:hAnsi="黑体" w:eastAsia="黑体" w:cs="黑体"/>
          <w:b/>
          <w:sz w:val="32"/>
          <w:szCs w:val="32"/>
          <w:lang w:val="zh-CN" w:eastAsia="zh-CN"/>
        </w:rPr>
        <w:t>（一）项目的主要绩效</w:t>
      </w:r>
    </w:p>
    <w:p>
      <w:pPr>
        <w:autoSpaceDE w:val="0"/>
        <w:autoSpaceDN w:val="0"/>
        <w:adjustRightInd w:val="0"/>
        <w:spacing w:line="360" w:lineRule="auto"/>
        <w:ind w:firstLine="640" w:firstLineChars="200"/>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项目资金能够按时足额到位，项目资金使用符合相关法律法规、制度和规定，项目管理实施过程规范。</w:t>
      </w:r>
    </w:p>
    <w:p>
      <w:pPr>
        <w:autoSpaceDE w:val="0"/>
        <w:autoSpaceDN w:val="0"/>
        <w:adjustRightInd w:val="0"/>
        <w:spacing w:line="360" w:lineRule="auto"/>
        <w:ind w:firstLine="643" w:firstLineChars="200"/>
        <w:jc w:val="both"/>
        <w:rPr>
          <w:rFonts w:hint="eastAsia" w:ascii="Times New Roman" w:hAnsi="黑体" w:eastAsia="黑体" w:cs="黑体"/>
          <w:b/>
          <w:sz w:val="32"/>
          <w:szCs w:val="32"/>
          <w:lang w:val="zh-CN" w:eastAsia="zh-CN"/>
        </w:rPr>
      </w:pPr>
      <w:r>
        <w:rPr>
          <w:rFonts w:hint="eastAsia" w:ascii="Times New Roman" w:hAnsi="黑体" w:eastAsia="黑体" w:cs="黑体"/>
          <w:b/>
          <w:sz w:val="32"/>
          <w:szCs w:val="32"/>
          <w:lang w:val="zh-CN" w:eastAsia="zh-CN"/>
        </w:rPr>
        <w:t>（</w:t>
      </w:r>
      <w:r>
        <w:rPr>
          <w:rFonts w:hint="eastAsia" w:ascii="Times New Roman" w:hAnsi="黑体" w:eastAsia="黑体" w:cs="黑体"/>
          <w:b/>
          <w:sz w:val="32"/>
          <w:szCs w:val="32"/>
          <w:lang w:eastAsia="zh-CN"/>
        </w:rPr>
        <w:t>二</w:t>
      </w:r>
      <w:r>
        <w:rPr>
          <w:rFonts w:hint="eastAsia" w:ascii="Times New Roman" w:hAnsi="黑体" w:eastAsia="黑体" w:cs="黑体"/>
          <w:b/>
          <w:sz w:val="32"/>
          <w:szCs w:val="32"/>
          <w:lang w:val="zh-CN" w:eastAsia="zh-CN"/>
        </w:rPr>
        <w:t>）综合评价结论</w:t>
      </w:r>
    </w:p>
    <w:p>
      <w:pPr>
        <w:autoSpaceDE w:val="0"/>
        <w:autoSpaceDN w:val="0"/>
        <w:adjustRightInd w:val="0"/>
        <w:spacing w:line="360" w:lineRule="auto"/>
        <w:ind w:firstLine="640" w:firstLineChars="200"/>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综合评价结论：良好</w:t>
      </w:r>
    </w:p>
    <w:p>
      <w:pPr>
        <w:autoSpaceDE w:val="0"/>
        <w:autoSpaceDN w:val="0"/>
        <w:adjustRightInd w:val="0"/>
        <w:spacing w:line="360" w:lineRule="auto"/>
        <w:ind w:firstLine="643" w:firstLineChars="200"/>
        <w:jc w:val="both"/>
        <w:rPr>
          <w:rFonts w:ascii="黑体" w:hAnsi="黑体" w:eastAsia="黑体" w:cs="Times New Roman"/>
          <w:b/>
          <w:sz w:val="32"/>
          <w:szCs w:val="32"/>
          <w:lang w:val="zh-CN" w:eastAsia="zh-CN"/>
        </w:rPr>
      </w:pPr>
      <w:r>
        <w:rPr>
          <w:rFonts w:hint="eastAsia" w:ascii="黑体" w:hAnsi="Times New Roman" w:eastAsia="黑体" w:cs="仿宋_GB2312"/>
          <w:b/>
          <w:color w:val="000000"/>
          <w:sz w:val="32"/>
          <w:szCs w:val="32"/>
          <w:lang w:eastAsia="zh-CN"/>
        </w:rPr>
        <w:t>五、存</w:t>
      </w:r>
      <w:r>
        <w:rPr>
          <w:rFonts w:hint="eastAsia" w:ascii="黑体" w:hAnsi="黑体" w:eastAsia="黑体" w:cs="黑体"/>
          <w:b/>
          <w:sz w:val="32"/>
          <w:szCs w:val="32"/>
          <w:lang w:val="zh-CN" w:eastAsia="zh-CN"/>
        </w:rPr>
        <w:t>在的问题</w:t>
      </w:r>
    </w:p>
    <w:p>
      <w:pPr>
        <w:spacing w:line="360" w:lineRule="auto"/>
        <w:ind w:left="640"/>
        <w:jc w:val="both"/>
        <w:rPr>
          <w:rFonts w:hint="eastAsia" w:ascii="楷体_GB2312" w:hAnsi="楷体" w:eastAsia="楷体_GB2312" w:cs="楷体"/>
          <w:b/>
          <w:sz w:val="32"/>
          <w:szCs w:val="32"/>
          <w:lang w:eastAsia="zh-CN"/>
        </w:rPr>
      </w:pPr>
      <w:r>
        <w:rPr>
          <w:rFonts w:hint="eastAsia" w:ascii="楷体_GB2312" w:hAnsi="楷体" w:eastAsia="楷体_GB2312" w:cs="楷体"/>
          <w:b/>
          <w:sz w:val="32"/>
          <w:szCs w:val="32"/>
          <w:lang w:eastAsia="zh-CN"/>
        </w:rPr>
        <w:t>（一）项目管理存在的问题</w:t>
      </w:r>
    </w:p>
    <w:p>
      <w:pPr>
        <w:spacing w:line="360" w:lineRule="auto"/>
        <w:ind w:left="640"/>
        <w:jc w:val="both"/>
        <w:rPr>
          <w:rFonts w:hint="eastAsia" w:ascii="楷体_GB2312" w:hAnsi="楷体" w:eastAsia="楷体_GB2312" w:cs="楷体"/>
          <w:b w:val="0"/>
          <w:bCs/>
          <w:sz w:val="32"/>
          <w:szCs w:val="32"/>
          <w:lang w:eastAsia="zh-CN"/>
        </w:rPr>
      </w:pPr>
      <w:r>
        <w:rPr>
          <w:rFonts w:hint="eastAsia" w:ascii="楷体_GB2312" w:hAnsi="楷体" w:eastAsia="楷体_GB2312" w:cs="楷体"/>
          <w:b w:val="0"/>
          <w:bCs/>
          <w:sz w:val="32"/>
          <w:szCs w:val="32"/>
          <w:lang w:eastAsia="zh-CN"/>
        </w:rPr>
        <w:t>无</w:t>
      </w:r>
    </w:p>
    <w:p>
      <w:pPr>
        <w:numPr>
          <w:ilvl w:val="0"/>
          <w:numId w:val="2"/>
        </w:numPr>
        <w:spacing w:line="360" w:lineRule="auto"/>
        <w:ind w:firstLine="643" w:firstLineChars="200"/>
        <w:jc w:val="both"/>
        <w:rPr>
          <w:rFonts w:hint="eastAsia" w:ascii="楷体_GB2312" w:hAnsi="仿宋" w:eastAsia="楷体_GB2312" w:cs="仿宋"/>
          <w:b/>
          <w:sz w:val="32"/>
          <w:szCs w:val="32"/>
          <w:lang w:eastAsia="zh-CN"/>
        </w:rPr>
      </w:pPr>
      <w:r>
        <w:rPr>
          <w:rFonts w:hint="eastAsia" w:ascii="楷体_GB2312" w:hAnsi="仿宋" w:eastAsia="楷体_GB2312" w:cs="仿宋"/>
          <w:b/>
          <w:sz w:val="32"/>
          <w:szCs w:val="32"/>
          <w:lang w:eastAsia="zh-CN"/>
        </w:rPr>
        <w:t>专项资金拨付中存在的问题</w:t>
      </w:r>
    </w:p>
    <w:p>
      <w:pPr>
        <w:numPr>
          <w:ilvl w:val="0"/>
          <w:numId w:val="0"/>
        </w:numPr>
        <w:spacing w:line="360" w:lineRule="auto"/>
        <w:jc w:val="both"/>
        <w:rPr>
          <w:rFonts w:hint="eastAsia" w:ascii="楷体_GB2312" w:hAnsi="仿宋" w:eastAsia="楷体_GB2312" w:cs="仿宋"/>
          <w:b w:val="0"/>
          <w:bCs/>
          <w:sz w:val="32"/>
          <w:szCs w:val="32"/>
          <w:lang w:val="en-US" w:eastAsia="zh-CN"/>
        </w:rPr>
      </w:pPr>
      <w:r>
        <w:rPr>
          <w:rFonts w:hint="eastAsia" w:ascii="楷体_GB2312" w:hAnsi="仿宋" w:eastAsia="楷体_GB2312" w:cs="仿宋"/>
          <w:b w:val="0"/>
          <w:bCs/>
          <w:sz w:val="32"/>
          <w:szCs w:val="32"/>
          <w:lang w:val="en-US" w:eastAsia="zh-CN"/>
        </w:rPr>
        <w:t xml:space="preserve">    无</w:t>
      </w:r>
    </w:p>
    <w:p>
      <w:pPr>
        <w:spacing w:line="360" w:lineRule="auto"/>
        <w:ind w:firstLine="643" w:firstLineChars="200"/>
        <w:jc w:val="both"/>
        <w:rPr>
          <w:rFonts w:hint="eastAsia" w:ascii="楷体_GB2312" w:hAnsi="仿宋" w:eastAsia="楷体_GB2312" w:cs="仿宋"/>
          <w:b/>
          <w:sz w:val="32"/>
          <w:szCs w:val="32"/>
          <w:lang w:eastAsia="zh-CN"/>
        </w:rPr>
      </w:pPr>
      <w:r>
        <w:rPr>
          <w:rFonts w:hint="eastAsia" w:ascii="楷体_GB2312" w:hAnsi="楷体" w:eastAsia="楷体_GB2312" w:cs="楷体"/>
          <w:b/>
          <w:sz w:val="32"/>
          <w:szCs w:val="32"/>
          <w:lang w:eastAsia="zh-CN"/>
        </w:rPr>
        <w:t>（三）</w:t>
      </w:r>
      <w:r>
        <w:rPr>
          <w:rFonts w:hint="eastAsia" w:ascii="楷体_GB2312" w:hAnsi="仿宋" w:eastAsia="楷体_GB2312" w:cs="仿宋"/>
          <w:b/>
          <w:sz w:val="32"/>
          <w:szCs w:val="32"/>
          <w:lang w:eastAsia="zh-CN"/>
        </w:rPr>
        <w:t>专项资金使用及核算存在的问题</w:t>
      </w:r>
    </w:p>
    <w:p>
      <w:pPr>
        <w:spacing w:line="360" w:lineRule="auto"/>
        <w:ind w:firstLine="640" w:firstLineChars="200"/>
        <w:jc w:val="both"/>
        <w:rPr>
          <w:rFonts w:hint="eastAsia" w:ascii="楷体_GB2312" w:hAnsi="仿宋" w:eastAsia="楷体_GB2312" w:cs="仿宋"/>
          <w:b w:val="0"/>
          <w:bCs/>
          <w:sz w:val="32"/>
          <w:szCs w:val="32"/>
          <w:lang w:eastAsia="zh-CN"/>
        </w:rPr>
      </w:pPr>
      <w:r>
        <w:rPr>
          <w:rFonts w:hint="eastAsia" w:ascii="楷体_GB2312" w:hAnsi="仿宋" w:eastAsia="楷体_GB2312" w:cs="仿宋"/>
          <w:b w:val="0"/>
          <w:bCs/>
          <w:sz w:val="32"/>
          <w:szCs w:val="32"/>
          <w:lang w:eastAsia="zh-CN"/>
        </w:rPr>
        <w:t>无</w:t>
      </w:r>
    </w:p>
    <w:p>
      <w:pPr>
        <w:autoSpaceDE w:val="0"/>
        <w:autoSpaceDN w:val="0"/>
        <w:adjustRightInd w:val="0"/>
        <w:spacing w:line="360" w:lineRule="auto"/>
        <w:ind w:firstLine="643" w:firstLineChars="200"/>
        <w:jc w:val="both"/>
        <w:rPr>
          <w:rFonts w:ascii="Times New Roman" w:hAnsi="Times New Roman" w:eastAsia="黑体" w:cs="Times New Roman"/>
          <w:b/>
          <w:sz w:val="32"/>
          <w:szCs w:val="32"/>
          <w:lang w:val="zh-CN" w:eastAsia="zh-CN"/>
        </w:rPr>
      </w:pPr>
      <w:r>
        <w:rPr>
          <w:rFonts w:hint="eastAsia" w:ascii="Times New Roman" w:hAnsi="黑体" w:eastAsia="黑体" w:cs="黑体"/>
          <w:b/>
          <w:sz w:val="32"/>
          <w:szCs w:val="32"/>
          <w:lang w:val="en-US" w:eastAsia="zh-CN"/>
        </w:rPr>
        <w:t>六</w:t>
      </w:r>
      <w:r>
        <w:rPr>
          <w:rFonts w:hint="eastAsia" w:ascii="Times New Roman" w:hAnsi="黑体" w:eastAsia="黑体" w:cs="黑体"/>
          <w:b/>
          <w:sz w:val="32"/>
          <w:szCs w:val="32"/>
          <w:lang w:val="zh-CN" w:eastAsia="zh-CN"/>
        </w:rPr>
        <w:t>、相关建议</w:t>
      </w:r>
    </w:p>
    <w:p>
      <w:pPr>
        <w:autoSpaceDE w:val="0"/>
        <w:autoSpaceDN w:val="0"/>
        <w:adjustRightInd w:val="0"/>
        <w:spacing w:line="360" w:lineRule="auto"/>
        <w:ind w:firstLine="640" w:firstLineChars="200"/>
        <w:jc w:val="both"/>
        <w:rPr>
          <w:rFonts w:ascii="仿宋_GB2312" w:hAnsi="Times New Roman" w:eastAsia="仿宋_GB2312" w:cs="Times New Roman"/>
          <w:sz w:val="32"/>
          <w:szCs w:val="32"/>
          <w:lang w:val="zh-CN" w:eastAsia="zh-CN"/>
        </w:rPr>
      </w:pPr>
      <w:r>
        <w:rPr>
          <w:rFonts w:hint="eastAsia" w:ascii="仿宋_GB2312" w:hAnsi="仿宋" w:eastAsia="仿宋_GB2312" w:cs="仿宋_GB2312"/>
          <w:sz w:val="32"/>
          <w:szCs w:val="32"/>
          <w:lang w:val="zh-CN" w:eastAsia="zh-CN"/>
        </w:rPr>
        <w:t>针对上述存在的问题，提出如下建议：</w:t>
      </w:r>
    </w:p>
    <w:p>
      <w:pPr>
        <w:adjustRightInd w:val="0"/>
        <w:snapToGrid w:val="0"/>
        <w:spacing w:line="600" w:lineRule="exact"/>
        <w:ind w:firstLine="630" w:firstLineChars="196"/>
        <w:jc w:val="both"/>
        <w:rPr>
          <w:rFonts w:ascii="Times New Roman" w:hAnsi="Times New Roman" w:eastAsia="楷体_GB2312"/>
          <w:b/>
          <w:bCs/>
          <w:snapToGrid w:val="0"/>
          <w:sz w:val="32"/>
          <w:szCs w:val="32"/>
          <w:lang w:eastAsia="zh-CN"/>
        </w:rPr>
      </w:pPr>
      <w:r>
        <w:rPr>
          <w:rFonts w:hint="eastAsia" w:ascii="Times New Roman" w:hAnsi="Times New Roman" w:eastAsia="楷体_GB2312"/>
          <w:b/>
          <w:bCs/>
          <w:snapToGrid w:val="0"/>
          <w:sz w:val="32"/>
          <w:szCs w:val="32"/>
          <w:lang w:eastAsia="zh-CN"/>
        </w:rPr>
        <w:t>（一）优化专项资金分配，严格项目项目管理</w:t>
      </w:r>
    </w:p>
    <w:p>
      <w:pPr>
        <w:ind w:firstLine="640" w:firstLineChars="200"/>
        <w:rPr>
          <w:rFonts w:ascii="Times New Roman" w:hAnsi="Times New Roman" w:eastAsia="仿宋_GB2312"/>
          <w:snapToGrid w:val="0"/>
          <w:sz w:val="32"/>
          <w:szCs w:val="32"/>
          <w:lang w:eastAsia="zh-CN"/>
        </w:rPr>
      </w:pPr>
      <w:r>
        <w:rPr>
          <w:rFonts w:hint="eastAsia" w:ascii="Times New Roman" w:hAnsi="Times New Roman" w:eastAsia="仿宋_GB2312"/>
          <w:snapToGrid w:val="0"/>
          <w:sz w:val="32"/>
          <w:szCs w:val="32"/>
          <w:lang w:eastAsia="zh-CN"/>
        </w:rPr>
        <w:t>专项资金分配应坚持“半年预拨、年终核拨”的原则，严格按资金管理办法要求进行项目资金的分配，用于统一规定的基本公共卫生服务项目的各项服务。</w:t>
      </w:r>
      <w:r>
        <w:rPr>
          <w:rFonts w:hint="eastAsia" w:ascii="仿宋_GB2312" w:hAnsi="仿宋" w:eastAsia="仿宋_GB2312" w:cs="仿宋_GB2312"/>
          <w:sz w:val="32"/>
          <w:szCs w:val="32"/>
          <w:lang w:eastAsia="zh-CN"/>
        </w:rPr>
        <w:t>按“统筹规划、合理分配、专款专用、追踪问效、考核兑现”的原则实行项目的管理，</w:t>
      </w:r>
      <w:r>
        <w:rPr>
          <w:rFonts w:hint="eastAsia" w:ascii="仿宋_GB2312" w:hAnsi="Times New Roman" w:eastAsia="仿宋_GB2312" w:cs="Times New Roman"/>
          <w:sz w:val="32"/>
          <w:szCs w:val="32"/>
          <w:lang w:eastAsia="zh-CN"/>
        </w:rPr>
        <w:t>使其切实履行其工作，确保服务数量和服务的质量。</w:t>
      </w:r>
    </w:p>
    <w:p>
      <w:pPr>
        <w:adjustRightInd w:val="0"/>
        <w:snapToGrid w:val="0"/>
        <w:spacing w:line="600" w:lineRule="exact"/>
        <w:ind w:firstLine="472" w:firstLineChars="147"/>
        <w:jc w:val="both"/>
        <w:rPr>
          <w:rFonts w:ascii="Times New Roman" w:hAnsi="Times New Roman" w:eastAsia="楷体_GB2312"/>
          <w:b/>
          <w:bCs/>
          <w:snapToGrid w:val="0"/>
          <w:sz w:val="32"/>
          <w:szCs w:val="32"/>
          <w:lang w:eastAsia="zh-CN"/>
        </w:rPr>
      </w:pPr>
      <w:r>
        <w:rPr>
          <w:rFonts w:hint="eastAsia" w:ascii="Times New Roman" w:hAnsi="Times New Roman" w:eastAsia="楷体_GB2312"/>
          <w:b/>
          <w:bCs/>
          <w:snapToGrid w:val="0"/>
          <w:sz w:val="32"/>
          <w:szCs w:val="32"/>
          <w:lang w:eastAsia="zh-CN"/>
        </w:rPr>
        <w:t>（二）加快专项资金拨付，确保财政资金及时到位</w:t>
      </w:r>
    </w:p>
    <w:p>
      <w:pPr>
        <w:spacing w:line="360" w:lineRule="auto"/>
        <w:ind w:firstLine="640" w:firstLineChars="200"/>
        <w:jc w:val="both"/>
        <w:rPr>
          <w:rFonts w:ascii="Times New Roman" w:hAnsi="Times New Roman" w:eastAsia="仿宋_GB2312"/>
          <w:snapToGrid w:val="0"/>
          <w:sz w:val="32"/>
          <w:szCs w:val="32"/>
          <w:lang w:eastAsia="zh-CN"/>
        </w:rPr>
      </w:pPr>
      <w:r>
        <w:rPr>
          <w:rFonts w:hint="eastAsia" w:ascii="Times New Roman" w:hAnsi="Times New Roman" w:eastAsia="仿宋_GB2312"/>
          <w:snapToGrid w:val="0"/>
          <w:sz w:val="32"/>
          <w:szCs w:val="32"/>
          <w:lang w:eastAsia="zh-CN"/>
        </w:rPr>
        <w:t>要提前研究下年度专项资金分配方案，及时报送财政部门下达资金指标；县财政部门要加快专项资金拨付项目单位的进程，充分发挥财政专项资金的时效性；逐步建立资金拨付跟踪监督与问效机制。</w:t>
      </w:r>
    </w:p>
    <w:p>
      <w:pPr>
        <w:adjustRightInd w:val="0"/>
        <w:snapToGrid w:val="0"/>
        <w:spacing w:line="600" w:lineRule="exact"/>
        <w:ind w:firstLine="630" w:firstLineChars="196"/>
        <w:jc w:val="both"/>
        <w:rPr>
          <w:rFonts w:ascii="Times New Roman" w:hAnsi="Times New Roman" w:eastAsia="楷体_GB2312"/>
          <w:b/>
          <w:bCs/>
          <w:snapToGrid w:val="0"/>
          <w:sz w:val="32"/>
          <w:szCs w:val="32"/>
          <w:lang w:eastAsia="zh-CN"/>
        </w:rPr>
      </w:pPr>
      <w:r>
        <w:rPr>
          <w:rFonts w:hint="eastAsia" w:ascii="Times New Roman" w:hAnsi="Times New Roman" w:eastAsia="楷体_GB2312"/>
          <w:b/>
          <w:bCs/>
          <w:snapToGrid w:val="0"/>
          <w:sz w:val="32"/>
          <w:szCs w:val="32"/>
          <w:lang w:eastAsia="zh-CN"/>
        </w:rPr>
        <w:t>（三）加强专项资金的规范使用</w:t>
      </w:r>
    </w:p>
    <w:p>
      <w:pPr>
        <w:spacing w:line="360" w:lineRule="auto"/>
        <w:ind w:firstLine="640" w:firstLineChars="200"/>
        <w:jc w:val="both"/>
        <w:rPr>
          <w:rFonts w:hint="eastAsia" w:ascii="Times New Roman" w:hAnsi="Times New Roman" w:eastAsia="仿宋_GB2312"/>
          <w:snapToGrid w:val="0"/>
          <w:sz w:val="32"/>
          <w:szCs w:val="32"/>
          <w:lang w:eastAsia="zh-CN"/>
        </w:rPr>
      </w:pPr>
      <w:r>
        <w:rPr>
          <w:rFonts w:hint="eastAsia" w:ascii="Times New Roman" w:hAnsi="Times New Roman" w:eastAsia="仿宋_GB2312"/>
          <w:snapToGrid w:val="0"/>
          <w:sz w:val="32"/>
          <w:szCs w:val="32"/>
          <w:lang w:eastAsia="zh-CN"/>
        </w:rPr>
        <w:t>应完善监管措施，建立对项目单位专项资金使用管理的定期检查制度，项目单位完善内部控制制度、费用支出报账程序，要求使用管理不规范、未专账核算的项目单位及时整改，杜绝挪用、虚列支出现象的发生。保证项目执行进度与计划相符，确保项目目标的实现，提高资金使用效益。</w:t>
      </w:r>
      <w:bookmarkEnd w:id="3"/>
      <w:bookmarkEnd w:id="4"/>
    </w:p>
    <w:p>
      <w:pPr>
        <w:spacing w:line="360" w:lineRule="auto"/>
        <w:ind w:firstLine="640" w:firstLineChars="200"/>
        <w:jc w:val="both"/>
        <w:rPr>
          <w:rFonts w:hint="eastAsia" w:ascii="Times New Roman" w:hAnsi="Times New Roman" w:eastAsia="仿宋_GB2312"/>
          <w:snapToGrid w:val="0"/>
          <w:sz w:val="32"/>
          <w:szCs w:val="32"/>
          <w:lang w:eastAsia="zh-CN"/>
        </w:rPr>
      </w:pPr>
    </w:p>
    <w:p>
      <w:pPr>
        <w:spacing w:line="480" w:lineRule="auto"/>
        <w:ind w:firstLine="4160" w:firstLineChars="1300"/>
        <w:jc w:val="both"/>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南岳区交通运输局</w:t>
      </w:r>
      <w:bookmarkStart w:id="5" w:name="_GoBack"/>
      <w:bookmarkEnd w:id="5"/>
    </w:p>
    <w:p>
      <w:pPr>
        <w:spacing w:line="480" w:lineRule="auto"/>
        <w:ind w:firstLine="4160" w:firstLineChars="1300"/>
        <w:jc w:val="both"/>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2019年11月22日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E1B24"/>
    <w:multiLevelType w:val="singleLevel"/>
    <w:tmpl w:val="5DDE1B24"/>
    <w:lvl w:ilvl="0" w:tentative="0">
      <w:start w:val="2"/>
      <w:numFmt w:val="chineseCounting"/>
      <w:suff w:val="nothing"/>
      <w:lvlText w:val="%1、"/>
      <w:lvlJc w:val="left"/>
    </w:lvl>
  </w:abstractNum>
  <w:abstractNum w:abstractNumId="1">
    <w:nsid w:val="5DDE1E32"/>
    <w:multiLevelType w:val="singleLevel"/>
    <w:tmpl w:val="5DDE1E3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65DD1"/>
    <w:rsid w:val="39B6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Calibri"/>
      <w:kern w:val="0"/>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2019-11-29T03:47:00Z</dcterms:created>
  <dc:creator>常在我心</dc:creator>
  <cp:lastModifiedBy>常在我心</cp:lastModifiedBy>
  <cp:lastPrinted>2019-11-29T03:48:14Z</cp:lastPrinted>
  <dcterms:modified xsi:type="dcterms:W3CDTF">2019-11-29T03:48:24Z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