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2040"/>
        <w:gridCol w:w="1605"/>
        <w:gridCol w:w="1095"/>
        <w:gridCol w:w="25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32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bookmarkStart w:id="1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201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年省级第一批财政专项扶贫资金计划调整表</w:t>
            </w:r>
          </w:p>
          <w:bookmarkEnd w:id="1"/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单位：万元</w:t>
            </w:r>
          </w:p>
        </w:tc>
      </w:tr>
    </w:tbl>
    <w:p>
      <w:pPr>
        <w:rPr>
          <w:vanish/>
        </w:rPr>
      </w:pPr>
    </w:p>
    <w:tbl>
      <w:tblPr>
        <w:tblStyle w:val="4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项目单位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项目金额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Hlk17969222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南岳镇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  <w:t>-26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基础设施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住建局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  <w:t>26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危房改造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840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合计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  <w:t>0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325" w:tblpY="12"/>
        <w:tblOverlap w:val="never"/>
        <w:tblW w:w="13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79"/>
        <w:gridCol w:w="1079"/>
        <w:gridCol w:w="1079"/>
        <w:gridCol w:w="1080"/>
        <w:gridCol w:w="959"/>
        <w:gridCol w:w="1365"/>
        <w:gridCol w:w="1941"/>
        <w:gridCol w:w="1125"/>
        <w:gridCol w:w="1035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97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32"/>
                <w:szCs w:val="32"/>
                <w:u w:val="none"/>
                <w:lang w:val="en-US" w:eastAsia="zh-CN" w:bidi="ar"/>
              </w:rPr>
              <w:t>2019年省级财政专项扶贫资金分配表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2106" w:type="dxa"/>
            <w:gridSpan w:val="2"/>
            <w:tcBorders>
              <w:bottom w:val="single" w:color="40404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市州</w:t>
            </w:r>
          </w:p>
        </w:tc>
        <w:tc>
          <w:tcPr>
            <w:tcW w:w="1079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079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38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扶贫发展</w:t>
            </w:r>
          </w:p>
        </w:tc>
        <w:tc>
          <w:tcPr>
            <w:tcW w:w="4265" w:type="dxa"/>
            <w:gridSpan w:val="3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奖励资金</w:t>
            </w:r>
          </w:p>
        </w:tc>
        <w:tc>
          <w:tcPr>
            <w:tcW w:w="1125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贫困户危房改造因素</w:t>
            </w:r>
          </w:p>
        </w:tc>
        <w:tc>
          <w:tcPr>
            <w:tcW w:w="1035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少数民族发展</w:t>
            </w:r>
          </w:p>
        </w:tc>
        <w:tc>
          <w:tcPr>
            <w:tcW w:w="1071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扶贫发展因素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重点产业扶贫因素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市州、县市区党委和政府脱贫攻坚考核奖励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贫困县涉农资金成效考核奖励</w:t>
            </w:r>
          </w:p>
        </w:tc>
        <w:tc>
          <w:tcPr>
            <w:tcW w:w="112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restart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衡阳市小计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19570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6014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3284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11156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市本级及所辖区小计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1736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珠晖区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雁峰区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石鼓区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省直管县市小计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17834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5951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3221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11083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2714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776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1538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918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2465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衡山县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1091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衡东县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1496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祁东县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耒阳市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3203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1404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1014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1799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79" w:type="dxa"/>
            <w:vMerge w:val="continue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40404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常宁市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4947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107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 </w:t>
            </w:r>
          </w:p>
        </w:tc>
        <w:tc>
          <w:tcPr>
            <w:tcW w:w="108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959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94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2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4109 </w:t>
            </w:r>
          </w:p>
        </w:tc>
        <w:tc>
          <w:tcPr>
            <w:tcW w:w="103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71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404040"/>
                <w:sz w:val="16"/>
                <w:szCs w:val="16"/>
                <w:u w:val="none"/>
              </w:rPr>
            </w:pPr>
          </w:p>
        </w:tc>
      </w:tr>
    </w:tbl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1024;mso-width-relative:page;mso-height-relative:page;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0B0E"/>
    <w:rsid w:val="0CC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2019-09-29T03:40:00Z</dcterms:created>
  <dc:creator>阳阳</dc:creator>
  <cp:lastModifiedBy>阳阳</cp:lastModifiedBy>
  <dcterms:modified xsi:type="dcterms:W3CDTF">2019-09-29T03:41:36Z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